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-228600</wp:posOffset>
            </wp:positionV>
            <wp:extent cx="286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-20320</wp:posOffset>
            </wp:positionV>
            <wp:extent cx="57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113665</wp:posOffset>
            </wp:positionV>
            <wp:extent cx="2851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259715</wp:posOffset>
            </wp:positionV>
            <wp:extent cx="1198880" cy="38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94615</wp:posOffset>
            </wp:positionV>
            <wp:extent cx="2851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7"/>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1"/>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88"/>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6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88"/>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3"/>
                <w:szCs w:val="2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5"/>
                <w:szCs w:val="15"/>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5"/>
                <w:szCs w:val="15"/>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3"/>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38"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34" w:lineRule="exact"/>
        <w:rPr>
          <w:sz w:val="20"/>
          <w:szCs w:val="20"/>
          <w:color w:val="auto"/>
        </w:rPr>
      </w:pPr>
      <w:r>
        <w:rPr>
          <w:rFonts w:ascii="Wingdings" w:cs="Wingdings" w:eastAsia="Wingdings" w:hAnsi="Wingdings"/>
          <w:sz w:val="12"/>
          <w:szCs w:val="12"/>
          <w:b w:val="1"/>
          <w:bCs w:val="1"/>
          <w:color w:val="auto"/>
        </w:rPr>
        <w: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8">
            <w:col w:w="1640" w:space="720"/>
            <w:col w:w="200" w:space="720"/>
            <w:col w:w="960" w:space="480"/>
            <w:col w:w="260" w:space="700"/>
            <w:col w:w="1220" w:space="620"/>
            <w:col w:w="400" w:space="720"/>
            <w:col w:w="1620" w:space="720"/>
            <w:col w:w="260"/>
          </w:cols>
          <w:pgMar w:left="320" w:top="1245" w:right="339" w:bottom="144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4" w:lineRule="exact"/>
        <w:rPr>
          <w:sz w:val="24"/>
          <w:szCs w:val="24"/>
          <w:color w:val="auto"/>
        </w:rPr>
      </w:pPr>
    </w:p>
    <w:p>
      <w:pPr>
        <w:sectPr>
          <w:pgSz w:w="11900" w:h="16838" w:orient="portrait"/>
          <w:cols w:equalWidth="0" w:num="2">
            <w:col w:w="1640" w:space="720"/>
            <w:col w:w="8880"/>
          </w:cols>
          <w:pgMar w:left="320" w:top="1245"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right="3380"/>
        <w:spacing w:after="0" w:line="25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October 28, 2024, there were outstanding 100,725,472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Three and Nine Months Ended September 30,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40" w:type="dxa"/>
            <w:vAlign w:val="bottom"/>
          </w:tcPr>
          <w:p>
            <w:pPr>
              <w:spacing w:after="0"/>
              <w:rPr>
                <w:sz w:val="15"/>
                <w:szCs w:val="15"/>
                <w:color w:val="auto"/>
              </w:rPr>
            </w:pPr>
          </w:p>
        </w:tc>
        <w:tc>
          <w:tcPr>
            <w:tcW w:w="140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Certain Definitions</w:t>
            </w:r>
          </w:p>
        </w:tc>
        <w:tc>
          <w:tcPr>
            <w:tcW w:w="924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40" w:type="dxa"/>
            <w:vAlign w:val="bottom"/>
          </w:tcPr>
          <w:p>
            <w:pPr>
              <w:spacing w:after="0"/>
              <w:rPr>
                <w:sz w:val="19"/>
                <w:szCs w:val="19"/>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65"/>
        </w:trPr>
        <w:tc>
          <w:tcPr>
            <w:tcW w:w="40" w:type="dxa"/>
            <w:vAlign w:val="bottom"/>
          </w:tcPr>
          <w:p>
            <w:pPr>
              <w:spacing w:after="0"/>
              <w:rPr>
                <w:sz w:val="24"/>
                <w:szCs w:val="24"/>
                <w:color w:val="auto"/>
              </w:rPr>
            </w:pPr>
          </w:p>
        </w:tc>
        <w:tc>
          <w:tcPr>
            <w:tcW w:w="3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20" w:type="dxa"/>
            <w:vAlign w:val="bottom"/>
            <w:tcBorders>
              <w:bottom w:val="single" w:sz="8" w:color="0000EE"/>
            </w:tcBorders>
          </w:tcPr>
          <w:p>
            <w:pPr>
              <w:spacing w:after="0"/>
              <w:rPr>
                <w:sz w:val="19"/>
                <w:szCs w:val="19"/>
                <w:color w:val="auto"/>
              </w:rPr>
            </w:pPr>
          </w:p>
        </w:tc>
        <w:tc>
          <w:tcPr>
            <w:tcW w:w="7480" w:type="dxa"/>
            <w:vAlign w:val="bottom"/>
            <w:gridSpan w:val="11"/>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 Three and Nine Months Ended September 30, 2024 and 2023</w:t>
            </w:r>
          </w:p>
        </w:tc>
        <w:tc>
          <w:tcPr>
            <w:tcW w:w="1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2024 and December 31,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2024 and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7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 Three and Nine Months Ended September 30, 2024 and 2023</w:t>
            </w:r>
          </w:p>
        </w:tc>
        <w:tc>
          <w:tcPr>
            <w:tcW w:w="1520" w:type="dxa"/>
            <w:vAlign w:val="bottom"/>
            <w:gridSpan w:val="2"/>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9"/>
                <w:szCs w:val="19"/>
                <w:color w:val="auto"/>
              </w:rPr>
            </w:pPr>
          </w:p>
        </w:tc>
        <w:tc>
          <w:tcPr>
            <w:tcW w:w="6000" w:type="dxa"/>
            <w:vAlign w:val="bottom"/>
            <w:gridSpan w:val="8"/>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460" w:type="dxa"/>
            <w:vAlign w:val="bottom"/>
            <w:gridSpan w:val="4"/>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560" w:type="dxa"/>
            <w:vAlign w:val="bottom"/>
            <w:gridSpan w:val="6"/>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9"/>
                <w:szCs w:val="19"/>
                <w:color w:val="auto"/>
              </w:rPr>
            </w:pPr>
          </w:p>
        </w:tc>
        <w:tc>
          <w:tcPr>
            <w:tcW w:w="8120" w:type="dxa"/>
            <w:vAlign w:val="bottom"/>
            <w:gridSpan w:val="16"/>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65"/>
        </w:trPr>
        <w:tc>
          <w:tcPr>
            <w:tcW w:w="40" w:type="dxa"/>
            <w:vAlign w:val="bottom"/>
          </w:tcPr>
          <w:p>
            <w:pPr>
              <w:spacing w:after="0"/>
              <w:rPr>
                <w:sz w:val="24"/>
                <w:szCs w:val="24"/>
                <w:color w:val="auto"/>
              </w:rPr>
            </w:pPr>
          </w:p>
        </w:tc>
        <w:tc>
          <w:tcPr>
            <w:tcW w:w="2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06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8580" w:type="dxa"/>
            <w:vAlign w:val="bottom"/>
            <w:gridSpan w:val="18"/>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880" w:type="dxa"/>
            <w:vAlign w:val="bottom"/>
            <w:gridSpan w:val="20"/>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580" w:type="dxa"/>
            <w:vAlign w:val="bottom"/>
            <w:gridSpan w:val="7"/>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4"/>
          </w:tcPr>
          <w:p>
            <w:pPr>
              <w:spacing w:after="0"/>
              <w:rPr>
                <w:sz w:val="19"/>
                <w:szCs w:val="19"/>
                <w:color w:val="auto"/>
              </w:rPr>
            </w:pPr>
          </w:p>
        </w:tc>
        <w:tc>
          <w:tcPr>
            <w:tcW w:w="7600" w:type="dxa"/>
            <w:vAlign w:val="bottom"/>
            <w:gridSpan w:val="13"/>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8600" w:type="dxa"/>
            <w:vAlign w:val="bottom"/>
            <w:gridSpan w:val="19"/>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641"/>
        </w:trPr>
        <w:tc>
          <w:tcPr>
            <w:tcW w:w="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900" w:type="dxa"/>
            <w:vAlign w:val="bottom"/>
            <w:gridSpan w:val="18"/>
          </w:tcPr>
          <w:p>
            <w:pPr>
              <w:jc w:val="right"/>
              <w:ind w:right="10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2"/>
        </w:trPr>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‘We’, ‘Us’, ‘Company’, ‘Willis Towers Watson’,</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w:t>
            </w:r>
          </w:p>
        </w:tc>
      </w:tr>
      <w:tr>
        <w:trPr>
          <w:trHeight w:val="234"/>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‘Our’, ‘Willis Towers Watson plc’ or ‘WTW’</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Ireland, and its subsidiaries</w:t>
            </w:r>
          </w:p>
        </w:tc>
      </w:tr>
      <w:tr>
        <w:trPr>
          <w:trHeight w:val="373"/>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w:t>
            </w:r>
          </w:p>
        </w:tc>
      </w:tr>
      <w:tr>
        <w:trPr>
          <w:trHeight w:val="234"/>
        </w:trPr>
        <w:tc>
          <w:tcPr>
            <w:tcW w:w="430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$0.000304635 per share</w:t>
            </w:r>
          </w:p>
        </w:tc>
      </w:tr>
      <w:tr>
        <w:trPr>
          <w:trHeight w:val="391"/>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‘TRANZACT’</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TZ Holdings, Inc. and its subsidiaries, doing business as TRANZACT</w:t>
            </w:r>
          </w:p>
        </w:tc>
      </w:tr>
      <w:tr>
        <w:trPr>
          <w:trHeight w:val="391"/>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91"/>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‘U.K.’</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0"/>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4300" w:type="dxa"/>
            <w:vAlign w:val="bottom"/>
          </w:tcPr>
          <w:p>
            <w:pPr>
              <w:spacing w:after="0"/>
              <w:rPr>
                <w:sz w:val="20"/>
                <w:szCs w:val="20"/>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91"/>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GAAP’</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‘FASB’</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‘ASC’</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‘ASU’</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31"/>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‘EBITDA’</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809"/>
        </w:trPr>
        <w:tc>
          <w:tcPr>
            <w:tcW w:w="4300" w:type="dxa"/>
            <w:vAlign w:val="bottom"/>
          </w:tcPr>
          <w:p>
            <w:pPr>
              <w:spacing w:after="0"/>
              <w:rPr>
                <w:sz w:val="24"/>
                <w:szCs w:val="24"/>
                <w:color w:val="auto"/>
              </w:rPr>
            </w:pPr>
          </w:p>
        </w:tc>
        <w:tc>
          <w:tcPr>
            <w:tcW w:w="6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w:t>
            </w:r>
          </w:p>
        </w:tc>
      </w:tr>
      <w:tr>
        <w:trPr>
          <w:trHeight w:val="762"/>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plans and references to future performance, including our future financial and operating results (including our revenue, costs, or margins), short-term and long-term financial goals, plans, objectives, expectations and intentions, including with respect to organic revenue growth, free cash flow generation, adjusted net revenue, adjusted operating margin and adjusted earnings per share; future share repurchases; demand for our services and competitive strengths; strategic goals; existing and evolving business strategies including those related to acquisition and disposition activity; the benefits of new initiatives; the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including our multi-year operational transformation program; the potential impact of natural or man-made disasters like health pandemics and other world health crises; future capital expenditures; ongoing working capital efforts; the impact of changes to tax laws on our financial results; and our recognition of future impairment charges or write-off of receivables,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our management and are subject to significant risks and uncertainties. Actual results may differ from those set forth in the forward-looking statements. All forward-looking disclosure is speculative by its nature.</w:t>
      </w:r>
    </w:p>
    <w:p>
      <w:pPr>
        <w:spacing w:after="0" w:line="13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6" w:lineRule="exact"/>
        <w:rPr>
          <w:rFonts w:ascii="Times New Roman" w:cs="Times New Roman" w:eastAsia="Times New Roman" w:hAnsi="Times New Roman"/>
          <w:sz w:val="18"/>
          <w:szCs w:val="18"/>
          <w:color w:val="auto"/>
        </w:rPr>
      </w:pPr>
    </w:p>
    <w:p>
      <w:pPr>
        <w:ind w:left="760" w:right="20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including the pending sale of our TRANZACT business (inclusive of all the legal entities that comprise such business), or acquisitions, including our ability to integrate or manage acquired businesses or de-integrate businesses to be disposed, as well as our ability to identify and successfully execute on opportunities for strategic collaboration;</w:t>
      </w:r>
    </w:p>
    <w:p>
      <w:pPr>
        <w:spacing w:after="0" w:line="69" w:lineRule="exact"/>
        <w:rPr>
          <w:rFonts w:ascii="Times New Roman" w:cs="Times New Roman" w:eastAsia="Times New Roman" w:hAnsi="Times New Roman"/>
          <w:sz w:val="18"/>
          <w:szCs w:val="18"/>
          <w:color w:val="auto"/>
        </w:rPr>
      </w:pPr>
    </w:p>
    <w:p>
      <w:pPr>
        <w:ind w:left="760" w:right="3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pending sale of TRANZACT, and related incremental risks associated therewith including our ability to obtain approval (or for applicable waiting periods to expire) under the U.S. Hart-Scot-Rodino Antitrust Improvements Act of 1976;</w:t>
      </w:r>
    </w:p>
    <w:p>
      <w:pPr>
        <w:spacing w:after="0" w:line="54" w:lineRule="exact"/>
        <w:rPr>
          <w:rFonts w:ascii="Times New Roman" w:cs="Times New Roman" w:eastAsia="Times New Roman" w:hAnsi="Times New Roman"/>
          <w:sz w:val="18"/>
          <w:szCs w:val="18"/>
          <w:color w:val="auto"/>
        </w:rPr>
      </w:pPr>
    </w:p>
    <w:p>
      <w:pPr>
        <w:ind w:left="760" w:right="14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ongoing organizational changes, including as part of our multi-year operational transformation program, investments in improving systems and processes, and in connection with our acquisition and divestiture activities, including the pending sale of TRANZACT, and related to changes in leadership in any of our businesses;</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6"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such as with respect to our cash flow generation, and the timing with respect to such achievement;</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and changes in trade policies;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short-term and long-term financial goals from any of the risks or uncertainties set forth herein;</w:t>
      </w:r>
    </w:p>
    <w:p>
      <w:pPr>
        <w:spacing w:after="0" w:line="116" w:lineRule="exact"/>
        <w:rPr>
          <w:rFonts w:ascii="Times New Roman" w:cs="Times New Roman" w:eastAsia="Times New Roman" w:hAnsi="Times New Roman"/>
          <w:sz w:val="18"/>
          <w:szCs w:val="18"/>
          <w:color w:val="auto"/>
        </w:rPr>
      </w:pPr>
    </w:p>
    <w:p>
      <w:pPr>
        <w:ind w:left="760" w:right="200" w:hanging="378"/>
        <w:spacing w:after="0" w:line="26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inflation, changes in interest rates and trade policies, as well as political events, war, such as the Russia-Ukraine and Middle East conflicts, and other international disputes, terrorism, natural disasters, public health issues and other business interruptions on the global economy and capital markets, which could have a material adverse effect on our business, financial condition, results of operations and long-term goals;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6"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 w:name="page5"/>
    <w:bookmarkEnd w:id="4"/>
    <w:p>
      <w:pPr>
        <w:ind w:left="380" w:right="6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6" w:lineRule="exact"/>
        <w:rPr>
          <w:rFonts w:ascii="Times New Roman" w:cs="Times New Roman" w:eastAsia="Times New Roman" w:hAnsi="Times New Roman"/>
          <w:sz w:val="18"/>
          <w:szCs w:val="18"/>
          <w:color w:val="auto"/>
        </w:rPr>
      </w:pPr>
    </w:p>
    <w:p>
      <w:pPr>
        <w:ind w:left="380" w:right="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transitional arrangements in effect subsequent to our previously-completed sale of Willis Re to Arthur J. Gallagher &amp; Co. (‘Gallagher’);</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6" w:lineRule="exact"/>
        <w:rPr>
          <w:rFonts w:ascii="Times New Roman" w:cs="Times New Roman" w:eastAsia="Times New Roman" w:hAnsi="Times New Roman"/>
          <w:sz w:val="18"/>
          <w:szCs w:val="18"/>
          <w:color w:val="auto"/>
        </w:rPr>
      </w:pPr>
    </w:p>
    <w:p>
      <w:pPr>
        <w:ind w:left="380" w:right="1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54" w:lineRule="exact"/>
        <w:rPr>
          <w:rFonts w:ascii="Times New Roman" w:cs="Times New Roman" w:eastAsia="Times New Roman" w:hAnsi="Times New Roman"/>
          <w:sz w:val="18"/>
          <w:szCs w:val="18"/>
          <w:color w:val="auto"/>
        </w:rPr>
      </w:pPr>
    </w:p>
    <w:p>
      <w:pPr>
        <w:ind w:left="380" w:right="48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our new and existing products and services, and expectations, intentions and outcomes relating to outstanding litigation;</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litigation or investigation matters;</w:t>
      </w:r>
    </w:p>
    <w:p>
      <w:pPr>
        <w:spacing w:after="0" w:line="116" w:lineRule="exact"/>
        <w:rPr>
          <w:rFonts w:ascii="Times New Roman" w:cs="Times New Roman" w:eastAsia="Times New Roman" w:hAnsi="Times New Roman"/>
          <w:sz w:val="18"/>
          <w:szCs w:val="18"/>
          <w:color w:val="auto"/>
        </w:rPr>
      </w:pPr>
    </w:p>
    <w:p>
      <w:pPr>
        <w:ind w:left="38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claims, government inquiries or investigations or the potential for regulatory action;</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enhance our billing, collection and other working capital efforts, and thereby increase our free cash flow;</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 large number of employees and rehiring rates;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foreign currency exchange rates;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6" w:lineRule="exact"/>
        <w:rPr>
          <w:rFonts w:ascii="Times New Roman" w:cs="Times New Roman" w:eastAsia="Times New Roman" w:hAnsi="Times New Roman"/>
          <w:sz w:val="18"/>
          <w:szCs w:val="18"/>
          <w:color w:val="auto"/>
        </w:rPr>
      </w:pPr>
    </w:p>
    <w:p>
      <w:pPr>
        <w:ind w:left="380" w:right="18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54" w:lineRule="exact"/>
        <w:rPr>
          <w:rFonts w:ascii="Times New Roman" w:cs="Times New Roman" w:eastAsia="Times New Roman" w:hAnsi="Times New Roman"/>
          <w:sz w:val="18"/>
          <w:szCs w:val="18"/>
          <w:color w:val="auto"/>
        </w:rPr>
      </w:pPr>
    </w:p>
    <w:p>
      <w:pPr>
        <w:ind w:left="380" w:right="1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technology, data and analytics changes for internal operations, maintaining industry standards and meeting client preferences;</w:t>
      </w:r>
    </w:p>
    <w:p>
      <w:pPr>
        <w:spacing w:after="0" w:line="54" w:lineRule="exact"/>
        <w:rPr>
          <w:rFonts w:ascii="Times New Roman" w:cs="Times New Roman" w:eastAsia="Times New Roman" w:hAnsi="Times New Roman"/>
          <w:sz w:val="18"/>
          <w:szCs w:val="18"/>
          <w:color w:val="auto"/>
        </w:rPr>
      </w:pPr>
    </w:p>
    <w:p>
      <w:pPr>
        <w:ind w:left="380" w:right="200" w:hanging="378"/>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any legislative actions from the current U.S. Congress, the recent Final Rule from the Centers for Medicare &amp; Medicaid Services (‘CMS’) for contract year 2025 and any judicial claims, rulings and appeals related thereto, and any other changes and developments in legal, regulatory, economic, business or operational conditions that could impact our Medicare benefits businesses such as TRANZACT;</w:t>
      </w:r>
    </w:p>
    <w:p>
      <w:pPr>
        <w:spacing w:after="0" w:line="7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6" w:lineRule="exact"/>
        <w:rPr>
          <w:rFonts w:ascii="Times New Roman" w:cs="Times New Roman" w:eastAsia="Times New Roman" w:hAnsi="Times New Roman"/>
          <w:sz w:val="18"/>
          <w:szCs w:val="18"/>
          <w:color w:val="auto"/>
        </w:rPr>
      </w:pPr>
    </w:p>
    <w:p>
      <w:pPr>
        <w:ind w:left="380" w:right="200" w:hanging="378"/>
        <w:spacing w:after="0" w:line="26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9" w:lineRule="exact"/>
        <w:rPr>
          <w:rFonts w:ascii="Times New Roman" w:cs="Times New Roman" w:eastAsia="Times New Roman" w:hAnsi="Times New Roman"/>
          <w:sz w:val="18"/>
          <w:szCs w:val="18"/>
          <w:color w:val="auto"/>
        </w:rPr>
      </w:pPr>
    </w:p>
    <w:p>
      <w:pPr>
        <w:ind w:left="380" w:right="18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8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092" w:right="379" w:bottom="1440" w:gutter="0" w:footer="0" w:header="0"/>
        </w:sectPr>
      </w:pPr>
    </w:p>
    <w:bookmarkStart w:id="5" w:name="page6"/>
    <w:bookmarkEnd w:id="5"/>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6"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may impose additional excise taxes or impact our effective tax rate;</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non-cash pre-tax losses and related impairment charges in connection with our pending sale of TRANZACT and other future impairment charges or write-offs of receivables;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6"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investment levels, including cash spending to achieve additional expected savings under our multi-year operational transformation program and beyond and cash spending to make investments in new initiatives to improve growth, increase;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2,289</w:t>
            </w: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2,166</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6,895</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6,569</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1,359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4,135</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4,019</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1,282</w:t>
            </w:r>
          </w:p>
        </w:tc>
      </w:tr>
      <w:tr>
        <w:trPr>
          <w:trHeight w:val="247"/>
        </w:trPr>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r>
      <w:tr>
        <w:trPr>
          <w:trHeight w:val="247"/>
        </w:trPr>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5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3,055</w:t>
            </w: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2,007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7,169</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5,983</w:t>
            </w: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47"/>
        </w:trPr>
        <w:tc>
          <w:tcPr>
            <w:tcW w:w="5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(loss)/income, net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(1,113 )</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r>
      <w:tr>
        <w:trPr>
          <w:trHeight w:val="24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r>
      <w:tr>
        <w:trPr>
          <w:trHeight w:val="24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 ATTRIBUTABLE TO WTW</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(1,675 )</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(LOSS)/EARNINGS PER SHARE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7"/>
        </w:trPr>
        <w:tc>
          <w:tcPr>
            <w:tcW w:w="5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(loss)/earnings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(16.44 )</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(13.11 )</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(16.44 )</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(loss)/income before non-controlling interests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(1,561 )</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r>
      <w:tr>
        <w:trPr>
          <w:trHeight w:val="24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(loss)/income attributable to WTW</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-4015105</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-4015105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-4015105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-2773680</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-2773680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-2773680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-2139950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-2139950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-2139950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-1823085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-1823085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-1823085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-1506220</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-1506220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-1506220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-855345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-838200</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-855345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-838200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-855345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-838200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1,372</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9,176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2,118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2,572</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14,313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13,433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8,882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10,195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1,573</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12,855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15,657</w:t>
            </w: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27,168</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r>
      <w:tr>
        <w:trPr>
          <w:trHeight w:val="21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9,176</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12,535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12,630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5,308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7,063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6,867</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19,598</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19,497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10,957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deficit)/retained earnings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1,466</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(2,856 )</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15,574 shares in 2024</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7,492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9,520</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7,570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9,593</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27,168</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-4434840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-4109085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-4091940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-1917065</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-667385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-350520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400" w:hanging="272"/>
        <w:spacing w:after="0" w:line="258"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100,887,015 (2024) and 102,538,072 (2023); Outstanding 100,871,441 (2024) and 102,538,072 (2023) and (b) Preference shares, $0.000115 nominal value; Authorized 1,000,000,000 and Issued none in 2024 and 2023.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periodic benefit of defined benefit pension plans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from deferred income taxes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loss/(gain) on disposal of operations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foreign exchange (gain)/loss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11"/>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823</w:t>
            </w:r>
          </w:p>
        </w:tc>
      </w:tr>
      <w:tr>
        <w:trPr>
          <w:trHeight w:val="232"/>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fixed assets and software for internal use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operations</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fiduciary funds transferred in sale of operations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(922 )</w:t>
            </w: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(1,030 )</w:t>
            </w:r>
          </w:p>
        </w:tc>
      </w:tr>
      <w:tr>
        <w:trPr>
          <w:trHeight w:val="232"/>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FINANCING ACTIVITIES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notes issued</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debt</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proceeds/(payments) from fiduciary funds held for clients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deferred and contingent consideration related to acquisitions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47"/>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and dividends paid to non-controlling interests</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6"/>
        </w:trPr>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from/(used in) financing activities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36"/>
        </w:trPr>
        <w:tc>
          <w:tcPr>
            <w:tcW w:w="85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INCREASE/(DECREASE) IN CASH, CASH EQUIVALENTS AND RESTRICTED CASH </w:t>
            </w:r>
            <w:r>
              <w:rPr>
                <w:rFonts w:ascii="Times New Roman" w:cs="Times New Roman" w:eastAsia="Times New Roman" w:hAnsi="Times New Roman"/>
                <w:sz w:val="24"/>
                <w:szCs w:val="24"/>
                <w:color w:val="auto"/>
                <w:vertAlign w:val="superscript"/>
              </w:rPr>
              <w:t>(i)</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(935 )</w:t>
            </w:r>
          </w:p>
        </w:tc>
      </w:tr>
      <w:tr>
        <w:trPr>
          <w:trHeight w:val="23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7"/>
        </w:trPr>
        <w:tc>
          <w:tcPr>
            <w:tcW w:w="856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3,792</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4,721</w:t>
            </w:r>
          </w:p>
        </w:tc>
      </w:tr>
      <w:tr>
        <w:trPr>
          <w:trHeight w:val="236"/>
        </w:trPr>
        <w:tc>
          <w:tcPr>
            <w:tcW w:w="85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3,732</w:t>
            </w:r>
          </w:p>
        </w:tc>
      </w:tr>
      <w:tr>
        <w:trPr>
          <w:trHeight w:val="20"/>
        </w:trPr>
        <w:tc>
          <w:tcPr>
            <w:tcW w:w="8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-3621405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-2371090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-821055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-187960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200" w:hanging="272"/>
        <w:spacing w:after="0" w:line="243"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20" w:type="dxa"/>
            <w:vAlign w:val="bottom"/>
            <w:gridSpan w:val="7"/>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6"/>
              </w:rPr>
              <w:t>Nine Months Ended September 30, 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158"/>
              <w:spacing w:after="0" w:line="132"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earnings/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2"/>
                <w:szCs w:val="12"/>
                <w:b w:val="1"/>
                <w:bCs w:val="1"/>
                <w:color w:val="auto"/>
                <w:w w:val="92"/>
              </w:rPr>
              <w:t>Total WTW</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88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102,538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10,910</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(2,856 )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9,520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($0.88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Additional non-controlling interests </w:t>
            </w:r>
            <w:r>
              <w:rPr>
                <w:rFonts w:ascii="Times New Roman" w:cs="Times New Roman" w:eastAsia="Times New Roman" w:hAnsi="Times New Roman"/>
                <w:sz w:val="16"/>
                <w:szCs w:val="16"/>
                <w:color w:val="auto"/>
                <w:vertAlign w:val="superscript"/>
              </w:rPr>
              <w:t>(ii)</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102,213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10,930</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(2,905 )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9,489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9,568</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($0.88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2"/>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10,943</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9,337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9,415</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(205 )</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(loss)/income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($0.88 per share)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30"/>
        </w:trPr>
        <w:tc>
          <w:tcPr>
            <w:tcW w:w="300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62"/>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100,871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10,957</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7,492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7,570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-1257935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-1257935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-1257935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-1257935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-1257935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-1257935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-1257935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-136525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-136525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-136525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-136525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-136525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-136525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-136525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60" w:hanging="272"/>
        <w:spacing w:after="0" w:line="277"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20" w:type="dxa"/>
            <w:vAlign w:val="bottom"/>
            <w:gridSpan w:val="7"/>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6"/>
              </w:rPr>
              <w:t>Nine Months Ended September 30, 2023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57"/>
              <w:spacing w:after="0" w:line="132" w:lineRule="exact"/>
              <w:rPr>
                <w:sz w:val="20"/>
                <w:szCs w:val="20"/>
                <w:color w:val="auto"/>
              </w:rPr>
            </w:pPr>
            <w:r>
              <w:rPr>
                <w:rFonts w:ascii="Times New Roman" w:cs="Times New Roman" w:eastAsia="Times New Roman" w:hAnsi="Times New Roman"/>
                <w:sz w:val="12"/>
                <w:szCs w:val="12"/>
                <w:b w:val="1"/>
                <w:bCs w:val="1"/>
                <w:color w:val="auto"/>
                <w:w w:val="92"/>
              </w:rPr>
              <w:t>Total WTW</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8"/>
              <w:spacing w:after="0" w:line="132"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106,756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10,876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32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10,093</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($0.84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0"/>
        </w:trPr>
        <w:tc>
          <w:tcPr>
            <w:tcW w:w="300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2023</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106,383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10,890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32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(2,568 )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10,096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80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10,176</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($0.84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2023</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104,943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10,910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32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(2,540 )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9,799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9,877</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($0.84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2023</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103,321</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10,903</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6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(2,620 )</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9,410</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60" w:hanging="272"/>
        <w:spacing w:after="0" w:line="277" w:lineRule="auto"/>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48,000 colleagues serving more than 140 countries and markets.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3"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 however, effective on September 30, 2024, the Company entered into an agreement to sell this business (TRANZACT), which is targeted for completion by December 31, 2024 (see Note 3 – Acquisitions and Divestitures).</w:t>
      </w:r>
    </w:p>
    <w:p>
      <w:pPr>
        <w:spacing w:after="0" w:line="128"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22, 2024, and may be accessed via EDGAR on the SEC’s web site at www.sec.gov.</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2024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Employee Share Purchase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the second quarter of 2024, the Company launched an employee share purchase plan (‘ESPP’) which is initially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available to colleagues in North America and certain other countries. The ESPP operates under the WTW Amended and Restated 2010 Employee Share Purchase Plan, as amended and restated on February 28, 2024. The ESPP allows eligible colleagues to defer a portion of their after-tax income during biannual six-month offering periods, at the end of which periods amounts deferred are converted to shares using the Company’s closing share price on the last trading day of the applicable offering period with a 15% discount applied. The ESPP has 1,377,500 shares available for purchase. ASC 840,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requires these deferred amounts to be recognized as liabilities, which we have included in other current liabilities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accompanying condensed consolidated balance sheet until they are converted to shares on the purchase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becomes effective for the Company on January 1, 2025, with early adoption permitted. The guidance is applied prospectively, with the option for retrospective application. The Company does not plan to early-adopt this ASU and is assessing the expected impact on its condensed consolidated financial statements.</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March 2024, the SEC adopted final rules on the enhancement and standardization of climate-related disclosures for investors. The rules require disclosure of certain climate-related information in registration statements and annual reports on Form 10-K. For example, the rules require the notes to the financial statements to include disclosure regarding the effects of severe weather events and other natural conditions, subject to certain materiality thresholds. Additionally, the rules also require certain other disclosures outside of the financial statements. Among other things, these requirements include Scope 1 (direct) and Scope 2 (indirect from purchased energy) greenhouse gas (‘GHG’) emissions, if material, which will be subject to assurance requirements that will be phased in, as well as governance, oversight and risk management disclosures, which include any transition plan adopted to manage material transition risk, and material climate targets and goals.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rules become effective in phases, currently beginning with any material current-year effects of severe weather events and other natural conditions and the more qualitative disclosures being required for inclusion in the Company’s 2025 Form 10-K, and some of the other more quantitative disclosures being required for the 2026 Form 10-K. While the disclosures are meant to cover the same periods in the financial statements, the requirements may be adopted on a prospective basis beginning with 2025. The Scope 1 and Scope 2 GHG emissions disclosures, which are required for the 2026 fiscal year, allow for additional time but must be filed by the due date of the second quarterly report on Form 10-Q or by amending the Form 10-K by that same deadline. Third-party limited assurance of the GHG emissions disclosures is required for the Company’s 2029 Form 10-K and reasonable assurance is required for the Company’s 2033 Form 10-K.</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Following a number of legal challenges to the final rule that have been consolidated for review in the U.S. Court of Appeals for the Eighth Circuit, the SEC has voluntarily stayed the newly-released climate rules pending the completion of judicial review of such consolidated petitions to avoid regulatory uncertainty for companies subject to the rule while the litigation proceeds. The Company is monitoring the outcome of the litigation and will provide the required disclosures if and when required.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through enhanced disclosures about significant segment expenses. Among other amendments, this ASU creates a ‘significant expense principle,’ and adds required disclosures of significant expenses for each reportable segment, as well as certain other disclosures to help investors understand how the chief operating decision maker (‘CODM’) evaluates segment expenses and operating results. In addition, this ASU requires for interim periods all disclosures about a reportable segment’s profit or loss and assets under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that had previously only been provided annually (e.g., interest income and expense, depreciation and amortization expense).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this ASU became effective for the Company on January 1, 2024, at which time it was adopted; the Company will include the new disclosures in our Annual Report on Form 10-K for the year ended December 31, 2024, as required. New interim disclosures are required for fiscal years beginning January 1, 2025 and will be included at that time.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New rules included in the proposed regulations issued on April 9, 2024 apply to share repurchases after April 12, 2024. The Company does not expect the excise tax or, to the extent applicable, CAMT to have a significant impact on its condensed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requires E.U. member states to enact domestic legislation to put Pillar Two into effect. In 2023, many E.U. countries enacted the necessary legislation (based on the OECD Model Rules) to implement Pillar Two in 2024. Ireland, in particular, enacted Pillar Two by signing Finance (No. 2) Bill 2023 into law in December 2023. Other countries and territories have indicated they will introduce Pillar Two beginning in 2025. To date, this legislation has not had a material impact on our tax provision or effective tax rate, however we continue to monitor evolving tax legislation in the jurisdictions in which we operate.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The Company completed acquisitions during the nine months ended September 30, 2024 for combined cash payments of $36 million and contingent consideration fair valued at $3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TRANZACT Divestiture</w:t>
      </w:r>
    </w:p>
    <w:p>
      <w:pPr>
        <w:spacing w:after="0" w:line="1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Effective on September 30, 2024, the Company entered into an agreement to sell TRANZACT, its direct-to-consumer insurance distribution business, for total cash consideration of $632 million, subject to certain adjustments. The completion of the deal is subject to required regulatory approvals and clearances, as well as other customary closing conditions, and is targeted for completion by December 31, 2024. After the sale is complete, a number of services are expected to continue to be provided by WTW to TRANZACT under a Transition Services Agreement.</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pending transaction, the Company has reclassified TRANZACT’s assets and liabilities as held-for-sale on its condensed consolidated balance sheets and recorded a pre-tax loss on the expected disposal of $920 million in order to adjust the carrying value of TRANZACT to its fair value (less estimated costs to dispose of the business) and record transaction costs incurred during the quarter. Additionally, and in conjunction with the expected sale, the Company recognized a $1.0 billion pre-tax goodwill impairment charge within its Benefits, Delivery and Administration reporting unit (‘BDA’). The loss on disposal and impairment were increased by a combined deferred tax adjustment of $304 million, which is offset by an equal $304 million deferred tax benefit which was recognized within benefit from income taxes on the condensed consolidated statement of income for the three months ended September 30, 2024. An additional deferred tax benefit, net of valuation allowance, arising from the expected tax loss on disposal was also recorded within benefit from income taxes on the condensed consolidated statement of income for the three months ended September 30, 2024.</w:t>
      </w:r>
    </w:p>
    <w:p>
      <w:pPr>
        <w:spacing w:after="0" w:line="13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Under held-for-sale accounting, the Company will continue to adjust the net book value of TRANZACT to fair value (less estimated costs to dispose of the business) until the closing date of the transaction which will result in additional loss on disposal.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4" w:name="page15"/>
    <w:bookmarkEnd w:id="14"/>
    <w:p>
      <w:pPr>
        <w:ind w:right="120"/>
        <w:spacing w:after="0" w:line="281" w:lineRule="auto"/>
        <w:rPr>
          <w:sz w:val="20"/>
          <w:szCs w:val="20"/>
          <w:color w:val="auto"/>
        </w:rPr>
      </w:pPr>
      <w:r>
        <w:rPr>
          <w:rFonts w:ascii="Times New Roman" w:cs="Times New Roman" w:eastAsia="Times New Roman" w:hAnsi="Times New Roman"/>
          <w:sz w:val="18"/>
          <w:szCs w:val="18"/>
          <w:color w:val="auto"/>
        </w:rPr>
        <w:t>TRANZACT is included in our Health, Wealth and Career segment. The following selected financial information relates to the operations of TRANZACT for the periods presented: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223"/>
        </w:trPr>
        <w:tc>
          <w:tcPr>
            <w:tcW w:w="5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9"/>
                <w:szCs w:val="19"/>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spacing w:after="0"/>
              <w:rPr>
                <w:sz w:val="20"/>
                <w:szCs w:val="20"/>
                <w:color w:val="auto"/>
              </w:rPr>
            </w:pP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5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total assets and liabilities of TRANZACT classified as held-for-sale within our condensed consolidated balance sheet at September 30, 2024:</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9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r>
      <w:tr>
        <w:trPr>
          <w:trHeight w:val="247"/>
        </w:trPr>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w:t>
            </w:r>
          </w:p>
        </w:tc>
      </w:tr>
      <w:tr>
        <w:trPr>
          <w:trHeight w:val="247"/>
        </w:trPr>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20"/>
                <w:szCs w:val="20"/>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970</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to fair value</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(918 )</w:t>
            </w:r>
          </w:p>
        </w:tc>
      </w:tr>
      <w:tr>
        <w:trPr>
          <w:trHeight w:val="276"/>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1,089</w:t>
            </w:r>
          </w:p>
        </w:tc>
      </w:tr>
      <w:tr>
        <w:trPr>
          <w:trHeight w:val="21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7"/>
        </w:trPr>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0"/>
                <w:szCs w:val="20"/>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381</w:t>
            </w:r>
          </w:p>
        </w:tc>
      </w:tr>
      <w:tr>
        <w:trPr>
          <w:trHeight w:val="247"/>
        </w:trPr>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475</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included in the condensed consolidated balance sheets did not transfer to Gallagher under the terms of the Willis Re SAPA, and instead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to be settled by the Company, noting that certain fiduciary positions continued to be held under the terms of various co-broking agreements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Company and Gallagher. On May 31, 2023, the Company and Gallagher entered into a side letter to the Willis Re SAPA which became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June 1, 2023 and which (A) ended the co-broking agreements prospectively and (B) transferred related fiduciary and certain non-fiduciary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to Gallagher at that time based on then-current estimates. These non-fiduciary amounts were finalized in the third quarter of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initial transfer during the second quarter of 2023 amounted to $74 million of other current liabilities less $26 million of accounts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Company, totaling $48 million of net cash transferred to Gallagher. Additionally, total fiduciary assets and liabilities of $4.5 billion,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$868 million of fiduciary cash, were transferred to Gallagher. The total cash outflow of $916 million was included in cash used in investing activities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2023. During the third quarter of 2023, WTW and Gallagher agreed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settlement of all balances which resulted in a $5 million increase to the gain on disposal recognized at that time, and is included within 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on our condensed consolidated statements of comprehensive income. The settlement of remaining amounts owed to Gallagher totaling $11 million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in October 2023.</w:t>
      </w:r>
    </w:p>
    <w:p>
      <w:pPr>
        <w:spacing w:after="0" w:line="1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During the third quarter of 2023, the term for these services was extended from November 30, 2023 to May 31, 2024, and during the second quarter of 2024, the second of the two extensions allowed under the TSA was invoked and the term for these services was further extended to November 30, 2024. Fees earned under the TSA were $7 million and $18 million during the three and nine months ended September 30, 2024, respectively, and $11 million and $29 million during the three and nine months ended September 30, 2023, respectively,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5" w:name="page16"/>
    <w:bookmarkEnd w:id="15"/>
    <w:p>
      <w:pPr>
        <w:ind w:right="100"/>
        <w:spacing w:after="0" w:line="288" w:lineRule="auto"/>
        <w:rPr>
          <w:sz w:val="20"/>
          <w:szCs w:val="20"/>
          <w:color w:val="auto"/>
        </w:rPr>
      </w:pPr>
      <w:r>
        <w:rPr>
          <w:rFonts w:ascii="Times New Roman" w:cs="Times New Roman" w:eastAsia="Times New Roman" w:hAnsi="Times New Roman"/>
          <w:sz w:val="17"/>
          <w:szCs w:val="17"/>
          <w:color w:val="auto"/>
        </w:rPr>
        <w:t>have been recognized as a reduction to the costs incurred to service the TSA and are included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69"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tables present revenue by service offering and segment, as well as reconciliations to total revenue for the three and nine months ended September 30, 2024 and 2023. Along with reimbursable expenses and other, total revenue by service offering represents our revenue from customer contracts.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262</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2,223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2,107</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1,334</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1,291</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909</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2,238</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2,124</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2,289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452"/>
        </w:trPr>
        <w:tc>
          <w:tcPr>
            <w:tcW w:w="3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876</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2,264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2,088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3,762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2,801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6,697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6,378</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3,944</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3,811</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2,810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6,752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6,445</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3,973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2,906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6,895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-1960245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-1943100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-1960245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-1943100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-1960245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-1943100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-1960245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-1943100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-1960245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-1943100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-1960245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-1943100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-1960245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-1943100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880" w:hanging="272"/>
        <w:spacing w:after="0" w:line="258" w:lineRule="auto"/>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57"/>
        </w:trPr>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-161925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-161925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a result of the cessation of the co-broking agreement,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pacing w:after="0" w:line="123"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The following tables present revenue from service offerings by the geography where our work was performed for the three and nine months ended September 30, 2024 and 2023. Reconciliations to total revenue on our condensed consolidated statements of comprehensive income and to segment revenue are shown in the tables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830</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830</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2,223</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2,107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2,480</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2,445</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1,056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3,536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3,762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2,801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6,697</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6,378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September 30, 2024 and December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$40 million and $34 million</w:t>
            </w:r>
          </w:p>
        </w:tc>
        <w:tc>
          <w:tcPr>
            <w:tcW w:w="52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1,445</w:t>
            </w:r>
          </w:p>
        </w:tc>
        <w:tc>
          <w:tcPr>
            <w:tcW w:w="680" w:type="dxa"/>
            <w:vAlign w:val="bottom"/>
            <w:gridSpan w:val="2"/>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5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5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2,118</w:t>
            </w:r>
          </w:p>
        </w:tc>
        <w:tc>
          <w:tcPr>
            <w:tcW w:w="68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r>
      <w:tr>
        <w:trPr>
          <w:trHeight w:val="20"/>
        </w:trPr>
        <w:tc>
          <w:tcPr>
            <w:tcW w:w="8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520" w:type="dxa"/>
            <w:vAlign w:val="bottom"/>
            <w:tcBorders>
              <w:bottom w:val="single" w:sz="8" w:color="auto"/>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r>
      <w:tr>
        <w:trPr>
          <w:trHeight w:val="236"/>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20" w:type="dxa"/>
            <w:vAlign w:val="bottom"/>
            <w:tcBorders>
              <w:bottom w:val="single" w:sz="8" w:color="auto"/>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-675640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-333375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amounts presented above exclude the receivables of TRANZACT at September 30, 2024, which have been reclassified as assets held for sale on the Company’s condensed consolidated balance sheet (see Note 3 – Acquisitions and Divestitures), including $190 million of accounts receivable, net and $951 million of non-current contract assets.</w:t>
      </w:r>
    </w:p>
    <w:p>
      <w:pPr>
        <w:spacing w:after="0" w:line="12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30, 2024, revenue of $67 million and $468 million, respectively, was recognized that was reflected as deferred revenue at December 31, 2023. During the three months ended September 30, 2024, revenue of $264 million was recognized that was reflected as deferred revenue at June 30, 2024.</w:t>
      </w:r>
    </w:p>
    <w:p>
      <w:pPr>
        <w:spacing w:after="0" w:line="12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revenue of $10 million and $31 million, respectively, related to performance obligations satisfied prior to 2024.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September 30, 2024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6"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16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 onward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as of September 30, 2024</w:t>
            </w: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762</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September 30, 2024 have been excluded from the table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three months ended September 30,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1,328</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1,282</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855</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2,268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2,137</w:t>
            </w:r>
          </w:p>
        </w:tc>
      </w:tr>
      <w:tr>
        <w:trPr>
          <w:trHeight w:val="227"/>
        </w:trPr>
        <w:tc>
          <w:tcPr>
            <w:tcW w:w="37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-358775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-341630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-358775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-341630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-358775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-341630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-358775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-341630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-358775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-341630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nine months ended September 30,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3,924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3,784</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2,897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2,659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6,821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6,443</w:t>
            </w:r>
          </w:p>
        </w:tc>
      </w:tr>
      <w:tr>
        <w:trPr>
          <w:trHeight w:val="227"/>
        </w:trPr>
        <w:tc>
          <w:tcPr>
            <w:tcW w:w="37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836</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1,516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1,295</w:t>
            </w:r>
          </w:p>
        </w:tc>
      </w:tr>
      <w:tr>
        <w:trPr>
          <w:trHeight w:val="592"/>
        </w:trPr>
        <w:tc>
          <w:tcPr>
            <w:tcW w:w="37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62"/>
        </w:trPr>
        <w:tc>
          <w:tcPr>
            <w:tcW w:w="3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-1240790</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-1223645</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-1240790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-1223645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-1240790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-1223645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-1240790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-1223645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-1240790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-1223645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-906780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-889635</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-906780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-889635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-906780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-889635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-906780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-889635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-906780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-889635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8" w:name="page19"/>
    <w:bookmarkEnd w:id="18"/>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and nine months ended September 30,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2,268</w:t>
            </w:r>
          </w:p>
        </w:tc>
        <w:tc>
          <w:tcPr>
            <w:tcW w:w="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2,137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6,821</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6,443</w:t>
            </w: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2,289</w:t>
            </w:r>
          </w:p>
        </w:tc>
        <w:tc>
          <w:tcPr>
            <w:tcW w:w="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2,166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6,895</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6,569</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499</w:t>
            </w:r>
          </w:p>
        </w:tc>
        <w:tc>
          <w:tcPr>
            <w:tcW w:w="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1,516</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r>
      <w:tr>
        <w:trPr>
          <w:trHeight w:val="247"/>
        </w:trPr>
        <w:tc>
          <w:tcPr>
            <w:tcW w:w="58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47"/>
        </w:trPr>
        <w:tc>
          <w:tcPr>
            <w:tcW w:w="58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(ii)</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Transaction and transformation </w:t>
            </w:r>
            <w:r>
              <w:rPr>
                <w:rFonts w:ascii="Times New Roman" w:cs="Times New Roman" w:eastAsia="Times New Roman" w:hAnsi="Times New Roman"/>
                <w:sz w:val="24"/>
                <w:szCs w:val="24"/>
                <w:color w:val="auto"/>
                <w:vertAlign w:val="superscript"/>
              </w:rPr>
              <w:t>(iii)</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43"/>
        </w:trPr>
        <w:tc>
          <w:tcPr>
            <w:tcW w:w="580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(iv)</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32"/>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(loss)/income, net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(1,113 )</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76"/>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(1,994 )</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-1925955</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-1925955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-1925955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-658495</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-658495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-658495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160" w:hanging="272"/>
        <w:spacing w:after="0" w:line="301"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non-cash goodwill impairment associated with our BDA reporting unit related to the pending sale of our TRANZACT business (see Note 3 — Acquisitions and Divestitures for further information).</w:t>
      </w:r>
    </w:p>
    <w:p>
      <w:pPr>
        <w:ind w:left="280" w:hanging="272"/>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Restructuring Costs for the composition of costs for 2024 and 2023.</w:t>
      </w:r>
    </w:p>
    <w:p>
      <w:pPr>
        <w:spacing w:after="0" w:line="25" w:lineRule="exact"/>
        <w:rPr>
          <w:rFonts w:ascii="Times New Roman" w:cs="Times New Roman" w:eastAsia="Times New Roman" w:hAnsi="Times New Roman"/>
          <w:sz w:val="14"/>
          <w:szCs w:val="14"/>
          <w:color w:val="auto"/>
        </w:rPr>
      </w:pPr>
    </w:p>
    <w:p>
      <w:pPr>
        <w:ind w:left="280" w:right="440" w:hanging="272"/>
        <w:spacing w:after="0" w:line="242"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and 2023, in addition to legal fees and other transaction costs, includes primarily consulting fees and compensation costs related to the Transformation program (see Note 6 — Restructuring Costs).</w:t>
      </w:r>
    </w:p>
    <w:p>
      <w:pPr>
        <w:spacing w:after="0" w:line="1" w:lineRule="exact"/>
        <w:rPr>
          <w:rFonts w:ascii="Times New Roman" w:cs="Times New Roman" w:eastAsia="Times New Roman" w:hAnsi="Times New Roman"/>
          <w:sz w:val="14"/>
          <w:szCs w:val="14"/>
          <w:color w:val="auto"/>
        </w:rPr>
      </w:pPr>
    </w:p>
    <w:p>
      <w:pPr>
        <w:ind w:left="280" w:right="100" w:hanging="272"/>
        <w:spacing w:after="0" w:line="258"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currently expect the program to generate annual cost savings in excess of $450 million by the end of 2024. The program is expected to incur cumulative costs of approximately $1.045 billion and capital expenditures of approximately $130 million, for a total investment of approximately $1.175 billion. The main categories of charges have been in the following four areas:</w:t>
      </w:r>
    </w:p>
    <w:p>
      <w:pPr>
        <w:spacing w:after="0" w:line="74" w:lineRule="exact"/>
        <w:rPr>
          <w:sz w:val="20"/>
          <w:szCs w:val="20"/>
          <w:color w:val="auto"/>
        </w:rPr>
      </w:pPr>
    </w:p>
    <w:p>
      <w:pPr>
        <w:ind w:left="760" w:right="32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(‘ROU’)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Other costs incurred under the Transformation program are included in transaction and transformation and were $67 million and $272 million during the three and nine months ended September 30, 2024, respectively, and $104 million and $231 million during the three and nine months ended September 30, 2023, respectively. An analysis of total restructuring costs incurred under the Transformation program by category and by segment and corporate functions, from commencement to September 30, 2024,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0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592"/>
        </w:trPr>
        <w:tc>
          <w:tcPr>
            <w:tcW w:w="48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-2482215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-2482215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-2482215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-2482215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-1540510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-1540510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-1540510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-1540510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-906780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-889635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-906780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-889635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-906780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-889635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-906780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-889635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Benefit from income taxes for the three and nine months ended September 30, 2024 was $322 million and $248 million, respectively, compared to a provision for income taxes of $25 million and $99 million for the three and nine months ended September 30, 2023, respectively. The effective tax rates were 16.1% and 15.6% for the three and nine months ended September 30, 2024, respectively, and 15.5% and 18.3% for the three and nine months ended September 30, 2023, respectively. These effective tax rates are calculated using extended values from our condensed consolidated statements of comprehensive income and are therefore more precise tax rates than can be calculated from rounded values. The prior-year effective tax rate for the three months ended September 30, 2023 was lower due to the tax-exempt gain on a business disposal. The current-year effective tax rate for the nine months ended September 30, 2024 was lower due to deferred tax benefits recognized on the gross-up to carrying value of net assets to be disposed and a deferred tax benefit of $56 million, net of a $37 million valuation allowance, on the expected tax loss on disposal of TRANZACT (see Note 3 – Acquisitions and Divestitures). The Company records valuation allowances against net deferred tax assets based on whether it is more likely than not that the deferred tax assets will be realized. During the three months ended September 30, 2024 the Company recorded a $37 million valuation allowance related to unrealized capital losses that are not more-likely-than-not to be realized.</w:t>
      </w:r>
    </w:p>
    <w:p>
      <w:pPr>
        <w:spacing w:after="0" w:line="13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1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$50 million, excluding interest and penalties. The Company believes the outcomes that are reasonably possible within the next 12 months may result in a reduction in the liability for uncertain tax positions of approximately $1 million to $3 million, excluding interest and penalties.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nine months ended September 30,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7,866</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10,687</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2023</w:t>
            </w:r>
          </w:p>
        </w:tc>
        <w:tc>
          <w:tcPr>
            <w:tcW w:w="84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7,736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10,195</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(1,042 )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(1,042 )</w:t>
            </w:r>
          </w:p>
        </w:tc>
      </w:tr>
      <w:tr>
        <w:trPr>
          <w:trHeight w:val="247"/>
        </w:trPr>
        <w:tc>
          <w:tcPr>
            <w:tcW w:w="66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Reclassification to held for sale </w:t>
            </w:r>
            <w:r>
              <w:rPr>
                <w:rFonts w:ascii="Times New Roman" w:cs="Times New Roman" w:eastAsia="Times New Roman" w:hAnsi="Times New Roman"/>
                <w:sz w:val="24"/>
                <w:szCs w:val="24"/>
                <w:color w:val="auto"/>
                <w:vertAlign w:val="superscript"/>
              </w:rPr>
              <w:t>(i)</w:t>
            </w: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4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7,325</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10,155</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September 30, 2024</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6,414</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8,882</w:t>
            </w:r>
          </w:p>
        </w:tc>
      </w:tr>
      <w:tr>
        <w:trPr>
          <w:trHeight w:val="20"/>
        </w:trPr>
        <w:tc>
          <w:tcPr>
            <w:tcW w:w="6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-1437640</wp:posOffset>
            </wp:positionV>
            <wp:extent cx="111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-1437640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111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220" w:hanging="272"/>
        <w:spacing w:after="0" w:line="258" w:lineRule="auto"/>
        <w:tabs>
          <w:tab w:leader="none" w:pos="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reclassified to held for sale were determined on a relative fair value allocation and are net of the impairment of goodwill on the BDA reporting unit. As such, $261 million of the accumulated impairment loss was also reclassified to held for sale.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nine months ended September 30,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3,807</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2023</w:t>
            </w:r>
          </w:p>
        </w:tc>
        <w:tc>
          <w:tcPr>
            <w:tcW w:w="1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1,293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to held for sale</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(17 )</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3,213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691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w:t>
            </w:r>
          </w:p>
        </w:tc>
        <w:tc>
          <w:tcPr>
            <w:tcW w:w="104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-1437640</wp:posOffset>
            </wp:positionV>
            <wp:extent cx="1968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-1437640</wp:posOffset>
            </wp:positionV>
            <wp:extent cx="1968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-1437640</wp:posOffset>
            </wp:positionV>
            <wp:extent cx="1885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-1437640</wp:posOffset>
            </wp:positionV>
            <wp:extent cx="1885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-187960</wp:posOffset>
            </wp:positionV>
            <wp:extent cx="1968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-187960</wp:posOffset>
            </wp:positionV>
            <wp:extent cx="1968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1885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1885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September 30, 2024 was 11.4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2024 and for subsequent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1,360</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September 30, 2024 and December 31, 2023 had total notional amounts of $147 million and $119 million, respectively, and had net asset fair values of $5 million and $2 million, respectively.</w:t>
      </w:r>
    </w:p>
    <w:p>
      <w:pPr>
        <w:spacing w:after="0" w:line="10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At September 30, 2024, the Company estimates, based on current exchange rates, there will be $3 million of net derivative gains on forward exchange rates reclassified from accumulated other comprehensive loss into earnings within the next twelve months as the forecast transactions affect earnings. At September 30, 2024, our longest outstanding maturity was 1.7 years.</w:t>
      </w:r>
    </w:p>
    <w:p>
      <w:pPr>
        <w:spacing w:after="0" w:line="12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and nine months ended September 30, 2024 and 2023 are below. Amounts pertaining to the ineffective portion of hedging instruments and those excluded from effectiveness testing were immaterial for the three and nine months ended September 30, 2024 and 2023.</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Gain/(loss) recognized in OCI (effective element)</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8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(loss)/gain reclassified from Accumulated OCL into</w:t>
            </w:r>
          </w:p>
        </w:tc>
        <w:tc>
          <w:tcPr>
            <w:tcW w:w="500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(Loss)/gain reclassified from Accumulated OCL into income (effective element)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(effective element)</w:t>
            </w:r>
          </w:p>
        </w:tc>
        <w:tc>
          <w:tcPr>
            <w:tcW w:w="5000" w:type="dxa"/>
            <w:vAlign w:val="bottom"/>
            <w:gridSpan w:val="8"/>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40" w:type="dxa"/>
            <w:vAlign w:val="bottom"/>
            <w:tcBorders>
              <w:top w:val="single" w:sz="8" w:color="auto"/>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940" w:type="dxa"/>
            <w:vAlign w:val="bottom"/>
            <w:tcBorders>
              <w:top w:val="single" w:sz="8" w:color="auto"/>
              <w:bottom w:val="single" w:sz="8" w:color="auto"/>
            </w:tcBorders>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63"/>
        </w:trPr>
        <w:tc>
          <w:tcPr>
            <w:tcW w:w="4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905"/>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00"/>
        </w:trPr>
        <w:tc>
          <w:tcPr>
            <w:tcW w:w="4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-1223645</wp:posOffset>
            </wp:positionV>
            <wp:extent cx="1282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-1223645</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-1223645</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-24765</wp:posOffset>
            </wp:positionV>
            <wp:extent cx="1282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1282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120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120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September 30, 2024 and December 31, 2023, we had notional amounts of $1.1 billion and $1.2 billion, respectively, with net asset fair values of $1 million and $3 million, respectively. Such derivatives typically mature within three months.</w:t>
      </w:r>
    </w:p>
    <w:p>
      <w:pPr>
        <w:spacing w:after="0" w:line="1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and nine months ended September 30, 2024 and 2023 are as follows (see Note 16 — Other Income, Net for the net foreign currency impact on the Company’s condensed consolidated statements of comprehensive income which includes the results of the offset of underlying exposures):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1"/>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7"/>
          </w:tcPr>
          <w:p>
            <w:pPr>
              <w:jc w:val="center"/>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1"/>
                <w:szCs w:val="11"/>
                <w:color w:val="auto"/>
              </w:rPr>
            </w:pPr>
          </w:p>
        </w:tc>
        <w:tc>
          <w:tcPr>
            <w:tcW w:w="1920" w:type="dxa"/>
            <w:vAlign w:val="bottom"/>
            <w:gridSpan w:val="6"/>
          </w:tcPr>
          <w:p>
            <w:pPr>
              <w:jc w:val="right"/>
              <w:ind w:right="574"/>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60" w:type="dxa"/>
            <w:vAlign w:val="bottom"/>
          </w:tcPr>
          <w:p>
            <w:pPr>
              <w:spacing w:after="0"/>
              <w:rPr>
                <w:sz w:val="11"/>
                <w:szCs w:val="11"/>
                <w:color w:val="auto"/>
              </w:rPr>
            </w:pPr>
          </w:p>
        </w:tc>
        <w:tc>
          <w:tcPr>
            <w:tcW w:w="23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Location of (loss)/gain</w:t>
            </w:r>
          </w:p>
        </w:tc>
        <w:tc>
          <w:tcPr>
            <w:tcW w:w="240" w:type="dxa"/>
            <w:vAlign w:val="bottom"/>
          </w:tcPr>
          <w:p>
            <w:pPr>
              <w:spacing w:after="0"/>
              <w:rPr>
                <w:sz w:val="11"/>
                <w:szCs w:val="11"/>
                <w:color w:val="auto"/>
              </w:rPr>
            </w:pPr>
          </w:p>
        </w:tc>
        <w:tc>
          <w:tcPr>
            <w:tcW w:w="9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60" w:type="dxa"/>
            <w:vAlign w:val="bottom"/>
            <w:shd w:val="clear" w:color="auto" w:fill="CFF0FC"/>
          </w:tcPr>
          <w:p>
            <w:pPr>
              <w:spacing w:after="0"/>
              <w:rPr>
                <w:sz w:val="22"/>
                <w:szCs w:val="22"/>
                <w:color w:val="auto"/>
              </w:rPr>
            </w:pPr>
          </w:p>
        </w:tc>
        <w:tc>
          <w:tcPr>
            <w:tcW w:w="23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FF0FC"/>
          </w:tcPr>
          <w:p>
            <w:pPr>
              <w:jc w:val="center"/>
              <w:ind w:left="541"/>
              <w:spacing w:after="0"/>
              <w:rPr>
                <w:sz w:val="20"/>
                <w:szCs w:val="20"/>
                <w:color w:val="auto"/>
              </w:rPr>
            </w:pPr>
            <w:r>
              <w:rPr>
                <w:rFonts w:ascii="Times New Roman" w:cs="Times New Roman" w:eastAsia="Times New Roman" w:hAnsi="Times New Roman"/>
                <w:sz w:val="16"/>
                <w:szCs w:val="16"/>
                <w:color w:val="auto"/>
              </w:rPr>
              <w:t>(4 )   $</w:t>
            </w:r>
          </w:p>
        </w:tc>
        <w:tc>
          <w:tcPr>
            <w:tcW w:w="20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(13 )  $</w:t>
            </w:r>
          </w:p>
        </w:tc>
        <w:tc>
          <w:tcPr>
            <w:tcW w:w="360" w:type="dxa"/>
            <w:vAlign w:val="bottom"/>
            <w:shd w:val="clear" w:color="auto" w:fill="CFF0FC"/>
          </w:tcPr>
          <w:p>
            <w:pPr>
              <w:spacing w:after="0"/>
              <w:rPr>
                <w:sz w:val="22"/>
                <w:szCs w:val="22"/>
                <w:color w:val="auto"/>
              </w:rPr>
            </w:pPr>
          </w:p>
        </w:tc>
        <w:tc>
          <w:tcPr>
            <w:tcW w:w="8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45"/>
        </w:trPr>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16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2"/>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60" w:type="dxa"/>
            <w:vAlign w:val="bottom"/>
            <w:tcBorders>
              <w:bottom w:val="single" w:sz="8" w:color="CFF0FC"/>
            </w:tcBorders>
            <w:shd w:val="clear" w:color="auto" w:fill="CFF0FC"/>
          </w:tcPr>
          <w:p>
            <w:pPr>
              <w:spacing w:after="0"/>
              <w:rPr>
                <w:sz w:val="20"/>
                <w:szCs w:val="20"/>
                <w:color w:val="auto"/>
              </w:rPr>
            </w:pPr>
          </w:p>
        </w:tc>
        <w:tc>
          <w:tcPr>
            <w:tcW w:w="2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3"/>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160" w:type="dxa"/>
            <w:vAlign w:val="bottom"/>
            <w:shd w:val="clear" w:color="auto" w:fill="CFF0FC"/>
          </w:tcPr>
          <w:p>
            <w:pPr>
              <w:spacing w:after="0"/>
              <w:rPr>
                <w:sz w:val="20"/>
                <w:szCs w:val="20"/>
                <w:color w:val="auto"/>
              </w:rPr>
            </w:pPr>
          </w:p>
        </w:tc>
        <w:tc>
          <w:tcPr>
            <w:tcW w:w="2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37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gridSpan w:val="3"/>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8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-3415665</wp:posOffset>
            </wp:positionV>
            <wp:extent cx="939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-3398520</wp:posOffset>
            </wp:positionV>
            <wp:extent cx="93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-3415665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-3398520</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-3415665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-3398520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-2456815</wp:posOffset>
            </wp:positionV>
            <wp:extent cx="120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On March 5, 2024, the Company, together with its wholly-owned subsidiary, Willis North America Inc., as issuer, completed an offering of $750 million aggregate principal amount of 5.900% senior notes due 2054 (‘2054 senior notes’). The effective interest rate of the 2054 senior notes is 6.00%, which includes the impact of the discount upon issuance. The 2054 senior notes will mature 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23" w:name="page24"/>
    <w:bookmarkEnd w:id="23"/>
    <w:p>
      <w:pPr>
        <w:ind w:right="100"/>
        <w:spacing w:after="0" w:line="260" w:lineRule="auto"/>
        <w:rPr>
          <w:sz w:val="20"/>
          <w:szCs w:val="20"/>
          <w:color w:val="auto"/>
        </w:rPr>
      </w:pPr>
      <w:r>
        <w:rPr>
          <w:rFonts w:ascii="Times New Roman" w:cs="Times New Roman" w:eastAsia="Times New Roman" w:hAnsi="Times New Roman"/>
          <w:sz w:val="18"/>
          <w:szCs w:val="18"/>
          <w:color w:val="auto"/>
        </w:rPr>
        <w:t>March 5, 2054. Interest on the 2054 senior notes accrues from March 5, 2024 and will be paid in cash on March 5 and September 5 of each year, commencing on September 5, 2024. The net proceeds from this offering, after deducting the underwriting discount and offering expenses, were approximately $737 million, of which $662 million was used to fully repay the $650 million aggregate principal amount and related accrued interest of the 3.600% senior notes at maturity during the second quarter of 2024. The Company is using the remaining net proceeds for general corporate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40" w:hanging="378"/>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4"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4" w:lineRule="exact"/>
        <w:rPr>
          <w:rFonts w:ascii="Times New Roman" w:cs="Times New Roman" w:eastAsia="Times New Roman" w:hAnsi="Times New Roman"/>
          <w:sz w:val="18"/>
          <w:szCs w:val="18"/>
          <w:color w:val="auto"/>
        </w:rPr>
      </w:pPr>
    </w:p>
    <w:p>
      <w:pPr>
        <w:ind w:left="760" w:right="320" w:hanging="378"/>
        <w:spacing w:after="0" w:line="26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9" w:lineRule="exact"/>
        <w:rPr>
          <w:rFonts w:ascii="Times New Roman" w:cs="Times New Roman" w:eastAsia="Times New Roman" w:hAnsi="Times New Roman"/>
          <w:sz w:val="18"/>
          <w:szCs w:val="18"/>
          <w:color w:val="auto"/>
        </w:rPr>
      </w:pPr>
    </w:p>
    <w:p>
      <w:pPr>
        <w:jc w:val="both"/>
        <w:ind w:left="760" w:right="60" w:hanging="378"/>
        <w:spacing w:after="0" w:line="26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9"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September 30, 2024 and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gridSpan w:val="9"/>
          </w:tcPr>
          <w:p>
            <w:pPr>
              <w:ind w:left="44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520" w:type="dxa"/>
            <w:vAlign w:val="bottom"/>
            <w:gridSpan w:val="2"/>
          </w:tcPr>
          <w:p>
            <w:pPr>
              <w:ind w:left="104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8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tc>
        <w:tc>
          <w:tcPr>
            <w:tcW w:w="3520" w:type="dxa"/>
            <w:vAlign w:val="bottom"/>
            <w:gridSpan w:val="2"/>
            <w:shd w:val="clear" w:color="auto" w:fill="CFF0FC"/>
          </w:tcPr>
          <w:p>
            <w:pPr>
              <w:ind w:left="20"/>
              <w:spacing w:after="0" w:line="148"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85"/>
        </w:trPr>
        <w:tc>
          <w:tcPr>
            <w:tcW w:w="3520" w:type="dxa"/>
            <w:vAlign w:val="bottom"/>
            <w:vMerge w:val="continue"/>
            <w:shd w:val="clear" w:color="auto" w:fill="CFF0FC"/>
          </w:tcPr>
          <w:p>
            <w:pPr>
              <w:spacing w:after="0"/>
              <w:rPr>
                <w:sz w:val="16"/>
                <w:szCs w:val="16"/>
                <w:color w:val="auto"/>
              </w:rPr>
            </w:pP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180" w:type="dxa"/>
            <w:vAlign w:val="bottom"/>
          </w:tcPr>
          <w:p>
            <w:pPr>
              <w:spacing w:after="0"/>
              <w:rPr>
                <w:sz w:val="20"/>
                <w:szCs w:val="20"/>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7"/>
        </w:trPr>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0"/>
        </w:trPr>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22"/>
                <w:szCs w:val="22"/>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ectPr>
          <w:pgSz w:w="11900" w:h="16838" w:orient="portrait"/>
          <w:cols w:equalWidth="0" w:num="1">
            <w:col w:w="11240"/>
          </w:cols>
          <w:pgMar w:left="320" w:top="1146" w:right="339" w:bottom="1440" w:gutter="0" w:footer="0" w:header="0"/>
        </w:sectPr>
      </w:pP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1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-761365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-453390</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-144780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146"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24" w:name="page25"/>
    <w:bookmarkEnd w:id="24"/>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-205740</wp:posOffset>
            </wp:positionV>
            <wp:extent cx="7132320"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-95885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57785</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-7620</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6631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6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r>
      <w:tr>
        <w:trPr>
          <w:trHeight w:val="56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r>
    </w:tbl>
    <w:p>
      <w:pPr>
        <w:spacing w:after="0" w:line="254" w:lineRule="exact"/>
        <w:rPr>
          <w:sz w:val="20"/>
          <w:szCs w:val="20"/>
          <w:color w:val="auto"/>
        </w:rPr>
      </w:pPr>
    </w:p>
    <w:p>
      <w:pPr>
        <w:sectPr>
          <w:pgSz w:w="11900" w:h="16838" w:orient="portrait"/>
          <w:cols w:equalWidth="0" w:num="3">
            <w:col w:w="2820" w:space="720"/>
            <w:col w:w="3140" w:space="360"/>
            <w:col w:w="4200"/>
          </w:cols>
          <w:pgMar w:left="320" w:top="1148"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9505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-453390</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-144780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148" w:right="339" w:bottom="1440" w:gutter="0" w:footer="0" w:header="0"/>
          <w:type w:val="continuous"/>
        </w:sectPr>
      </w:pPr>
    </w:p>
    <w:p>
      <w:pPr>
        <w:spacing w:after="0" w:line="6" w:lineRule="exact"/>
        <w:rPr>
          <w:sz w:val="20"/>
          <w:szCs w:val="20"/>
          <w:color w:val="auto"/>
        </w:rPr>
      </w:pPr>
    </w:p>
    <w:p>
      <w:pPr>
        <w:ind w:left="280" w:right="220" w:hanging="272"/>
        <w:spacing w:after="0" w:line="251"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7" w:lineRule="exact"/>
        <w:rPr>
          <w:rFonts w:ascii="Times New Roman" w:cs="Times New Roman" w:eastAsia="Times New Roman" w:hAnsi="Times New Roman"/>
          <w:sz w:val="14"/>
          <w:szCs w:val="14"/>
          <w:color w:val="auto"/>
        </w:rPr>
      </w:pPr>
    </w:p>
    <w:p>
      <w:pPr>
        <w:ind w:left="280" w:right="40" w:hanging="272"/>
        <w:spacing w:after="0" w:line="229"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13.40% and 13.28% at September 30, 2024 and December 31, 2023, respectively. The range of these discount rates was 11.00% - 13.80% at September 30, 2024. Using different probability weightings and discount rates could result in an increase or decrease of the contingent consideration payable.</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3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assumed</w:t>
            </w:r>
          </w:p>
        </w:tc>
        <w:tc>
          <w:tcPr>
            <w:tcW w:w="180" w:type="dxa"/>
            <w:vAlign w:val="bottom"/>
          </w:tcPr>
          <w:p>
            <w:pPr>
              <w:spacing w:after="0"/>
              <w:rPr>
                <w:sz w:val="20"/>
                <w:szCs w:val="20"/>
                <w:color w:val="auto"/>
              </w:rPr>
            </w:pPr>
          </w:p>
        </w:tc>
        <w:tc>
          <w:tcPr>
            <w:tcW w:w="1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92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180" w:type="dxa"/>
            <w:vAlign w:val="bottom"/>
          </w:tcPr>
          <w:p>
            <w:pPr>
              <w:spacing w:after="0"/>
              <w:rPr>
                <w:sz w:val="21"/>
                <w:szCs w:val="21"/>
                <w:color w:val="auto"/>
              </w:rPr>
            </w:pPr>
          </w:p>
        </w:tc>
        <w:tc>
          <w:tcPr>
            <w:tcW w:w="1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740" w:hanging="272"/>
        <w:spacing w:after="0" w:line="258"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nine months ended September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 During the three months ended September 30, 2024, the Company recorded goodwill impairment charges of $1.0 billion on its BDA reporting unit in connection with the pending sale of TRANZACT (see Note 3 —</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type w:val="continuous"/>
        </w:sectPr>
      </w:pPr>
    </w:p>
    <w:bookmarkStart w:id="25" w:name="page26"/>
    <w:bookmarkEnd w:id="25"/>
    <w:p>
      <w:pPr>
        <w:ind w:right="120"/>
        <w:spacing w:after="0" w:line="281" w:lineRule="auto"/>
        <w:rPr>
          <w:sz w:val="20"/>
          <w:szCs w:val="20"/>
          <w:color w:val="auto"/>
        </w:rPr>
      </w:pPr>
      <w:r>
        <w:rPr>
          <w:rFonts w:ascii="Times New Roman" w:cs="Times New Roman" w:eastAsia="Times New Roman" w:hAnsi="Times New Roman"/>
          <w:sz w:val="18"/>
          <w:szCs w:val="18"/>
          <w:color w:val="auto"/>
        </w:rPr>
        <w:t>Acquisitions and Divestitures). The fair value of the reporting unit was determined in part using discounted future cash flows, which is a Level 3 valuation technique.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Information about Financial Instruments Not Measured at Fair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September 30, 2024 and December 31,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645</w:t>
            </w: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5,308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5,226</w:t>
            </w:r>
          </w:p>
        </w:tc>
        <w:tc>
          <w:tcPr>
            <w:tcW w:w="5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4,359</w:t>
            </w:r>
          </w:p>
        </w:tc>
      </w:tr>
    </w:tbl>
    <w:p>
      <w:pPr>
        <w:spacing w:after="0" w:line="1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Plans</w:t>
      </w:r>
    </w:p>
    <w:p>
      <w:pPr>
        <w:spacing w:after="0" w:line="17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following tables set forth the components of net periodic benefit (income)/cost for the Company’s defined benefit pension plans for the three and nine months ended September 30,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72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gridSpan w:val="3"/>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(11 )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5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5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59"/>
        </w:trPr>
        <w:tc>
          <w:tcPr>
            <w:tcW w:w="46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72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gridSpan w:val="3"/>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(227 )</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3"/>
              </w:rPr>
              <w:t>(119 )</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(32 )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6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580" w:type="dxa"/>
            <w:vAlign w:val="bottom"/>
            <w:tcBorders>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-1780540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-1780540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-1780540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-1780540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-1780540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nine months ended September 30, 2024 and currently does not anticipate making contributions over the remainder of the fiscal year. The Company made contributions of $2 million to its U.K. plans for the nine months ended September 30, 2024 and anticipates making additional contributions of $1 million for the remainder of the fiscal year. The Company made contributions of $11 million to its other plans for the nine months ended September 30, 2024 and anticipates making less than $1 million of additional contributions for the remainder of the fiscal year.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Company had contribution expense related to its defined contribution plans of $43 million and $128 million during the three and nine months ended September 30, 2024, respectively, and $40 million and $121 million during the three and nine months ended September 30, 2023,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lease costs recorded on our condensed consolidated statements of comprehensive income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5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r>
      <w:tr>
        <w:trPr>
          <w:trHeight w:val="238"/>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r>
      <w:tr>
        <w:trPr>
          <w:trHeight w:val="24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-187960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$4 million and $21 million incurred during the three and nine months ended September 30, 2024, respectively, and $15 million and $23 million incurred during the three and nine months ended September 30, 2023,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ROU assets and the payment of early termination fees.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September 30, 2024 and December 31, 2023 in the condensed consolidated balance sheets.</w:t>
      </w:r>
    </w:p>
    <w:p>
      <w:pPr>
        <w:spacing w:after="0" w:line="13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7" w:name="page28"/>
    <w:bookmarkEnd w:id="27"/>
    <w:p>
      <w:pPr>
        <w:ind w:right="140"/>
        <w:spacing w:after="0" w:line="281" w:lineRule="auto"/>
        <w:rPr>
          <w:sz w:val="20"/>
          <w:szCs w:val="20"/>
          <w:color w:val="auto"/>
        </w:rPr>
      </w:pPr>
      <w:r>
        <w:rPr>
          <w:rFonts w:ascii="Times New Roman" w:cs="Times New Roman" w:eastAsia="Times New Roman" w:hAnsi="Times New Roman"/>
          <w:sz w:val="18"/>
          <w:szCs w:val="18"/>
          <w:color w:val="auto"/>
        </w:rPr>
        <w:t>that an adverse outcome or settlement in certain matters could, from time to time, have a material adverse effect on the Company’s results of operations or cash flows in a particular quarterly or annual period.</w:t>
      </w:r>
    </w:p>
    <w:p>
      <w:pPr>
        <w:spacing w:after="0" w:line="10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Supplementary Information for Certain Balance Sheet Accounts</w:t>
      </w:r>
    </w:p>
    <w:p>
      <w:pPr>
        <w:spacing w:after="0" w:line="17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Additional details of specific balance sheet accounts are detailed below. The current-year presentation excludes the assets and liabilities of TRANZACT, which have been reclassified as held for sale as appropriate on the condensed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2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126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26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00" w:type="dxa"/>
            <w:vAlign w:val="bottom"/>
          </w:tcPr>
          <w:p>
            <w:pPr>
              <w:spacing w:after="0"/>
              <w:rPr>
                <w:sz w:val="24"/>
                <w:szCs w:val="24"/>
                <w:color w:val="auto"/>
              </w:rPr>
            </w:pPr>
          </w:p>
        </w:tc>
        <w:tc>
          <w:tcPr>
            <w:tcW w:w="12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26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126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26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00" w:type="dxa"/>
            <w:vAlign w:val="bottom"/>
          </w:tcPr>
          <w:p>
            <w:pPr>
              <w:spacing w:after="0"/>
              <w:rPr>
                <w:sz w:val="24"/>
                <w:szCs w:val="24"/>
                <w:color w:val="auto"/>
              </w:rPr>
            </w:pPr>
          </w:p>
        </w:tc>
        <w:tc>
          <w:tcPr>
            <w:tcW w:w="12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2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126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1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126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-3698240</wp:posOffset>
            </wp:positionV>
            <wp:extent cx="120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-1266825</wp:posOffset>
            </wp:positionV>
            <wp:extent cx="1200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and long-term compensation plan liabilities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 Other (Loss)/Income, Net</w:t>
            </w: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(loss)/income, net consists of the following:</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(1,190 )</w:t>
            </w: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4"/>
              </w:rPr>
              <w:t>(1,190 )</w:t>
            </w:r>
          </w:p>
        </w:tc>
        <w:tc>
          <w:tcPr>
            <w:tcW w:w="1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26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Foreign exchange (loss)/gain </w:t>
            </w:r>
            <w:r>
              <w:rPr>
                <w:rFonts w:ascii="Times New Roman" w:cs="Times New Roman" w:eastAsia="Times New Roman" w:hAnsi="Times New Roman"/>
                <w:sz w:val="24"/>
                <w:szCs w:val="24"/>
                <w:color w:val="auto"/>
                <w:vertAlign w:val="superscript"/>
              </w:rPr>
              <w:t>(i)</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(loss)/income,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(1,113 )</w:t>
            </w:r>
          </w:p>
        </w:tc>
        <w:tc>
          <w:tcPr>
            <w:tcW w:w="9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-2157095</wp:posOffset>
            </wp:positionV>
            <wp:extent cx="1200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the offsetting effects of the Company's foreign currency hedging program. See Note 9 — Derivative Financial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tables for the three and nine months ended September 30, 2024 and 2023. These tables exclude amounts attributable to non-controlling interests, which are not material for further disclosure.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9"/>
              <w:spacing w:after="0" w:line="189"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2C2C2C"/>
                <w:w w:val="99"/>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Quarter-to-date activity:</w:t>
            </w: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Balance at June 30, 2024 and 2023,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(909 )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(926 )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62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(2,023 )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(1,626 )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(2,921 )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(2,540 )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income/(loss) before</w:t>
            </w: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94</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(85 )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96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(88 )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4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Loss reclassified from accumulated 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40" w:type="dxa"/>
            <w:vAlign w:val="bottom"/>
          </w:tcPr>
          <w:p>
            <w:pPr>
              <w:spacing w:after="0"/>
              <w:rPr>
                <w:sz w:val="12"/>
                <w:szCs w:val="12"/>
                <w:color w:val="auto"/>
              </w:rPr>
            </w:pPr>
          </w:p>
        </w:tc>
        <w:tc>
          <w:tcPr>
            <w:tcW w:w="7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8</w:t>
            </w:r>
          </w:p>
        </w:tc>
        <w:tc>
          <w:tcPr>
            <w:tcW w:w="0" w:type="dxa"/>
            <w:vAlign w:val="bottom"/>
          </w:tcPr>
          <w:p>
            <w:pPr>
              <w:spacing w:after="0"/>
              <w:rPr>
                <w:sz w:val="1"/>
                <w:szCs w:val="1"/>
                <w:color w:val="auto"/>
              </w:rPr>
            </w:pPr>
          </w:p>
        </w:tc>
      </w:tr>
      <w:tr>
        <w:trPr>
          <w:trHeight w:val="171"/>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$5 and $2, respectively)</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income/(loss)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94</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(85 )</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15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111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(80 )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Balance at September 30, 2024 and 2023,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(815 )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(1,011 )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13</w:t>
            </w:r>
          </w:p>
        </w:tc>
        <w:tc>
          <w:tcPr>
            <w:tcW w:w="62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(2,008 )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(1,619 )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(2,810 )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(2,620 )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Year-to-date activity:</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December 31, 2023 and 2022,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(816 )</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(987 )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62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(2,051 )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(1,643 )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(2,856 )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(2,621 )</w:t>
            </w: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income/(loss) before</w:t>
            </w:r>
          </w:p>
        </w:tc>
        <w:tc>
          <w:tcPr>
            <w:tcW w:w="140" w:type="dxa"/>
            <w:vAlign w:val="bottom"/>
          </w:tcPr>
          <w:p>
            <w:pPr>
              <w:spacing w:after="0"/>
              <w:rPr>
                <w:sz w:val="12"/>
                <w:szCs w:val="12"/>
                <w:color w:val="auto"/>
              </w:rPr>
            </w:pPr>
          </w:p>
        </w:tc>
        <w:tc>
          <w:tcPr>
            <w:tcW w:w="7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(24 )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(24 )</w:t>
            </w:r>
          </w:p>
        </w:tc>
        <w:tc>
          <w:tcPr>
            <w:tcW w:w="0" w:type="dxa"/>
            <w:vAlign w:val="bottom"/>
          </w:tcPr>
          <w:p>
            <w:pPr>
              <w:spacing w:after="0"/>
              <w:rPr>
                <w:sz w:val="1"/>
                <w:szCs w:val="1"/>
                <w:color w:val="auto"/>
              </w:rPr>
            </w:pPr>
          </w:p>
        </w:tc>
      </w:tr>
      <w:tr>
        <w:trPr>
          <w:trHeight w:val="185"/>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(Income)/loss reclassified from accumulated other</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43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25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42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25</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$14 and $8, respectively)</w:t>
            </w: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income/(loss)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(24 )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43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46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1</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September 30, 2024 and 2023, respectively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(815 )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(1,011 )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13</w:t>
            </w: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2C2C2C"/>
                <w:w w:val="99"/>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10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(2,008 )</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(1,619 )</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(2,810 )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(2,620 )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-1463675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-1463675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-1463675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-1463675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-1463675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-1463675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-1463675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-333375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-333375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-333375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-333375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-333375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-333375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-24765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(loss)/income attributable to WTW by the average number of ordinary shares outstanding during each period. The computation of diluted (loss)/earnings per share reflects the potential dilution that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9" w:name="page30"/>
    <w:bookmarkEnd w:id="29"/>
    <w:p>
      <w:pPr>
        <w:ind w:right="260"/>
        <w:spacing w:after="0" w:line="281" w:lineRule="auto"/>
        <w:rPr>
          <w:sz w:val="20"/>
          <w:szCs w:val="20"/>
          <w:color w:val="auto"/>
        </w:rPr>
      </w:pPr>
      <w:r>
        <w:rPr>
          <w:rFonts w:ascii="Times New Roman" w:cs="Times New Roman" w:eastAsia="Times New Roman" w:hAnsi="Times New Roman"/>
          <w:sz w:val="18"/>
          <w:szCs w:val="18"/>
          <w:color w:val="auto"/>
        </w:rPr>
        <w:t>could occur if dilutive securities and other contracts to issue shares were exercised or converted into shares or resulted in the issuance of shares that then shared in the net income of the Company.</w:t>
      </w:r>
    </w:p>
    <w:p>
      <w:pPr>
        <w:spacing w:after="0" w:line="109"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At September 30, 2024 and 2023, there were 0.6 million restricted performance-based stock units outstanding at each period presented, and 0.5 million restricted time-based stock units outstanding at each period presented. The Company had no time-based share options outstanding and no performance-based options outstanding at September 30, 2024 and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(loss)/earnings per share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2"/>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(loss)/income attributable to WTW</w:t>
            </w:r>
          </w:p>
        </w:tc>
        <w:tc>
          <w:tcPr>
            <w:tcW w:w="76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(1,675 )</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r>
      <w:tr>
        <w:trPr>
          <w:trHeight w:val="227"/>
        </w:trPr>
        <w:tc>
          <w:tcPr>
            <w:tcW w:w="5600" w:type="dxa"/>
            <w:vAlign w:val="bottom"/>
            <w:tcBorders>
              <w:top w:val="single" w:sz="8" w:color="CFF0FC"/>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7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7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r>
      <w:tr>
        <w:trPr>
          <w:trHeight w:val="227"/>
        </w:trPr>
        <w:tc>
          <w:tcPr>
            <w:tcW w:w="5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(loss)/earnings per share</w:t>
            </w:r>
          </w:p>
        </w:tc>
        <w:tc>
          <w:tcPr>
            <w:tcW w:w="76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(16.44 )</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(13.11 )</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4.08</w:t>
            </w: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760" w:type="dxa"/>
            <w:vAlign w:val="bottom"/>
            <w:tcBorders>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(16.44 )</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(13.11 )</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-1326515</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-1309370</wp:posOffset>
            </wp:positionV>
            <wp:extent cx="939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-1326515</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-1309370</wp:posOffset>
            </wp:positionV>
            <wp:extent cx="857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-1326515</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-1309370</wp:posOffset>
            </wp:positionV>
            <wp:extent cx="857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-675640</wp:posOffset>
            </wp:positionV>
            <wp:extent cx="939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-658495</wp:posOffset>
            </wp:positionV>
            <wp:extent cx="939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-675640</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-658495</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-675640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-658495</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dilutive effect of potentially issuable shares was not computed for the three and nine months ended September 30, 2024 as the Company reported a net loss within its condensed consolidated statements of comprehensive income. Anti-dilutive restricted stock units were immaterial for the three and nine months ended September 30, 2023. There were no anti-dilutive options for the three and nine months ended September 30,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8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3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8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cash, cash equivalents and other restricted cash</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fiduciary funds</w:t>
            </w:r>
          </w:p>
        </w:tc>
        <w:tc>
          <w:tcPr>
            <w:tcW w:w="28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0" w:type="dxa"/>
            <w:vAlign w:val="bottom"/>
          </w:tcPr>
          <w:p>
            <w:pPr>
              <w:spacing w:after="0"/>
              <w:rPr>
                <w:sz w:val="1"/>
                <w:szCs w:val="1"/>
                <w:color w:val="auto"/>
              </w:rPr>
            </w:pPr>
          </w:p>
        </w:tc>
      </w:tr>
      <w:tr>
        <w:trPr>
          <w:trHeight w:val="234"/>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4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53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3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-1720215</wp:posOffset>
            </wp:positionV>
            <wp:extent cx="1111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-1069975</wp:posOffset>
            </wp:positionV>
            <wp:extent cx="1111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to softening market.</w:t>
      </w:r>
    </w:p>
    <w:p>
      <w:pPr>
        <w:spacing w:after="0" w:line="132"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U.S. and global markets are continuing to experience volatility and disruption as a result of the ongoing Russia-Ukraine and Middle East conflicts. Although the length and impact of these situations are highly unpredictable, the conflicts have contributed to negative impacts on and volatility of the global economy and capital markets, resulting in significant inflation and fluctuating interest rates in many of the markets in which we operate, and could continue to lead to further market disruptions. This impacts not only the cost of and access to liquidity, but also other costs to run and invest in our business.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ind w:right="40"/>
        <w:spacing w:after="0" w:line="254" w:lineRule="auto"/>
        <w:rPr>
          <w:sz w:val="20"/>
          <w:szCs w:val="20"/>
          <w:color w:val="auto"/>
        </w:rPr>
      </w:pPr>
      <w:r>
        <w:rPr>
          <w:rFonts w:ascii="Times New Roman" w:cs="Times New Roman" w:eastAsia="Times New Roman" w:hAnsi="Times New Roman"/>
          <w:sz w:val="18"/>
          <w:szCs w:val="18"/>
          <w:color w:val="auto"/>
        </w:rPr>
        <w:t>Other global economic events, such as accommodative monetary and fiscal policy, supply chain disruptions and geopolitical tensions beyond the aforementioned ongoing wars, contributed to significant inflation across the globe. In particular, inflation in the United States, Europe and other geographies has risen to levels not experienced in recent decades, and while this has eased somewhat in the last year,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cost of doing business, including our operating and general and administrative expenses, and we have no control or limited ability to control such factors. These general economic conditions impact revenue, including revenue from customers as well as income from funds we hold on behalf of customers and pension-related income.</w:t>
      </w:r>
    </w:p>
    <w:p>
      <w:pPr>
        <w:spacing w:after="0" w:line="135" w:lineRule="exact"/>
        <w:rPr>
          <w:sz w:val="20"/>
          <w:szCs w:val="20"/>
          <w:color w:val="auto"/>
        </w:rPr>
      </w:pPr>
    </w:p>
    <w:p>
      <w:pPr>
        <w:jc w:val="both"/>
        <w:ind w:right="500"/>
        <w:spacing w:after="0" w:line="312" w:lineRule="auto"/>
        <w:rPr>
          <w:sz w:val="20"/>
          <w:szCs w:val="20"/>
          <w:color w:val="auto"/>
        </w:rPr>
      </w:pPr>
      <w:r>
        <w:rPr>
          <w:rFonts w:ascii="Times New Roman" w:cs="Times New Roman" w:eastAsia="Times New Roman" w:hAnsi="Times New Roman"/>
          <w:sz w:val="17"/>
          <w:szCs w:val="17"/>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8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22, 2024, for a discussion of risks that may affect, among other things, our growth relative to expectation and our ability to achieve our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currently expect the program to generate annual cost savings in excess of $450 million by the end of 2024. The program is expected to incur cumulative costs of approximately $1.045 billion and capital expenditures of approximately $130 million, for a total investment of approximately $1.175 billion. The main categories of charges have been in the following four areas:</w:t>
      </w:r>
    </w:p>
    <w:p>
      <w:pPr>
        <w:spacing w:after="0" w:line="74" w:lineRule="exact"/>
        <w:rPr>
          <w:sz w:val="20"/>
          <w:szCs w:val="20"/>
          <w:color w:val="auto"/>
        </w:rPr>
      </w:pPr>
    </w:p>
    <w:p>
      <w:pPr>
        <w:ind w:left="760" w:right="30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our new ways of working (hybrid work) and includes breakage fees and the impairment of right-of-use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and are included as restructuring costs in the condensed consolidated statements of comprehensive income. For the three and nine months ended September 30, 2024, restructuring charges under our Transformation program totaled $8 million and $29 million, respectively; for the three and nine months ended September 30, 2023, restructuring charges under our Transformation program totaled $17 million and $30 million, respectively. Other costs incurred under the Transformation program are included in transaction and transformation and were $67 million and $272 million for the three and nine months ended September 30, 2024, respectively, and $104 million and $231 million for the three and nine months ended September 30, 2023, respectively.</w:t>
      </w:r>
    </w:p>
    <w:p>
      <w:pPr>
        <w:spacing w:after="0" w:line="18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From the actions taken during the third quarter of 2024, we have identified an additional $52 million of annualized run-rate savings during the year due to newly-realized opportunities and incremental sources of value. Since the inception of the program, we have identified $446 million of cumulative annualized run-rate savings, which overall are primarily </w:t>
      </w:r>
      <w:r>
        <w:rPr>
          <w:rFonts w:ascii="Times New Roman" w:cs="Times New Roman" w:eastAsia="Times New Roman" w:hAnsi="Times New Roman"/>
          <w:sz w:val="18"/>
          <w:szCs w:val="18"/>
          <w:color w:val="212121"/>
        </w:rPr>
        <w:t>attributable to process optimization. We began to recognize the benefits</w:t>
      </w:r>
      <w:r>
        <w:rPr>
          <w:rFonts w:ascii="Times New Roman" w:cs="Times New Roman" w:eastAsia="Times New Roman" w:hAnsi="Times New Roman"/>
          <w:sz w:val="18"/>
          <w:szCs w:val="18"/>
          <w:color w:val="auto"/>
        </w:rPr>
        <w:t xml:space="preserve"> from the program during 2022.</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For a discussion of some of the risks associated with the Transformation program, see Part I, Item 1A ‘Risk Factors’ in our Annual Report on Form 10-K, filed with the SEC on February 22, 2024.</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 in millions, except</w:t>
            </w:r>
          </w:p>
        </w:tc>
        <w:tc>
          <w:tcPr>
            <w:tcW w:w="10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2,289</w:t>
            </w:r>
          </w:p>
        </w:tc>
        <w:tc>
          <w:tcPr>
            <w:tcW w:w="20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6,895</w:t>
            </w:r>
          </w:p>
        </w:tc>
        <w:tc>
          <w:tcPr>
            <w:tcW w:w="26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6,569</w:t>
            </w:r>
          </w:p>
        </w:tc>
        <w:tc>
          <w:tcPr>
            <w:tcW w:w="2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14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4,135</w:t>
            </w: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4,019</w:t>
            </w:r>
          </w:p>
        </w:tc>
        <w:tc>
          <w:tcPr>
            <w:tcW w:w="2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1"/>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1,282</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68"/>
        </w:trPr>
        <w:tc>
          <w:tcPr>
            <w:tcW w:w="500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w:t>
            </w:r>
          </w:p>
        </w:tc>
        <w:tc>
          <w:tcPr>
            <w:tcW w:w="14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46 %</w:t>
            </w:r>
          </w:p>
        </w:tc>
        <w:tc>
          <w:tcPr>
            <w:tcW w:w="160" w:type="dxa"/>
            <w:vAlign w:val="bottom"/>
          </w:tcPr>
          <w:p>
            <w:pPr>
              <w:spacing w:after="0"/>
              <w:rPr>
                <w:sz w:val="23"/>
                <w:szCs w:val="2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tcPr>
          <w:p>
            <w:pPr>
              <w:spacing w:after="0"/>
              <w:rPr>
                <w:sz w:val="23"/>
                <w:szCs w:val="2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3"/>
                <w:szCs w:val="23"/>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8"/>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7,169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26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tcPr>
          <w:p>
            <w:pPr>
              <w:spacing w:after="0"/>
              <w:rPr>
                <w:sz w:val="19"/>
                <w:szCs w:val="19"/>
                <w:color w:val="auto"/>
              </w:rPr>
            </w:pPr>
          </w:p>
        </w:tc>
        <w:tc>
          <w:tcPr>
            <w:tcW w:w="7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26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2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68"/>
        </w:trPr>
        <w:tc>
          <w:tcPr>
            <w:tcW w:w="50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Other (loss)/income, net </w:t>
            </w:r>
            <w:r>
              <w:rPr>
                <w:rFonts w:ascii="Times New Roman" w:cs="Times New Roman" w:eastAsia="Times New Roman" w:hAnsi="Times New Roman"/>
                <w:sz w:val="24"/>
                <w:szCs w:val="24"/>
                <w:color w:val="auto"/>
                <w:vertAlign w:val="superscript"/>
              </w:rPr>
              <w:t>(i)</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20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3"/>
                <w:szCs w:val="2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(1,113 )</w:t>
            </w:r>
          </w:p>
        </w:tc>
        <w:tc>
          <w:tcPr>
            <w:tcW w:w="260" w:type="dxa"/>
            <w:vAlign w:val="bottom"/>
          </w:tcPr>
          <w:p>
            <w:pPr>
              <w:spacing w:after="0"/>
              <w:rPr>
                <w:sz w:val="23"/>
                <w:szCs w:val="23"/>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4"/>
        </w:trPr>
        <w:tc>
          <w:tcPr>
            <w:tcW w:w="50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(LOSS)/INCOME FROM OPERATIONS BEFORE INCOME</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(1,994 )</w:t>
            </w: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(1,584 )</w:t>
            </w:r>
          </w:p>
        </w:tc>
        <w:tc>
          <w:tcPr>
            <w:tcW w:w="26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14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Pr>
          <w:p>
            <w:pPr>
              <w:spacing w:after="0"/>
              <w:rPr>
                <w:sz w:val="21"/>
                <w:szCs w:val="21"/>
                <w:color w:val="auto"/>
              </w:rPr>
            </w:pPr>
          </w:p>
        </w:tc>
        <w:tc>
          <w:tcPr>
            <w:tcW w:w="7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 ATTRIBUTABLE TO WTW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(1,675 )</w:t>
            </w:r>
          </w:p>
        </w:tc>
        <w:tc>
          <w:tcPr>
            <w:tcW w:w="200" w:type="dxa"/>
            <w:vAlign w:val="bottom"/>
          </w:tcPr>
          <w:p>
            <w:pPr>
              <w:spacing w:after="0"/>
              <w:rPr>
                <w:sz w:val="20"/>
                <w:szCs w:val="20"/>
                <w:color w:val="auto"/>
              </w:rPr>
            </w:pPr>
          </w:p>
        </w:tc>
        <w:tc>
          <w:tcPr>
            <w:tcW w:w="84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5"/>
                <w:szCs w:val="15"/>
                <w:color w:val="auto"/>
              </w:rPr>
              <w:t xml:space="preserve">(73 )% </w:t>
            </w:r>
            <w:r>
              <w:rPr>
                <w:rFonts w:ascii="Times New Roman" w:cs="Times New Roman" w:eastAsia="Times New Roman" w:hAnsi="Times New Roman"/>
                <w:sz w:val="27"/>
                <w:szCs w:val="27"/>
                <w:color w:val="auto"/>
                <w:vertAlign w:val="superscript"/>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7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6 % </w:t>
            </w:r>
            <w:r>
              <w:rPr>
                <w:rFonts w:ascii="Times New Roman" w:cs="Times New Roman" w:eastAsia="Times New Roman" w:hAnsi="Times New Roman"/>
                <w:sz w:val="27"/>
                <w:szCs w:val="27"/>
                <w:color w:val="auto"/>
                <w:vertAlign w:val="super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(1,344 )</w:t>
            </w:r>
          </w:p>
        </w:tc>
        <w:tc>
          <w:tcPr>
            <w:tcW w:w="260" w:type="dxa"/>
            <w:vAlign w:val="bottom"/>
          </w:tcPr>
          <w:p>
            <w:pPr>
              <w:spacing w:after="0"/>
              <w:rPr>
                <w:sz w:val="20"/>
                <w:szCs w:val="20"/>
                <w:color w:val="auto"/>
              </w:rPr>
            </w:pPr>
          </w:p>
        </w:tc>
        <w:tc>
          <w:tcPr>
            <w:tcW w:w="72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5"/>
                <w:szCs w:val="15"/>
                <w:color w:val="auto"/>
              </w:rPr>
              <w:t>(19 )%</w:t>
            </w:r>
            <w:r>
              <w:rPr>
                <w:rFonts w:ascii="Times New Roman" w:cs="Times New Roman" w:eastAsia="Times New Roman" w:hAnsi="Times New Roman"/>
                <w:sz w:val="27"/>
                <w:szCs w:val="27"/>
                <w:color w:val="auto"/>
                <w:vertAlign w:val="superscript"/>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(16.44 )</w:t>
            </w: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(13.11 )</w:t>
            </w:r>
          </w:p>
        </w:tc>
        <w:tc>
          <w:tcPr>
            <w:tcW w:w="2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-2687955</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-3004820</wp:posOffset>
            </wp:positionV>
            <wp:extent cx="713232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132320"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120" w:hanging="272"/>
        <w:spacing w:after="0" w:line="258"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2024, Impairment and Other (loss)/income, net include goodwill-related impairment expense and loss on disposal, respectively, associated with the pending sale of our TRANZACT business (see Note 3 — Acquisitions and Divestitures within Part I, Item 1 ‘Financial Statements’ in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Revenue for the three months ended September 30, 2024 was $2.3 billion, compared to $2.2 billion for the three months ended September 30, 2023, an increase of $123 million, or 6%, on an as-reported basis. Adjusting for the impacts of foreign currency and acquisitions and disposals, our organic revenue growth was 6% for the three months ended September 30, 2024. Revenue for the nine months ended September 30, 2024 was $6.9 billion, compared to $6.6 billion for the nine months ended September 30, 2023, an increase of $326 million, or 5%, on an as-reported basis. Adjusting for the impacts of foreign currency and acquisitions and disposals, our organic revenue growth was 5% for the nine months ended September 30, 2024. The increases in both as-reported and organic revenue were driven by strong performances in both segments. For additional information, please see the section entitled ‘Segment Revenue’ elsewhere within this Item 2 in this Quarterly Report on Form 10-Q.</w:t>
      </w:r>
    </w:p>
    <w:p>
      <w:pPr>
        <w:spacing w:after="0" w:line="13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However, for the three months ended September 30, 2024, the impact of currency translation on our revenue was immaterial. For the nine months ended September 30, 2024, currency translation decreased our consolidated revenue by $4 million.</w:t>
      </w:r>
    </w:p>
    <w:p>
      <w:pPr>
        <w:spacing w:after="0" w:line="1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nine months ended September 30, 2024. These figures do not represent the currency of the related revenue, which is presented in the next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6"/>
                <w:szCs w:val="16"/>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620"/>
        </w:trPr>
        <w:tc>
          <w:tcPr>
            <w:tcW w:w="3380" w:type="dxa"/>
            <w:vAlign w:val="bottom"/>
          </w:tcPr>
          <w:p>
            <w:pPr>
              <w:spacing w:after="0"/>
              <w:rPr>
                <w:sz w:val="24"/>
                <w:szCs w:val="24"/>
                <w:color w:val="auto"/>
              </w:rPr>
            </w:pPr>
          </w:p>
        </w:tc>
        <w:tc>
          <w:tcPr>
            <w:tcW w:w="562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3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-1035685</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42"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nine months ended September 30,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40" w:type="dxa"/>
            <w:vAlign w:val="bottom"/>
          </w:tcPr>
          <w:p>
            <w:pPr>
              <w:spacing w:after="0"/>
              <w:rPr>
                <w:sz w:val="18"/>
                <w:szCs w:val="18"/>
                <w:color w:val="auto"/>
              </w:rPr>
            </w:pPr>
          </w:p>
        </w:tc>
        <w:tc>
          <w:tcPr>
            <w:tcW w:w="1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8"/>
                <w:szCs w:val="18"/>
                <w:color w:val="auto"/>
              </w:rPr>
            </w:pPr>
          </w:p>
        </w:tc>
        <w:tc>
          <w:tcPr>
            <w:tcW w:w="1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c>
          <w:tcPr>
            <w:tcW w:w="60" w:type="dxa"/>
            <w:vAlign w:val="bottom"/>
          </w:tcPr>
          <w:p>
            <w:pPr>
              <w:spacing w:after="0"/>
              <w:rPr>
                <w:sz w:val="18"/>
                <w:szCs w:val="18"/>
                <w:color w:val="auto"/>
              </w:rPr>
            </w:pPr>
          </w:p>
        </w:tc>
      </w:tr>
      <w:tr>
        <w:trPr>
          <w:trHeight w:val="22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58"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costs.</w:t>
      </w:r>
    </w:p>
    <w:p>
      <w:pPr>
        <w:spacing w:after="0" w:line="11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following tables set forth the total revenue for the three and nine months ended September 30, 2024 and 2023, and the components of the change in total revenue for the three and nine months ended September 30, 2024, as compared to the prior-year periods. The components of the revenue change may not add due to rounding.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2,289</w:t>
            </w: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2,166</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452"/>
        </w:trPr>
        <w:tc>
          <w:tcPr>
            <w:tcW w:w="19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6,895</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6,569</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-984250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-967105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-984250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-967105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nine months ended September 30, 2024.</w:t>
      </w:r>
    </w:p>
    <w:p>
      <w:pPr>
        <w:spacing w:after="0" w:line="15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in this Quarterly Report on Form 10-Q.</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22, 2024.</w:t>
      </w:r>
    </w:p>
    <w:p>
      <w:pPr>
        <w:spacing w:after="0" w:line="109"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permitted by applicable accounting standards and SEC rules.</w:t>
      </w:r>
    </w:p>
    <w:p>
      <w:pPr>
        <w:spacing w:after="0" w:line="10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34" w:name="page35"/>
    <w:bookmarkEnd w:id="34"/>
    <w:p>
      <w:pPr>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September 30, 2024 and 2023, and the components of the change in revenue for the three months ended September 30, 2024 from the three months ended September 30,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8"/>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575"/>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7"/>
        </w:trPr>
        <w:tc>
          <w:tcPr>
            <w:tcW w:w="2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r>
      <w:tr>
        <w:trPr>
          <w:trHeight w:val="169"/>
        </w:trPr>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1,275</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1,282</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HWC segment revenue for both the three months ended September 30, 2024 and 2023 was $1.3 billion. Health had organic revenue growth driven by strong client retention, new local appointments and the continued expansion of our Global Benefits Management client portfolio in International and Europe, along with increased brokerage income in North America. Wealth generated organic revenue growth from higher levels of Retirement work in Europe and an increase in our Investments business due to capital market improvements and growth from our LifeSight solution. Career had organic revenue growth from increased compensation survey sales and advisory services in Work &amp; Rewards and product revenue in Employee Experience. Benefits Delivery &amp; Outsourcing had an organic revenue decline for the quarter primarily as a result of deliberately moderating growth in Individual Marketplace and a stronger comparable in Outsourcing.</w:t>
      </w:r>
    </w:p>
    <w:p>
      <w:pPr>
        <w:spacing w:after="0" w:line="18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nine months ended September 30, 2024 and 2023 and the components of the change in revenue for the nine months ended September 30, 2024 from the nine months ended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8"/>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595"/>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7"/>
        </w:trPr>
        <w:tc>
          <w:tcPr>
            <w:tcW w:w="2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r>
      <w:tr>
        <w:trPr>
          <w:trHeight w:val="169"/>
        </w:trPr>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3,898</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3,766</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3,784</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HWC segment revenue for the nine months ended September 30, 2024 and 2023 was $3.9 billion and $3.8 billion, respectively. Organic revenue growth in Health was achieved across all regions and led by International. Our Wealth businesses generated organic revenue growth from our Investments-related solutions and higher levels of Retirement work in North America and Europe. Career had organic revenue growth from increased project work in Employee Experience and Work &amp; Rewards. Organic growth in Benefits Delivery &amp; Outsourcing was driven by higher project work in Outsourcing and higher commissions and fees from Individual Marketplace.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September 30, 2024 and 2023, and the components of the change in revenue for the three months ended September 30, 2024 from the three months ended September 30,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8"/>
        </w:trPr>
        <w:tc>
          <w:tcPr>
            <w:tcW w:w="2480" w:type="dxa"/>
            <w:vAlign w:val="bottom"/>
          </w:tcPr>
          <w:p>
            <w:pPr>
              <w:spacing w:after="0"/>
              <w:rPr>
                <w:sz w:val="13"/>
                <w:szCs w:val="13"/>
                <w:color w:val="auto"/>
              </w:rPr>
            </w:pPr>
          </w:p>
        </w:tc>
        <w:tc>
          <w:tcPr>
            <w:tcW w:w="2040" w:type="dxa"/>
            <w:vAlign w:val="bottom"/>
            <w:gridSpan w:val="4"/>
          </w:tcPr>
          <w:p>
            <w:pPr>
              <w:jc w:val="right"/>
              <w:ind w:right="128"/>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7"/>
        </w:trPr>
        <w:tc>
          <w:tcPr>
            <w:tcW w:w="24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r>
      <w:tr>
        <w:trPr>
          <w:trHeight w:val="169"/>
        </w:trPr>
        <w:tc>
          <w:tcPr>
            <w:tcW w:w="24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 in</w:t>
            </w:r>
          </w:p>
        </w:tc>
        <w:tc>
          <w:tcPr>
            <w:tcW w:w="8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911</w:t>
            </w:r>
          </w:p>
        </w:tc>
        <w:tc>
          <w:tcPr>
            <w:tcW w:w="84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830</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940</w:t>
            </w:r>
          </w:p>
        </w:tc>
        <w:tc>
          <w:tcPr>
            <w:tcW w:w="84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855</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r>
      <w:tr>
        <w:trPr>
          <w:trHeight w:val="587"/>
        </w:trPr>
        <w:tc>
          <w:tcPr>
            <w:tcW w:w="24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60" w:type="dxa"/>
            <w:vAlign w:val="bottom"/>
            <w:tcBorders>
              <w:top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r>
      <w:tr>
        <w:trPr>
          <w:trHeight w:val="762"/>
        </w:trPr>
        <w:tc>
          <w:tcPr>
            <w:tcW w:w="2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-906780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-889635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-906780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-889635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5" w:name="page36"/>
    <w:bookmarkEnd w:id="35"/>
    <w:p>
      <w:pPr>
        <w:jc w:val="both"/>
        <w:ind w:right="500"/>
        <w:spacing w:after="0" w:line="260" w:lineRule="auto"/>
        <w:rPr>
          <w:sz w:val="20"/>
          <w:szCs w:val="20"/>
          <w:color w:val="auto"/>
        </w:rPr>
      </w:pPr>
      <w:r>
        <w:rPr>
          <w:rFonts w:ascii="Times New Roman" w:cs="Times New Roman" w:eastAsia="Times New Roman" w:hAnsi="Times New Roman"/>
          <w:sz w:val="18"/>
          <w:szCs w:val="18"/>
          <w:color w:val="auto"/>
        </w:rPr>
        <w:t>R&amp;B segment revenue for the three months ended September 30, 2024 and 2023 was $940 million and $855 million, respectively. Corporate Risk &amp; Broking had organic revenue growth primarily driven by higher levels of new business activity and strong client retention. Insurance Consulting and Technology had organic revenue growth for the quarter primarily due to strong software sales in Technology, partially offset by tempered demand for discretionary services in Consulting.</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nine months ended September 30, 2024 and 2023 and the components of the change in revenue for the nine months ended September 30, 2024 from the nine months ended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8"/>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595"/>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7"/>
        </w:trPr>
        <w:tc>
          <w:tcPr>
            <w:tcW w:w="2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r>
      <w:tr>
        <w:trPr>
          <w:trHeight w:val="169"/>
        </w:trPr>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2,811</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2,607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2,659</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R&amp;B segment revenue for the nine months ended September 30, 2024 and 2023 was $2.9 billion and $2.7 billion, respectively. Corporate Risk &amp; Broking had organic revenue growth primarily driven by higher levels of new business activity and strong client retention and renewal increases across all geographies. Insurance Consulting and Technology had flat organic revenue growth for the year primarily due to tempered demand for discretionary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September 30, 2024 were $3.1 billion, compared to $2.0 billion for the three months ended September 30, 2023, an increase of $1.0 billion. Total costs of providing services for the nine months ended September 30, 2024 were $7.2 billion, compared to $6.0 billion for the nine months ended September 30, 2023, an increase of $1.2 billion. These increases resulted from the impairment expense associated with the pending sale of our TRANZACT business in the current-year period (see Note 3 — Acquisitions and Divestitures within Part I, Item 1 ‘Financial Statements’ in this Quarterly Report on Form 10-Q). See the following discussion for further details.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Salaries and benefits for both the three months ended September 30, 2024 and 2023 were $1.4 billion, an increase of $37 million, or 3%. The increase in the current-year period is primarily due to higher salary expense, driven by increased colleague headcount and cost-of-living compensation adjustments, and higher benefit costs for the period. Salaries and benefits, as a percentage of revenue, represented 61% and 63% for the three months ended September 30, 2024 and 2023, respectively.</w:t>
      </w:r>
    </w:p>
    <w:p>
      <w:pPr>
        <w:spacing w:after="0" w:line="1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Salaries and benefits for the nine months ended September 30, 2024 were $4.1 billion, compared to $4.0 billion for the nine months ended September 30, 2023, an increase of $116 million, or 3%. The increase in the current year is primarily due to higher salary expense, driven by increased colleague headcount and cost-of-living compensation adjustments, and higher incentive and benefit costs for the period. Salaries and benefits, as a percentage of revenue, represented 60% and 61% for the nine months ended September 30, 2024 and 2023,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73"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Other operating expenses for the three months ended September 30, 2024 were $419 million, compared to $396 million for the three months ended September 30, 2023, an increase of $23 million, or 6%. The increase was primarily due to higher non-income-related tax expense for the current-year period as compared to the prior-year period.</w:t>
      </w:r>
    </w:p>
    <w:p>
      <w:pPr>
        <w:spacing w:after="0" w:line="12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Other operating expenses for both the nine months ended September 30, 2024 and 2023 were $1.3 billion, an increase of $33 million, or 3%. The increase was primarily due to higher non-income-related tax expense and increased marketing costs, partially offset by lower occupancy costs for the current year as compared to the prior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7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Impairment for both the three and nine months ended September 30, 2024 was $1.0 billion. Impairment is attributable to the goodwill impairment associated with our Benefits, Delivery and Administration (‘BDA’) reporting unit related to the pending sale of our TRANZACT business (see Note 3 — Acquisitions and Divestitures within Part I, Item 1 ‘Financial Statements’ in this Quarterly Report on Form 10-Q).</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Depreciation for both the three months ended September 30, 2024 and 2023 was $60 million. Depreciation for the nine months ended September 30, 2024 was $176 million, compared to $184 million for the nine months ended September 30, 2023, a decrease of $8 million, or 4%. The year-over-year decrease was primarily due to a lower depreciable base of assets resulting from business disposals and a lower dollar value of assets placed in service during the past few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Amortization for the three months ended September 30, 2024 was $56 million, compared to $62 million for the three months ended September 30, 2023, a decrease of $6 million, or 10%. Amortization for the nine months ended September 30, 2024 was $176 million, compared to $203 million for the nine months ended September 30, 2023, a decrease of $27 million, or 13%. Our intangible amortization is generally more weighted to the initial years of the useful lives of the related intangibles, and therefore amortization related to intangible assets has decreased and will continue to decrease over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Restructuring costs for the three months ended September 30, 2024 were $8 million, compared to $17 million for the three months ended September 30, 2023. Restructuring costs for the nine months ended September 30, 2024 were $29 million, compared to $30 million for the nine months ended September 30, 2023. Restructuring costs in both the current-year and prior-year periods primarily related to the real estate rationalization component of the Transformation program commenced by the Company during the fourth quarter of 2021 (see ‘Transformation Program’ within this Part I, Item 2 and Note 6 — Restructuring Costs within Part I, Item 1 ‘Financial Statements’ in this Quarterly Report on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Transformation</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Transaction and transformation costs for the three months ended September 30, 2024 were $74 million, compared to $113 million for the three months ended September 30, 2023, a decrease of $39 million. Transaction and transformation costs for the nine months ended September 30, 2024 were $296 million, compared to $265 million for the nine months ended September 30, 2023, an increase of $31 million. Transaction and transformation costs for the current year-to-date period were higher primarily due to increased compensation and consulting costs related to our Transformation program (see ‘Transformation Program’ within this Part I, Item 2) incurred in the current year as compared to the prior-year comparable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p>
      <w:pPr>
        <w:spacing w:after="0" w:line="1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Loss from operations for the three months ended September 30, 2024 was $766 million, compared to income from operations of $159 million for the three months ended September 30, 2023, a decrease of $925 million. This decrease resulted from the impairment expense associated with the pending sale of our TRANZACT business in the current-year period (see Note 3 — Acquisitions and Divestitures within Part I, Item 1 ‘Financial Statements’ in this Quarterly Report on Form 10-Q), partially offset by higher revenue in the current-year period.</w:t>
      </w:r>
    </w:p>
    <w:p>
      <w:pPr>
        <w:spacing w:after="0" w:line="1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Loss from operations for the nine months ended September 30, 2024 was $274 million, compared to income from operations of $586 million for the nine months ended September 30, 2023, a decrease of $860 million. This decrease resulted from the impairment expense associated with the pending sale of our TRANZACT business, higher salary expense and increased incentive and benefit costs in the current year, partially offset by higher revenue in the current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was $65 million, compared to $61 million for the three months ended September 30, 2023, an increase of $4 million, or 7%. Interest expense for the nine months ended September 30, 2024 was $197 million as compared to $172 million for the nine months ended September 30, 2023, an increase of $25 million, or 15%. These increases were the result of a greater level of indebtedness in the current year and the higher interest rate-bearing senior notes issued by the Company during the last two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(Loss)/Income, Net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(loss)/income, net for the three months ended September 30, 2024 was a loss of $1.2 billion, compared to income of $66 million for the three months ended September 30, 2023, a decrease of $1.2 billion. Other (loss)/income, net for the nine months ended September 30, 2024 was a loss of $1.1 billion, compared to income of $126 million for the nine months ended September 30, 2023, a decrease of $1.2 billion. The decreases were due to a higher loss on disposal in the current-year periods, which are attributable to the pending sale of our TRANZACT business (see Note 3 — Acquisitions and Divestitures within Part I, Item 1 ‘Financial Statements’ in this Quarterly Report on Form 10-Q).</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Benefit from/(Provision for) Income Taxes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Benefit from/(provision for) income taxes for the three months ended September 30, 2024 was a benefit of $322 million, compared to a provision of $25 million for the three months ended September 30, 2023, a decrease of $347 million. The effective tax rates were 16.1% for the three months ended September 30, 2024 and 15.5% for the three months ended September 30, 2023. Benefit from/(provision for) income taxes for the nine months ended September 30, 2024 was a benefit of $248 million, compared to a provision of $99 million for the nine months ended September 30, 2023. The effective tax rates were 15.6% for the nine months ended September 30, 2024 and 18.3% for the nine months ended September 30, 2023. These effective tax rates are calculated using extended values from our condensed consolidated statements of comprehensive income and are therefore more precise tax rates than can be calculated from rounded values. The prior-year effective tax rate for the three months ended September 30, 2023 was lower due to the tax-exempt gain on a business disposal. The current-year effective tax rate for the nine months ended September 30, 2024 was lower due to deferred tax benefits recognized on the gross-up to carrying value of net assets to be disposed and a deferred tax benefit of $56 million, net of a $37 million valuation allowance, on the expected tax loss on disposal of TRANZACT (see Note 3 – Acquisitions and Divestitures within Part I, Item 1 ‘Financial Statements’ in this Quarterly Report on Form 10-Q). The Company records valuation allowances against net deferred tax assets based on whether it is more likely than not that the deferred tax assets will be realized. During the three months ended September 30, 2024 the Company recorded a $37 million valuation allowance related to unrealized capital losses that are not more-likely-than-not to be realized.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WTW</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loss attributable to WTW for the three months ended September 30, 2024 was $1.7 billion, compared to income of $136 million for the three months ended September 30, 2023, a decrease of $1.8 billion. This decrease resulted from the loss on disposal and impairment expense associated with the pending sale of our TRANZACT business in the current-year period (see Note 3 — Acquisitions and Divestitures within Part I, Item 1 ‘Financial Statements’ in this Quarterly Report on Form 10-Q), partially offset by lower tax expense attributable to the losses associated with the pending sale and higher revenue in the current-year period.</w:t>
      </w:r>
    </w:p>
    <w:p>
      <w:pPr>
        <w:spacing w:after="0" w:line="1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Net loss attributable to WTW for the nine months ended September 30, 2024 was $1.3 billion, compared to income of $433 million for the nine months ended September 30, 2023, a decrease of $1.8 billion. This decrease resulted from the loss on disposal and impairment expense associated with the pending sale of our TRANZACT business, higher salary expense and increased incentive and benefit costs in the current year, partially offset by higher revenue and lower tax expense attributable to the losses associated with the pending sale in the current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w:t>
      </w:r>
    </w:p>
    <w:p>
      <w:pPr>
        <w:spacing w:after="0" w:line="109"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w:t>
      </w:r>
    </w:p>
    <w:p>
      <w:pPr>
        <w:spacing w:after="0" w:line="10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first quarter of 2024, we completed an offering of $750 million aggregate principal amount of 5.900% senior notes due 2054 and used the net proceeds during the second quarter to repay in full the $650 million aggregate principal amount and related accrued interest of the 3.600% senior notes. The Company is using the remaining net proceeds for general corporate purposes. Additionally, during the nine months ended September 30, 2024, we repurchased $506 million of shares and have authorization to repurchase an additional $837 million.</w:t>
      </w:r>
    </w:p>
    <w:p>
      <w:pPr>
        <w:spacing w:after="0" w:line="121"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consider many factors, including market and economic conditions, applicable legal requirements and other business considerations, when considering whether to repurchase shares. Our share repurchase program (as further described below under ‘Share Repurchase Program’) has no termination date and may be suspended or discontinued at any time.</w:t>
      </w:r>
    </w:p>
    <w:p>
      <w:pPr>
        <w:spacing w:after="0" w:line="123"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the receipt of significant earnout payments related to past divestitures,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Our cash and cash equivalents at September 30, 2024 and December 31, 2023 totaled $1.4 billion. The decrease of $52 million in cash from December 31, 2023 to September 30, 2024 was due primarily to $506 million of share repurchases, $265 million of dividend payments and $230 million of cash outflows attributable to investing activities, partially offset by $913 million of cash inflows from operating activities.</w:t>
      </w:r>
    </w:p>
    <w:p>
      <w:pPr>
        <w:spacing w:after="0" w:line="123"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September 30, 2024 and December 31, 2023.</w:t>
      </w:r>
    </w:p>
    <w:p>
      <w:pPr>
        <w:spacing w:after="0" w:line="10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Included within cash and cash equivalents at September 30, 2024 and December 31, 2023 are amounts held for regulatory capital adequacy requirements, including $108 million and $105 million, respectively, within our regulated U.K. entities.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nine months ended September 30,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r>
      <w:tr>
        <w:trPr>
          <w:trHeight w:val="169"/>
        </w:trPr>
        <w:tc>
          <w:tcPr>
            <w:tcW w:w="7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4"/>
                <w:szCs w:val="14"/>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913</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r>
      <w:tr>
        <w:trPr>
          <w:trHeight w:val="247"/>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(1,030 )</w:t>
            </w: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189"/>
        </w:trPr>
        <w:tc>
          <w:tcPr>
            <w:tcW w:w="7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INCREASE/(DECREASE) IN CASH, CASH EQUIVALENTS AND RESTRICTED</w:t>
            </w: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68"/>
        </w:trPr>
        <w:tc>
          <w:tcPr>
            <w:tcW w:w="7920" w:type="dxa"/>
            <w:vAlign w:val="bottom"/>
            <w:shd w:val="clear" w:color="auto" w:fill="CCEEFF"/>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(935 )</w:t>
            </w: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7"/>
        </w:trPr>
        <w:tc>
          <w:tcPr>
            <w:tcW w:w="7920" w:type="dxa"/>
            <w:vAlign w:val="bottom"/>
            <w:tcBorders>
              <w:bottom w:val="single" w:sz="8" w:color="CCEEFF"/>
            </w:tcBorders>
            <w:shd w:val="clear" w:color="auto" w:fill="CCEE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4,721</w:t>
            </w:r>
          </w:p>
        </w:tc>
      </w:tr>
      <w:tr>
        <w:trPr>
          <w:trHeight w:val="236"/>
        </w:trPr>
        <w:tc>
          <w:tcPr>
            <w:tcW w:w="79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4,712</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3,732</w:t>
            </w:r>
          </w:p>
        </w:tc>
      </w:tr>
      <w:tr>
        <w:trPr>
          <w:trHeight w:val="20"/>
        </w:trPr>
        <w:tc>
          <w:tcPr>
            <w:tcW w:w="7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-187960</wp:posOffset>
            </wp:positionV>
            <wp:extent cx="102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jc w:val="both"/>
        <w:ind w:left="280" w:right="160" w:hanging="272"/>
        <w:spacing w:after="0" w:line="252"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I ‘Financial Statements’ in this Quarterly Report on Form 10-Q.</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were $913 million for the nine months ended September 30, 2024, compared to $823 million for the nine months ended September 30, 2023. The $913 million of net cash from operating activities for the nine months ended September 30, 2024 included $2.4 billion of favorable non-cash adjustments, partially offset by a net loss of $1.3 billion and unfavorable changes in operating assets and liabilities of $139 million. This increase in cash flows from operations as compared to the prior year was primarily driven by operating margin expansion, partially offset by increased cash outflows related to the Transformation program and discretionary compensation payments in the current year as compared to the prior year.</w:t>
      </w:r>
    </w:p>
    <w:p>
      <w:pPr>
        <w:spacing w:after="0" w:line="1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$823 million of net cash from operating activities for the nine months ended September 30, 2023 included net income of $441 million and $484 million of favorable non-cash adjustments, partially offset by unfavorable changes in operating assets and liabilities of $102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2024 were $230 million as compared $1.0 billion for the nine months ended September 30, 2023. The cash flows used in investing activities in the current year consisted primarily of capital expenditures and capitalized software additions.</w:t>
      </w:r>
    </w:p>
    <w:p>
      <w:pPr>
        <w:spacing w:after="0" w:line="12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cash flows used in investing activities for the nine months ended September 30, 2023 consisted primarily of cash and fiduciary funds of $922 million associated with the transfer to Gallagher under a side letter agreement to the Willis Re SAPA (see Note 3 — Acquisitions and Divestitures within Part I, Item 1 ‘Financial Statements’ in this Quarterly Report on Form 10-Q for additional information) and $182 million of capital expenditures and capitalized software additions.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75"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Cash flows from financing activities for the nine months ended September 30, 2024 were $205 million. The significant financing activities included net proceeds from fiduciary funds held for clients of $934 million and $84 million of net proceeds from the issuance of debt, partially offset by share repurchases of $506 million and dividend payments of $265 million.</w:t>
      </w:r>
    </w:p>
    <w:p>
      <w:pPr>
        <w:spacing w:after="0" w:line="12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Cash flows used in financing activities for the nine months ended September 30, 2023 were $728 million. The significant financing activities included share repurchases of $804 million, dividend payments of $265 million, and net payments from fiduciary funds held for clients of $71 million, partially offset by $488 million of net proceeds from the issuance of debt.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September 30, 2024 and December 31, 2023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5,308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20"/>
                <w:szCs w:val="20"/>
                <w:color w:val="auto"/>
              </w:rPr>
            </w:pPr>
          </w:p>
        </w:tc>
        <w:tc>
          <w:tcPr>
            <w:tcW w:w="16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5,308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5,217</w:t>
            </w:r>
          </w:p>
        </w:tc>
        <w:tc>
          <w:tcPr>
            <w:tcW w:w="60" w:type="dxa"/>
            <w:vAlign w:val="bottom"/>
          </w:tcPr>
          <w:p>
            <w:pPr>
              <w:spacing w:after="0"/>
              <w:rPr>
                <w:sz w:val="24"/>
                <w:szCs w:val="24"/>
                <w:color w:val="auto"/>
              </w:rPr>
            </w:pPr>
          </w:p>
        </w:tc>
      </w:tr>
      <w:tr>
        <w:trPr>
          <w:trHeight w:val="227"/>
        </w:trPr>
        <w:tc>
          <w:tcPr>
            <w:tcW w:w="7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7,492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24"/>
                <w:szCs w:val="24"/>
                <w:color w:val="auto"/>
              </w:rPr>
            </w:pPr>
          </w:p>
        </w:tc>
      </w:tr>
      <w:tr>
        <w:trPr>
          <w:trHeight w:val="46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200" w:type="dxa"/>
            <w:vAlign w:val="bottom"/>
          </w:tcPr>
          <w:p>
            <w:pPr>
              <w:spacing w:after="0"/>
              <w:rPr>
                <w:sz w:val="24"/>
                <w:szCs w:val="24"/>
                <w:color w:val="auto"/>
              </w:rPr>
            </w:pP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41.5 %</w:t>
            </w:r>
          </w:p>
        </w:tc>
        <w:tc>
          <w:tcPr>
            <w:tcW w:w="3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-692785</wp:posOffset>
            </wp:positionV>
            <wp:extent cx="1111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-675640</wp:posOffset>
            </wp:positionV>
            <wp:extent cx="1111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-358775</wp:posOffset>
            </wp:positionV>
            <wp:extent cx="1111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-341630</wp:posOffset>
            </wp:positionV>
            <wp:extent cx="1111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capitalization ratio increased from December 31, 2023 due primarily to the earnings loss in the current quarter driven by the recognition of impairment expense and loss on disposal associated with the pending sale of our TRANZACT business (see Note 3 — Acquisitions and Divestitures in Part I, Item 1 ‘Financial Statements’ in this Quarterly Report on Form 10-Q for further information).</w:t>
      </w:r>
    </w:p>
    <w:p>
      <w:pPr>
        <w:spacing w:after="0" w:line="17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At September 30, 2024, the Company does not have any mandatory debt repayments over the next twelve months. For more information regarding our current and long-term debt, please see the section entitled ‘Supplemental Guarantor Financial Information’ elsewhere within this Item 2 in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we had fiduciary funds of $3.7 billion and $2.6 billion, respectively.</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2"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On September 20, 2023, the board of directors approved a $1.0 billion increase to the existing share repurchase program. This increase brought the total approved authorization, since the announcement of the program on April 20, 2016, to $9.2 billion.</w:t>
      </w:r>
    </w:p>
    <w:p>
      <w:pPr>
        <w:spacing w:after="0" w:line="109"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At September 30, 2024, approximately $837 million remained on the current repurchase authority. The maximum number of shares that could be repurchased based on the closing price of our ordinary shares on September 30, 2024 of $294.53 was 2,841,324.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the Company had the following share repurchase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700" w:type="dxa"/>
            <w:vAlign w:val="bottom"/>
          </w:tcPr>
          <w:p>
            <w:pPr>
              <w:spacing w:after="0"/>
              <w:rPr>
                <w:sz w:val="16"/>
                <w:szCs w:val="16"/>
                <w:color w:val="auto"/>
              </w:rPr>
            </w:pPr>
          </w:p>
        </w:tc>
        <w:tc>
          <w:tcPr>
            <w:tcW w:w="1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717,016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1,865,740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$271.02</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 million</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 million</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Company’s capital expenditures for fixed assets and software for internal use were $106 million during the nine months ended September 30, 2024. The Company estimates that there will be additional such expenditures, which include those incurred under its Transformation program, in the range of $40 million - $65 million during the remainder of 2024. We currently expect cash from operations to adequately provide for these cash needs. There have been no material changes to our capital commitments since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Total cash dividends of $265 million were paid during the nine months ended September 30, 2024. In August 2024, the board of directors approved a quarterly cash dividend of $0.88 per share ($3.52 per share annualized rate), which was paid on October 15, 2024 to shareholders of record as of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WTW has issued the following debt securities (the ‘notes’):</w:t>
      </w:r>
    </w:p>
    <w:p>
      <w:pPr>
        <w:spacing w:after="0" w:line="117" w:lineRule="exact"/>
        <w:rPr>
          <w:sz w:val="20"/>
          <w:szCs w:val="20"/>
          <w:color w:val="auto"/>
        </w:rPr>
      </w:pPr>
    </w:p>
    <w:p>
      <w:pPr>
        <w:ind w:left="760" w:right="20" w:hanging="378"/>
        <w:spacing w:after="0" w:line="265"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$4.5 billion senior notes outstanding, of which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$825 million senior notes outstanding, of which $275 million were issued on August 15, 2013 and</w:t>
      </w:r>
    </w:p>
    <w:p>
      <w:pPr>
        <w:spacing w:after="0" w:line="27" w:lineRule="exact"/>
        <w:rPr>
          <w:rFonts w:ascii="Times New Roman" w:cs="Times New Roman" w:eastAsia="Times New Roman" w:hAnsi="Times New Roman"/>
          <w:sz w:val="18"/>
          <w:szCs w:val="18"/>
          <w:color w:val="auto"/>
        </w:rPr>
      </w:pPr>
    </w:p>
    <w:p>
      <w:pPr>
        <w:ind w:left="76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million were issued on March 22, 2016, and a $1.5 billion revolving credit facility, on which no balance was outstanding at September 30, 2024.</w:t>
      </w:r>
    </w:p>
    <w:p>
      <w:pPr>
        <w:spacing w:after="0" w:line="126"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September 30, 2024. These subsidiaries are all consolidated by Willis Towers Watson plc (the ‘parent company’) and together with the parent company comprise the ‘Obligor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484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607"/>
        </w:trPr>
        <w:tc>
          <w:tcPr>
            <w:tcW w:w="4840" w:type="dxa"/>
            <w:vAlign w:val="bottom"/>
          </w:tcPr>
          <w:p>
            <w:pPr>
              <w:spacing w:after="0"/>
              <w:rPr>
                <w:sz w:val="24"/>
                <w:szCs w:val="24"/>
                <w:color w:val="auto"/>
              </w:rPr>
            </w:pPr>
          </w:p>
        </w:tc>
        <w:tc>
          <w:tcPr>
            <w:tcW w:w="252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8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p>
      <w:pPr>
        <w:spacing w:after="0" w:line="11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September 30, 2024 and December 31, 2023,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September 30, 2024 and December 31, 2023, the intercompany balances of the Obligor group with non-guarantor subsidiaries were net receivables of $4.1 billion and $3.4 billion, respectively, and net payables of $15.0 billion and $14.0 billion,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466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4,141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3,454</w:t>
            </w: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7,978</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7,576</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12,566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11,848</w:t>
            </w:r>
          </w:p>
        </w:tc>
      </w:tr>
      <w:tr>
        <w:trPr>
          <w:trHeight w:val="831"/>
        </w:trPr>
        <w:tc>
          <w:tcPr>
            <w:tcW w:w="4660" w:type="dxa"/>
            <w:vAlign w:val="bottom"/>
          </w:tcPr>
          <w:p>
            <w:pPr>
              <w:spacing w:after="0"/>
              <w:rPr>
                <w:sz w:val="24"/>
                <w:szCs w:val="24"/>
                <w:color w:val="auto"/>
              </w:rPr>
            </w:pPr>
          </w:p>
        </w:tc>
        <w:tc>
          <w:tcPr>
            <w:tcW w:w="30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2"/>
        </w:trPr>
        <w:tc>
          <w:tcPr>
            <w:tcW w:w="46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9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69"/>
        </w:trPr>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819</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20"/>
                <w:szCs w:val="20"/>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646</w:t>
            </w:r>
          </w:p>
        </w:tc>
      </w:tr>
      <w:tr>
        <w:trPr>
          <w:trHeight w:val="247"/>
        </w:trPr>
        <w:tc>
          <w:tcPr>
            <w:tcW w:w="92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Loss from operations before income taxes </w:t>
            </w:r>
            <w:r>
              <w:rPr>
                <w:rFonts w:ascii="Times New Roman" w:cs="Times New Roman" w:eastAsia="Times New Roman" w:hAnsi="Times New Roman"/>
                <w:sz w:val="24"/>
                <w:szCs w:val="24"/>
                <w:color w:val="auto"/>
                <w:vertAlign w:val="superscript"/>
              </w:rPr>
              <w:t>(i)</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WTW</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$263 million for the nine months ended September 30,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1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4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operations/margin</w:t>
            </w:r>
          </w:p>
        </w:tc>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(loss)/income/margin</w:t>
            </w:r>
          </w:p>
        </w:tc>
        <w:tc>
          <w:tcPr>
            <w:tcW w:w="6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(loss)/income attributable to WTW</w:t>
            </w:r>
          </w:p>
        </w:tc>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6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from)/provision for income taxes/U.S. GAAP tax rate</w:t>
            </w:r>
          </w:p>
        </w:tc>
        <w:tc>
          <w:tcPr>
            <w:tcW w:w="6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1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3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For a complete summary of our adjusting items, please see our Annual Report on Form 10-K filed with the SEC on February 22, 2024. Items applicable to the quarter or full year results, or the comparable periods, include the following:</w:t>
      </w:r>
    </w:p>
    <w:p>
      <w:pPr>
        <w:spacing w:after="0" w:line="74" w:lineRule="exact"/>
        <w:rPr>
          <w:sz w:val="20"/>
          <w:szCs w:val="20"/>
          <w:color w:val="auto"/>
        </w:rPr>
      </w:pPr>
    </w:p>
    <w:p>
      <w:pPr>
        <w:jc w:val="both"/>
        <w:ind w:left="760" w:right="220" w:hanging="378"/>
        <w:spacing w:after="0" w:line="26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73"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 Adjustment to remove the non-cash goodwill impairment associated with our Benefits, Delivery and Administration (‘BDA’) reporting unit related to the pending sale of our TRANZACT business.</w:t>
      </w:r>
    </w:p>
    <w:p>
      <w:pPr>
        <w:spacing w:after="0" w:line="54"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specified litigation matters – We will include provisions for litigation matters which we believe are not representative of our core business operations. Among other things, we determine this by reference to the amount of the loss (net of insurance and other recovery receivables) and by reference to whether the matter relates to an unusual and complex scenario that is not expected to be repeated as part of our ongoing, ordinary business. These amounts are presented net of insurance and other recovery receivables. See the footnotes to the reconciliation tables below for more specificity on the litigation matter excluded from adjusted results.</w:t>
      </w:r>
    </w:p>
    <w:p>
      <w:pPr>
        <w:spacing w:after="0" w:line="74"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4" w:lineRule="exact"/>
        <w:rPr>
          <w:rFonts w:ascii="Times New Roman" w:cs="Times New Roman" w:eastAsia="Times New Roman" w:hAnsi="Times New Roman"/>
          <w:sz w:val="18"/>
          <w:szCs w:val="18"/>
          <w:color w:val="auto"/>
        </w:rPr>
      </w:pPr>
    </w:p>
    <w:p>
      <w:pPr>
        <w:ind w:left="760" w:right="40" w:hanging="378"/>
        <w:spacing w:after="0" w:line="26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significant adjustments – Relates to the incremental tax expense or benefit resulting from significant or unusual events including significant statutory tax rate changes enacted in material jurisdictions in which we operate, internal reorganizations of ownership of certain businesses that reduced the investment held by our U.S.-controlled subsidiaries and the recovery of certain refunds or payment of taxes related to businesses in which we no longer participate.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3" w:name="page44"/>
    <w:bookmarkEnd w:id="43"/>
    <w:p>
      <w:pPr>
        <w:ind w:right="340"/>
        <w:spacing w:after="0" w:line="265"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29" w:lineRule="exact"/>
        <w:rPr>
          <w:sz w:val="20"/>
          <w:szCs w:val="20"/>
          <w:color w:val="auto"/>
        </w:rPr>
      </w:pPr>
    </w:p>
    <w:p>
      <w:pPr>
        <w:ind w:left="760" w:right="100" w:hanging="378"/>
        <w:spacing w:after="0" w:line="25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7"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section within this Form 10-Q.</w:t>
      </w:r>
    </w:p>
    <w:p>
      <w:pPr>
        <w:spacing w:after="0" w:line="8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Reconciliations of the as-reported changes to the constant currency and organic changes for the three and nine months ended September 30, 2024 from the three and nine months ended September 30, 2023 are as follows. The components of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2,289</w:t>
            </w: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2,166</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FF0FC"/>
          </w:tcPr>
          <w:p>
            <w:pPr>
              <w:spacing w:after="0"/>
              <w:rPr>
                <w:sz w:val="24"/>
                <w:szCs w:val="24"/>
                <w:color w:val="auto"/>
              </w:rPr>
            </w:pPr>
          </w:p>
        </w:tc>
        <w:tc>
          <w:tcPr>
            <w:tcW w:w="11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452"/>
        </w:trPr>
        <w:tc>
          <w:tcPr>
            <w:tcW w:w="19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ind w:right="48"/>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6,895</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6,569</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gridSpan w:val="3"/>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-984250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-967105</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-984250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-967105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and nine months ended September 30, 2024.</w:t>
      </w:r>
    </w:p>
    <w:p>
      <w:pPr>
        <w:spacing w:after="0" w:line="1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2024, both our as-reported revenue and organic revenue increased by 6%. For the nine months ended September 30, 2024, both our as-reported revenue and organic revenue increased by 5%. The increases in both as-reported and organic revenue were driven by strong performances in both segments. For additional information, please see the section entitled ‘Segment Revenue’ elsewhere within Item 2 in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9" w:lineRule="exact"/>
        <w:rPr>
          <w:sz w:val="20"/>
          <w:szCs w:val="20"/>
          <w:color w:val="auto"/>
        </w:rPr>
      </w:pPr>
    </w:p>
    <w:p>
      <w:pPr>
        <w:ind w:right="620"/>
        <w:spacing w:after="0" w:line="265" w:lineRule="auto"/>
        <w:rPr>
          <w:sz w:val="20"/>
          <w:szCs w:val="20"/>
          <w:color w:val="auto"/>
        </w:rPr>
      </w:pPr>
      <w:r>
        <w:rPr>
          <w:rFonts w:ascii="Times New Roman" w:cs="Times New Roman" w:eastAsia="Times New Roman" w:hAnsi="Times New Roman"/>
          <w:sz w:val="18"/>
          <w:szCs w:val="18"/>
          <w:color w:val="auto"/>
        </w:rPr>
        <w:t>Adjusted operating income is defined as (loss)/income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4" w:name="page45"/>
    <w:bookmarkEnd w:id="44"/>
    <w:p>
      <w:pPr>
        <w:ind w:right="360"/>
        <w:spacing w:after="0" w:line="281" w:lineRule="auto"/>
        <w:rPr>
          <w:sz w:val="20"/>
          <w:szCs w:val="20"/>
          <w:color w:val="auto"/>
        </w:rPr>
      </w:pPr>
      <w:r>
        <w:rPr>
          <w:rFonts w:ascii="Times New Roman" w:cs="Times New Roman" w:eastAsia="Times New Roman" w:hAnsi="Times New Roman"/>
          <w:sz w:val="18"/>
          <w:szCs w:val="18"/>
          <w:color w:val="auto"/>
        </w:rPr>
        <w:t>Reconciliations of (loss)/income from operations to adjusted operating income for the three and nine months ended September 30, 2024 and 2023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21"/>
                <w:szCs w:val="2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98"/>
              </w:rPr>
              <w:t>1,042</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20"/>
                <w:szCs w:val="2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1"/>
                <w:szCs w:val="2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tcPr>
          <w:p>
            <w:pPr>
              <w:spacing w:after="0"/>
              <w:rPr>
                <w:sz w:val="20"/>
                <w:szCs w:val="2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0"/>
                <w:szCs w:val="20"/>
                <w:color w:val="auto"/>
              </w:rPr>
            </w:pPr>
          </w:p>
        </w:tc>
      </w:tr>
      <w:tr>
        <w:trPr>
          <w:trHeight w:val="251"/>
        </w:trPr>
        <w:tc>
          <w:tcPr>
            <w:tcW w:w="5740" w:type="dxa"/>
            <w:vAlign w:val="bottom"/>
            <w:shd w:val="clear" w:color="auto" w:fill="CFF0FC"/>
          </w:tcPr>
          <w:p>
            <w:pPr>
              <w:ind w:left="200"/>
              <w:spacing w:after="0" w:line="251"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2"/>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1,084</w:t>
            </w:r>
          </w:p>
        </w:tc>
        <w:tc>
          <w:tcPr>
            <w:tcW w:w="60" w:type="dxa"/>
            <w:vAlign w:val="bottom"/>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57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operations margin</w:t>
            </w:r>
          </w:p>
        </w:tc>
        <w:tc>
          <w:tcPr>
            <w:tcW w:w="74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(33.5 )%</w:t>
            </w:r>
          </w:p>
        </w:tc>
        <w:tc>
          <w:tcPr>
            <w:tcW w:w="78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7.3 %</w:t>
            </w:r>
          </w:p>
        </w:tc>
        <w:tc>
          <w:tcPr>
            <w:tcW w:w="34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3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74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18.1 %</w:t>
            </w:r>
          </w:p>
        </w:tc>
        <w:tc>
          <w:tcPr>
            <w:tcW w:w="78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16.2 %</w:t>
            </w:r>
          </w:p>
        </w:tc>
        <w:tc>
          <w:tcPr>
            <w:tcW w:w="34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18.6 %</w:t>
            </w:r>
          </w:p>
        </w:tc>
        <w:tc>
          <w:tcPr>
            <w:tcW w:w="3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-692785</wp:posOffset>
            </wp:positionV>
            <wp:extent cx="939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-692785</wp:posOffset>
            </wp:positionV>
            <wp:extent cx="857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-692785</wp:posOffset>
            </wp:positionV>
            <wp:extent cx="85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39" w:lineRule="auto"/>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5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September 30, 2024 to $414 million, from $351 million for the three months ended September 30, 2023 and increased for the nine months ended September 30, 2024 to $1.3 billion from $1.1 billion for the nine months ended September 30, 2023. These increases resulted primarily from higher revenue in the current-year periods, partially offset by higher salary expense and increased incentive and benefit costs in the current-year periods as compared to the prior-year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Adjusted EBITDA is defined as net (loss)/income adjusted for (benefit from)/provision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6"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Reconciliations of net (loss)/income to adjusted EBITDA for the three and nine months ended September 30, 2024 and 2023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1"/>
                <w:szCs w:val="2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26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0"/>
                <w:szCs w:val="20"/>
                <w:color w:val="auto"/>
              </w:rPr>
            </w:pPr>
          </w:p>
        </w:tc>
      </w:tr>
      <w:tr>
        <w:trPr>
          <w:trHeight w:val="251"/>
        </w:trPr>
        <w:tc>
          <w:tcPr>
            <w:tcW w:w="5820" w:type="dxa"/>
            <w:vAlign w:val="bottom"/>
            <w:shd w:val="clear" w:color="auto" w:fill="CFF0FC"/>
          </w:tcPr>
          <w:p>
            <w:pPr>
              <w:ind w:left="200"/>
              <w:spacing w:after="0" w:line="251"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1,350</w:t>
            </w:r>
          </w:p>
        </w:tc>
        <w:tc>
          <w:tcPr>
            <w:tcW w:w="60" w:type="dxa"/>
            <w:vAlign w:val="bottom"/>
          </w:tcPr>
          <w:p>
            <w:pPr>
              <w:spacing w:after="0"/>
              <w:rPr>
                <w:sz w:val="24"/>
                <w:szCs w:val="24"/>
                <w:color w:val="auto"/>
              </w:rPr>
            </w:pPr>
          </w:p>
        </w:tc>
      </w:tr>
      <w:tr>
        <w:trPr>
          <w:trHeight w:val="51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 margin</w:t>
            </w:r>
          </w:p>
        </w:tc>
        <w:tc>
          <w:tcPr>
            <w:tcW w:w="26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(73.0 )%</w:t>
            </w:r>
          </w:p>
        </w:tc>
        <w:tc>
          <w:tcPr>
            <w:tcW w:w="76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6.4 %</w:t>
            </w:r>
          </w:p>
        </w:tc>
        <w:tc>
          <w:tcPr>
            <w:tcW w:w="2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(19.4 )%</w:t>
            </w:r>
          </w:p>
        </w:tc>
        <w:tc>
          <w:tcPr>
            <w:tcW w:w="3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21.9 %</w:t>
            </w:r>
          </w:p>
        </w:tc>
        <w:tc>
          <w:tcPr>
            <w:tcW w:w="760" w:type="dxa"/>
            <w:vAlign w:val="bottom"/>
          </w:tcPr>
          <w:p>
            <w:pPr>
              <w:spacing w:after="0"/>
              <w:rPr>
                <w:sz w:val="23"/>
                <w:szCs w:val="2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20.1 %</w:t>
            </w:r>
          </w:p>
        </w:tc>
        <w:tc>
          <w:tcPr>
            <w:tcW w:w="26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22.3 %</w:t>
            </w:r>
          </w:p>
        </w:tc>
        <w:tc>
          <w:tcPr>
            <w:tcW w:w="3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-530225</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-513080</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-530225</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-513080</wp:posOffset>
            </wp:positionV>
            <wp:extent cx="857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-530225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-513080</wp:posOffset>
            </wp:positionV>
            <wp:extent cx="857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39" w:lineRule="auto"/>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5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2024 was $501 million, compared to $436 million for the three months ended September 30, 2023, and was $1.5 billion for the nine months ended September 30, 2024, compared to $1.4 billion for the nine months ended September 30, 2023. These increases resulted primarily from higher revenue in the current-year periods, partially offset by higher salary expense and increased incentive and benefit costs in the current-year periods as compared to the prior-year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Adjusted net income is defined as net (loss)/income attributable to WTW adjusted for impairment,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spacing w:after="0" w:line="12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6" w:right="279" w:bottom="1440" w:gutter="0" w:footer="0" w:header="0"/>
        </w:sectPr>
      </w:pPr>
    </w:p>
    <w:bookmarkStart w:id="46" w:name="page47"/>
    <w:bookmarkEnd w:id="46"/>
    <w:p>
      <w:pPr>
        <w:ind w:right="240"/>
        <w:spacing w:after="0" w:line="312" w:lineRule="auto"/>
        <w:rPr>
          <w:sz w:val="20"/>
          <w:szCs w:val="20"/>
          <w:color w:val="auto"/>
        </w:rPr>
      </w:pPr>
      <w:r>
        <w:rPr>
          <w:rFonts w:ascii="Times New Roman" w:cs="Times New Roman" w:eastAsia="Times New Roman" w:hAnsi="Times New Roman"/>
          <w:sz w:val="18"/>
          <w:szCs w:val="18"/>
          <w:color w:val="auto"/>
        </w:rPr>
        <w:t>Reconciliations of net (loss)/income attributable to WTW to adjusted diluted earnings per share for the three and nine months ended September 30, 2024 and 2023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and shares</w:t>
            </w:r>
          </w:p>
        </w:tc>
        <w:tc>
          <w:tcPr>
            <w:tcW w:w="138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(LOSS)/INCOME ATTRIBUTABLE TO WTW</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(1,675 )</w:t>
            </w:r>
          </w:p>
        </w:tc>
        <w:tc>
          <w:tcPr>
            <w:tcW w:w="8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433</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r>
      <w:tr>
        <w:trPr>
          <w:trHeight w:val="247"/>
        </w:trPr>
        <w:tc>
          <w:tcPr>
            <w:tcW w:w="58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7"/>
        </w:trPr>
        <w:tc>
          <w:tcPr>
            <w:tcW w:w="58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299</w:t>
            </w:r>
          </w:p>
        </w:tc>
        <w:tc>
          <w:tcPr>
            <w:tcW w:w="8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903</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761</w:t>
            </w:r>
          </w:p>
        </w:tc>
      </w:tr>
      <w:tr>
        <w:trPr>
          <w:trHeight w:val="227"/>
        </w:trPr>
        <w:tc>
          <w:tcPr>
            <w:tcW w:w="58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(16.44 )</w:t>
            </w:r>
          </w:p>
        </w:tc>
        <w:tc>
          <w:tcPr>
            <w:tcW w:w="8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(13.11 )</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5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(iii)</w:t>
            </w:r>
            <w:r>
              <w:rPr>
                <w:rFonts w:ascii="Times New Roman" w:cs="Times New Roman" w:eastAsia="Times New Roman" w:hAnsi="Times New Roman"/>
                <w:sz w:val="18"/>
                <w:szCs w:val="18"/>
                <w:color w:val="auto"/>
              </w:rPr>
              <w:t xml:space="preserve"> :</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0.28</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r>
      <w:tr>
        <w:trPr>
          <w:trHeight w:val="247"/>
        </w:trPr>
        <w:tc>
          <w:tcPr>
            <w:tcW w:w="58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(0.39 )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47"/>
        </w:trPr>
        <w:tc>
          <w:tcPr>
            <w:tcW w:w="58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(0.48 )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-2216785</wp:posOffset>
            </wp:positionV>
            <wp:extent cx="939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-2199640</wp:posOffset>
            </wp:positionV>
            <wp:extent cx="939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-2216785</wp:posOffset>
            </wp:positionV>
            <wp:extent cx="857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-2199640</wp:posOffset>
            </wp:positionV>
            <wp:extent cx="857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-2216785</wp:posOffset>
            </wp:positionV>
            <wp:extent cx="857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-2199640</wp:posOffset>
            </wp:positionV>
            <wp:extent cx="857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39"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4"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4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adjusted diluted earnings per share increased for both the three and nine months ended September 30, 2024 as compared to the prior year primarily due to higher revenue in the current-year periods, partially offset by higher salary expense and increased incentive and benefit costs in the current-year periods as compared to the prior-year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0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Adjusted income taxes/tax rate is defined as the (benefit from)/provision for income taxes adjusted for taxes on certain items of impairment, amortization, restructuring costs, transaction and transformation, gains and losses on disposals of operations,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8"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7" w:name="page48"/>
    <w:bookmarkEnd w:id="47"/>
    <w:p>
      <w:pPr>
        <w:ind w:right="440"/>
        <w:spacing w:after="0" w:line="281" w:lineRule="auto"/>
        <w:rPr>
          <w:sz w:val="20"/>
          <w:szCs w:val="20"/>
          <w:color w:val="auto"/>
        </w:rPr>
      </w:pPr>
      <w:r>
        <w:rPr>
          <w:rFonts w:ascii="Times New Roman" w:cs="Times New Roman" w:eastAsia="Times New Roman" w:hAnsi="Times New Roman"/>
          <w:sz w:val="18"/>
          <w:szCs w:val="18"/>
          <w:color w:val="auto"/>
        </w:rPr>
        <w:t>Reconciliations of (loss)/income from operations before income taxes to adjusted income before taxes and (benefit from)/provision for income taxes to adjusted income taxes for the three and nine months ended September 30, 2024 and 2023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(1,994 )</w:t>
            </w:r>
          </w:p>
        </w:tc>
        <w:tc>
          <w:tcPr>
            <w:tcW w:w="140" w:type="dxa"/>
            <w:vAlign w:val="bottom"/>
            <w:shd w:val="clear" w:color="auto" w:fill="CFF0FC"/>
          </w:tcPr>
          <w:p>
            <w:pPr>
              <w:spacing w:after="0"/>
              <w:rPr>
                <w:sz w:val="23"/>
                <w:szCs w:val="23"/>
                <w:color w:val="auto"/>
              </w:rPr>
            </w:pPr>
          </w:p>
        </w:tc>
        <w:tc>
          <w:tcPr>
            <w:tcW w:w="76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FF0FC"/>
          </w:tcPr>
          <w:p>
            <w:pPr>
              <w:spacing w:after="0"/>
              <w:rPr>
                <w:sz w:val="23"/>
                <w:szCs w:val="23"/>
                <w:color w:val="auto"/>
              </w:rPr>
            </w:pP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1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23"/>
                <w:szCs w:val="23"/>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6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2"/>
                <w:szCs w:val="22"/>
                <w:color w:val="auto"/>
              </w:rPr>
            </w:pPr>
          </w:p>
        </w:tc>
      </w:tr>
      <w:tr>
        <w:trPr>
          <w:trHeight w:val="27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4"/>
                <w:szCs w:val="24"/>
                <w:color w:val="auto"/>
              </w:rPr>
            </w:pPr>
          </w:p>
        </w:tc>
      </w:tr>
      <w:tr>
        <w:trPr>
          <w:trHeight w:val="26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26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2"/>
                <w:szCs w:val="22"/>
                <w:color w:val="auto"/>
              </w:rPr>
            </w:pPr>
          </w:p>
        </w:tc>
      </w:tr>
      <w:tr>
        <w:trPr>
          <w:trHeight w:val="27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2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24"/>
                <w:szCs w:val="24"/>
                <w:color w:val="auto"/>
              </w:rPr>
            </w:pPr>
          </w:p>
        </w:tc>
        <w:tc>
          <w:tcPr>
            <w:tcW w:w="6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5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21"/>
                <w:szCs w:val="21"/>
                <w:color w:val="auto"/>
              </w:rPr>
            </w:pPr>
          </w:p>
        </w:tc>
      </w:tr>
      <w:tr>
        <w:trPr>
          <w:trHeight w:val="30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994</w:t>
            </w:r>
          </w:p>
        </w:tc>
        <w:tc>
          <w:tcPr>
            <w:tcW w:w="60" w:type="dxa"/>
            <w:vAlign w:val="bottom"/>
          </w:tcPr>
          <w:p>
            <w:pPr>
              <w:spacing w:after="0"/>
              <w:rPr>
                <w:sz w:val="24"/>
                <w:szCs w:val="24"/>
                <w:color w:val="auto"/>
              </w:rPr>
            </w:pPr>
          </w:p>
        </w:tc>
      </w:tr>
      <w:tr>
        <w:trPr>
          <w:trHeight w:val="230"/>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from)/provision for income taxes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40" w:type="dxa"/>
            <w:vAlign w:val="bottom"/>
            <w:shd w:val="clear" w:color="auto" w:fill="CFF0FC"/>
          </w:tcPr>
          <w:p>
            <w:pPr>
              <w:spacing w:after="0"/>
              <w:rPr>
                <w:sz w:val="23"/>
                <w:szCs w:val="23"/>
                <w:color w:val="auto"/>
              </w:rPr>
            </w:pPr>
          </w:p>
        </w:tc>
        <w:tc>
          <w:tcPr>
            <w:tcW w:w="76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23"/>
                <w:szCs w:val="23"/>
                <w:color w:val="auto"/>
              </w:rPr>
            </w:pP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3"/>
                <w:szCs w:val="23"/>
                <w:color w:val="auto"/>
              </w:rPr>
            </w:pPr>
          </w:p>
        </w:tc>
      </w:tr>
      <w:tr>
        <w:trPr>
          <w:trHeight w:val="270"/>
        </w:trPr>
        <w:tc>
          <w:tcPr>
            <w:tcW w:w="582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26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23"/>
                <w:szCs w:val="23"/>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r>
      <w:tr>
        <w:trPr>
          <w:trHeight w:val="26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top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top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top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2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16.1 %</w:t>
            </w:r>
          </w:p>
        </w:tc>
        <w:tc>
          <w:tcPr>
            <w:tcW w:w="760" w:type="dxa"/>
            <w:vAlign w:val="bottom"/>
          </w:tcPr>
          <w:p>
            <w:pPr>
              <w:spacing w:after="0"/>
              <w:rPr>
                <w:sz w:val="22"/>
                <w:szCs w:val="22"/>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15.6 %</w:t>
            </w:r>
          </w:p>
        </w:tc>
        <w:tc>
          <w:tcPr>
            <w:tcW w:w="3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7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26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19.7 %</w:t>
            </w:r>
          </w:p>
        </w:tc>
        <w:tc>
          <w:tcPr>
            <w:tcW w:w="760" w:type="dxa"/>
            <w:vAlign w:val="bottom"/>
          </w:tcPr>
          <w:p>
            <w:pPr>
              <w:spacing w:after="0"/>
              <w:rPr>
                <w:sz w:val="23"/>
                <w:szCs w:val="23"/>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24.3 %</w:t>
            </w:r>
          </w:p>
        </w:tc>
        <w:tc>
          <w:tcPr>
            <w:tcW w:w="3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21.6 %</w:t>
            </w:r>
          </w:p>
        </w:tc>
        <w:tc>
          <w:tcPr>
            <w:tcW w:w="3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-1377950</wp:posOffset>
            </wp:positionV>
            <wp:extent cx="939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-1360805</wp:posOffset>
            </wp:positionV>
            <wp:extent cx="939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-1377950</wp:posOffset>
            </wp:positionV>
            <wp:extent cx="857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-1360805</wp:posOffset>
            </wp:positionV>
            <wp:extent cx="857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-1377950</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-1360805</wp:posOffset>
            </wp:positionV>
            <wp:extent cx="85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-692785</wp:posOffset>
            </wp:positionV>
            <wp:extent cx="939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-692785</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-692785</wp:posOffset>
            </wp:positionV>
            <wp:extent cx="857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39" w:lineRule="auto"/>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4"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1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U.S. GAAP tax rates were 16.1% and 15.5% for the three months ended September 30, 2024 and 2023, respectively, and 15.6% and 18.3% for the nine months ended September 30, 2024 and 2023, respectively. The prior-year effective tax rate for the three months ended September 30, 2023 was lower due to the tax-exempt gain on a business disposal. The current-year effective tax rate for the nine months ended September 30, 2024 was lower due to deferred tax benefits recognized on the gross-up to carrying value of net assets to be disposed and a deferred tax benefit of $56 million, net of a $37 million valuation allowance, on the expected tax loss on disposal of TRANZACT (see Note 3 – Acquisitions and Divestitures within Part I, Item 1 ‘Financial Statements’ in this Quarterly Report on Form 10-Q). The Company records valuation allowances against net deferred tax assets based on whether it is more likely than not that the deferred tax assets will be realized. During the three months ended September 30, 2024 the Company recorded a $37 million valuation allowance related to unrealized capital losses that are not more-likely-than-not to be realized.</w:t>
      </w:r>
    </w:p>
    <w:p>
      <w:pPr>
        <w:spacing w:after="0" w:line="13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Our adjusted income tax rates were 19.7% and 24.3% for the three months ended September 30, 2024 and 2023, respectively, and 21.6% and 22.6% for the nine months ended September 30, 2024 and 2023, respectively. The current-year periods’ adjusted tax rates are lower due to the geographical distribution of profit and additional interest received on a tax refund recognized in the three months ended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6"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nine months ended September 30,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913</w:t>
            </w:r>
          </w:p>
        </w:tc>
        <w:tc>
          <w:tcPr>
            <w:tcW w:w="12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The increase in free cash flow during the current year was primarily driven by operating margin expansion, partially offset by increased cash outflows related to the Transformation program and discretionary compensation payments in the current year as compared to the prior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2023, filed with the SEC on February 22, 2024, other than the following information regarding the goodwill impairment analysis performed during the three months ended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 Impairment Review</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Goodwill is tested at the reporting unit level, and the Company has seven reporting units as of October 1, 2024. As discussed in Note 3 — Acquisitions and Divestitures within Part I, Item 1 ‘Financial Statements’ in this Quarterly Report on Form 10-Q, in connection with the planned disposal of TRANZACT, during the three months ended September 30, 2024, the Company recorded a $1.0 billion non-cash goodwill impairment charge on the BDA reporting unit. The BDA reporting unit goodwill after impairment is approximately $1.2 billion. After reflecting the disposal of TRANZACT, the fair value of the remaining reporting unit is estimated to be significantly in excess of its carrying value.</w:t>
      </w:r>
    </w:p>
    <w:p>
      <w:pPr>
        <w:spacing w:after="0" w:line="12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 continuously monitors and evaluates relevant events and circumstances that could unfavorably impact the significant assumptions noted above, including changes to the regulatory environment, general industry, market and macro-economic conditions and recent market valuations from transactions of comparable companies. It is possible that future changes in such circumstances, or in the inputs or assumptions used in estimating the fair value of the reporting unit, could require the Company to record a non-cash impairment charge.</w:t>
      </w:r>
    </w:p>
    <w:p>
      <w:pPr>
        <w:spacing w:after="0" w:line="12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To perform the test, we used valuation techniques to estimate the fair value of a reporting unit that are under the income and/or market approaches of valuation methods:</w:t>
      </w:r>
    </w:p>
    <w:p>
      <w:pPr>
        <w:spacing w:after="0" w:line="107" w:lineRule="exact"/>
        <w:rPr>
          <w:sz w:val="20"/>
          <w:szCs w:val="20"/>
          <w:color w:val="auto"/>
        </w:rPr>
      </w:pPr>
    </w:p>
    <w:p>
      <w:pPr>
        <w:ind w:left="760" w:right="80" w:hanging="513"/>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Discounted cash flow method </w:t>
      </w:r>
      <w:r>
        <w:rPr>
          <w:rFonts w:ascii="Times New Roman" w:cs="Times New Roman" w:eastAsia="Times New Roman" w:hAnsi="Times New Roman"/>
          <w:sz w:val="18"/>
          <w:szCs w:val="18"/>
          <w:color w:val="auto"/>
        </w:rPr>
        <w:t>— Under the discounted cash flow method, an income approach, the business enterprise value is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discounting to present value the terminal value which is calculated using debt-free after-tax cash flows for a finite period of years. Key estimates in this approach were internal financial projection estimates prepared by management, assessment of business risk, and expected rates of return on capital.</w:t>
      </w:r>
    </w:p>
    <w:p>
      <w:pPr>
        <w:spacing w:after="0" w:line="122" w:lineRule="exact"/>
        <w:rPr>
          <w:rFonts w:ascii="Times New Roman" w:cs="Times New Roman" w:eastAsia="Times New Roman" w:hAnsi="Times New Roman"/>
          <w:sz w:val="18"/>
          <w:szCs w:val="18"/>
          <w:color w:val="auto"/>
        </w:rPr>
      </w:pPr>
    </w:p>
    <w:p>
      <w:pPr>
        <w:ind w:left="760" w:right="60" w:hanging="513"/>
        <w:spacing w:after="0" w:line="26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Guideline public company method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guideline public company method, a market approach, develops valuation multiples by comparing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to similar publicly traded companies. Key estimates and determination of valuation multiples rely on the selection of similar companies, obtaining forecast revenue and EBITDA estimates for the similar companies and selection of valuation multiples as they apply to the reporting unit characteristics.</w:t>
      </w:r>
    </w:p>
    <w:p>
      <w:pPr>
        <w:spacing w:after="0" w:line="120" w:lineRule="exact"/>
        <w:rPr>
          <w:rFonts w:ascii="Times New Roman" w:cs="Times New Roman" w:eastAsia="Times New Roman" w:hAnsi="Times New Roman"/>
          <w:sz w:val="18"/>
          <w:szCs w:val="18"/>
          <w:color w:val="auto"/>
        </w:rPr>
      </w:pPr>
    </w:p>
    <w:p>
      <w:pPr>
        <w:ind w:left="760" w:right="140" w:hanging="513"/>
        <w:spacing w:after="0" w:line="268"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Guideline transaction method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guideline transactions method, a market approach, actual transaction prices and operating data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deemed reasonably similar to the reporting units are used to develop valuation multiples as an indication of how much a knowledgeable investor in the marketplace would be willing to pay for the business units.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nine months ended September 30, 2024 and have determined that there have been no material changes to our exposure to market risks from those described in the Company’s Annual Report on Form 10-K for the year ended December 31, 2023, filed with the SEC on February 22, 2024. However, we have provided the following information to supplement or update our disclosures on our Form 10-K.</w:t>
      </w:r>
    </w:p>
    <w:p>
      <w:pPr>
        <w:spacing w:after="0" w:line="12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Fiduciary Funds</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 invest in these instruments. Interest income was $43 million and $130 million for the three and nine months ended September 30, 2024, respectively, and $39 million and $106 million for the three and nine months ended September 30, 2023, respectively. At September 30, 2024, we held $2.9 billion of fiduciary funds invested in interest-bearing accounts. If short-term interest rates increased or decreased by 25 basis points, interest earned on these invested fiduciary funds, and therefore our interest income recognized, would increase or decrease by approximately $7 million on an annualized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September 30, 2024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Except as described below, there are no material changes from risk factors as previously disclosed in our Annual Report on Form 10-K, filed with the SEC on February 22, 2024. We urge you to read the risk factors contained therein.</w:t>
      </w:r>
    </w:p>
    <w:p>
      <w:pPr>
        <w:spacing w:after="0" w:line="1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our pending sale of TRANZACT is subject to certain risks. The pending transaction also creates certain incremental risks for the Company that may negatively affect our operations, financial results or reputation.</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consummate the pending sale of TRANZACT pursuant to our equity purchase agreement, dated as of September 30, 2024, is subject to important risks, including, but not limited to: the risk that we may not obtain the required regulatory approvals, including under the U.S. Hart-Scott-Rodino Antitrust Improvements Act of 1976, or satisfy other customary closing conditions required to complete the transaction on its agreed-upon terms and the anticipated schedule, if at all. Other risks of the pending sale of TRANZACT to our operations, financial results or reputation include, but are not limited to: the risk of additional loss upon consummation of the pending transaction as a result of reclassifying TRANZACT’s assets and liabilities as ‘held-for-sale’, which accounting treatment requires us to continue to adjust the net book value of TRANZACT to fair value (less estimated costs to dispose of the business) until the transaction’s closing date; the risk that management’s attention is diverted from other matters during the pendency of the transaction and in the post-closing period; the impact of the announcement and/or the potential impact of the consummation of the pending transaction on relationships, including with employees, suppliers, carriers, clients and competitors; the risk of disruptions from the pending transaction that impact our business; the risk that the pending transaction does not yield the intended outcomes for our strategy, operations and/or financial results; the risk that there may be litigation associated with (or required to compel) consummation of the transaction; and other risks described in our other SEC filings. Failure to consummate the sale of TRANZACT may materially affect our business, financial condition or results of operations.</w:t>
      </w:r>
    </w:p>
    <w:p>
      <w:pPr>
        <w:spacing w:after="0" w:line="12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10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 material portion of our revenue is affected by statutory or regulatory changes. Some examples of statutory or regulatory changes that could materially impact us are any changes to the U.S. Patient Protection and Affordable Care Act (‘PPACA’), the Healthcare and Education Reconciliation Act of 2010 (‘HCERA’), which we refer to collectively as ‘Healthcare Reform’, or to the Medicare laws and regulations.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 to as ‘Medicare for All’. If we are unable to adapt our services to potential new laws and regulations, or judicial modifications, with respect to Healthcare Reform or otherwise, our ability to provide effective services in these areas may be impacted. In addition, more restrictive marketing rules or interpretations of the Centers for Medicare and Medicaid Services, or judicial decisions that restrict or otherwise change existing provisions of U.S. healthcare regulation, could have an adverse impact on our healthcare-related businesses.</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in the context of our direct-to-consumer sales and marketing solutions,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Centers for Medicare &amp; Medicaid Services (‘CMS’) of the U.S. Department of Health and Human Service). Federal and state legislators and/or regulators recently have expressed concerns about certain existing methods of marketing individual health policies, particularly Medicare Advantage and Medicare Supplement policies, and have held hearings and sought information from us and from competitors. In addition, CMS has recently expanded its regulation and oversight of the marketing of Medicare Advantage policies. Changes to these laws and/or regulations, or increased scrutiny or enforcement by regulators, could negatively affect our ability to market directly to consumers and/or increase our costs or liabilities. In particular, CMS issued a proposed rule for Contract Year 2025 for the Medicare Advantage and Medicare Prescription Drug programs that modifies agent, broker, and other third-party requirements. On April 4, 2024, CMS issued its Contract Year 2025 Medicare Advantage and Part D Final Rule (the ‘CMS 2025 Final Rule’). Among other things, the CMS 2025 Final Rule restructures the compensation that Medicare Advantage and Part D organizations may pay to independent agents and brokers by increasing the amounts paid to them as ‘compensation’ and eliminating administrative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payments related to enrollment. Uncertainty exists regarding the interpretation and implementation of the CMS 2025 Final Rule, particularly in light of the recent federal court decision which stayed portions of the CMS 2025 Final Rule relating to the proposed ‘fixed fee’ compensation increase and certain contract-terms restrictions. Depending on how and whether the rule is implemented, the CMS 2025 Final Rule may require changes to the way we are compensated for some of the services that we provide and has the potential to negatively impact the revenue that our Medicare Advantage and Part D insurance businesses may receive if we are unable to adjust our business to account for such changes. This could in turn impact the value of and impairment of goodwill or receivables associated with the business. In addition, in the event that we and insurance carriers interpret the rules in ways deemed incorrect, that may increase the potential for litigation, claims, fines, or other penalties which could have an adverse impact on our Medicare insurance businesses’ financial results. Further, periodic CMS rule changes, including those contained in the CMS 2025 Final Rule, may impact the profitability of Medicare Advantage and Part D plans to the Plan Sponsors, which in turn may impact the amount of compensation paid to agents and brokers for distributing such plans.</w:t>
      </w:r>
    </w:p>
    <w:p>
      <w:pPr>
        <w:spacing w:after="0" w:line="1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on April 23, 2024, the United States Department of Labor (‘DOL’) released a final rule (the ‘Retirement Security Rule’) that, among other things, expands the definition of an investment advice fiduciary under the Employee Retirement Income Security Act (‘ERISA’) and broadens the scope of advice that must meet fiduciary standards. As we continue to review the Retirement Security Rule, uncertainty exists regarding the Retirement Security Rule’s impact on one or more of our businesses, the conduct of which may become subject to fiduciary standards. Industry trade groups brought legal challenges to the Retirement Security Rule and, in late July 2024, two federal district courts issued stays halting the implementation of the entirety of the Retirement Security Rule until further notice. The DOL has appealed these decisions to the United States Court of Appeals for the Fifth Circuit.</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2024, no shares were issued by the Company without registration under the Securities Act of 1933, as amended.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On September 20, 2023, the board of directors approved a $1.0 billion increase to the existing share repurchase program. This increase brought the total approved authorization, since the announcement of the program on April 20, 2016, to $9.2 billion.</w:t>
      </w:r>
    </w:p>
    <w:p>
      <w:pPr>
        <w:spacing w:after="0" w:line="1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third quarter of 2024 and the Company’s remaining repurchase authority.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5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1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87"/>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5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1, 2024 through July 31, 2024</w:t>
            </w:r>
          </w:p>
        </w:tc>
        <w:tc>
          <w:tcPr>
            <w:tcW w:w="15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32,799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282.24</w:t>
            </w:r>
          </w:p>
        </w:tc>
        <w:tc>
          <w:tcPr>
            <w:tcW w:w="21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32,799</w:t>
            </w:r>
          </w:p>
        </w:tc>
        <w:tc>
          <w:tcPr>
            <w:tcW w:w="2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3,525,541</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2024 through August 31, 2024</w:t>
            </w: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363,252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281.41</w:t>
            </w:r>
          </w:p>
        </w:tc>
        <w:tc>
          <w:tcPr>
            <w:tcW w:w="21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363,252</w:t>
            </w:r>
          </w:p>
        </w:tc>
        <w:tc>
          <w:tcPr>
            <w:tcW w:w="2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3,162,289</w:t>
            </w:r>
          </w:p>
        </w:tc>
        <w:tc>
          <w:tcPr>
            <w:tcW w:w="0" w:type="dxa"/>
            <w:vAlign w:val="bottom"/>
          </w:tcPr>
          <w:p>
            <w:pPr>
              <w:spacing w:after="0"/>
              <w:rPr>
                <w:sz w:val="1"/>
                <w:szCs w:val="1"/>
                <w:color w:val="auto"/>
              </w:rPr>
            </w:pPr>
          </w:p>
        </w:tc>
      </w:tr>
      <w:tr>
        <w:trPr>
          <w:trHeight w:val="247"/>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1, 2024 through September 30, 2024</w:t>
            </w:r>
          </w:p>
        </w:tc>
        <w:tc>
          <w:tcPr>
            <w:tcW w:w="150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320,965</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291.05</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320,965</w:t>
            </w:r>
          </w:p>
        </w:tc>
        <w:tc>
          <w:tcPr>
            <w:tcW w:w="20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2,841,324</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717,016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285.76</w:t>
            </w:r>
          </w:p>
        </w:tc>
        <w:tc>
          <w:tcPr>
            <w:tcW w:w="21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717,016</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9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-1069975</wp:posOffset>
            </wp:positionV>
            <wp:extent cx="939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-1069975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2" w:name="page53"/>
    <w:bookmarkEnd w:id="52"/>
    <w:p>
      <w:pPr>
        <w:spacing w:after="0" w:line="265" w:lineRule="auto"/>
        <w:rPr>
          <w:sz w:val="20"/>
          <w:szCs w:val="20"/>
          <w:color w:val="auto"/>
        </w:rPr>
      </w:pPr>
      <w:r>
        <w:rPr>
          <w:rFonts w:ascii="Times New Roman" w:cs="Times New Roman" w:eastAsia="Times New Roman" w:hAnsi="Times New Roman"/>
          <w:sz w:val="18"/>
          <w:szCs w:val="18"/>
          <w:color w:val="auto"/>
        </w:rPr>
        <w:t>At September 30, 2024 the maximum number of shares that may yet be purchased under the existing share repurchase plan is 2,841,324, with approximately $837 million remaining on the current open-ended repurchase authority granted by the board. An estimate of the maximum number of shares under the existing authorities was determined using the closing price of our ordinary shares on September 30, 2024 of $294.53.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For the quarter ended September 30, 2024,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0" w:type="dxa"/>
            <w:vAlign w:val="bottom"/>
            <w:gridSpan w:val="10"/>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w:t>
            </w:r>
          </w:p>
        </w:tc>
        <w:tc>
          <w:tcPr>
            <w:tcW w:w="14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6800" w:type="dxa"/>
            <w:vAlign w:val="bottom"/>
            <w:gridSpan w:val="10"/>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Herewit</w:t>
            </w:r>
          </w:p>
        </w:tc>
        <w:tc>
          <w:tcPr>
            <w:tcW w:w="0" w:type="dxa"/>
            <w:vAlign w:val="bottom"/>
          </w:tcPr>
          <w:p>
            <w:pPr>
              <w:spacing w:after="0"/>
              <w:rPr>
                <w:sz w:val="1"/>
                <w:szCs w:val="1"/>
                <w:color w:val="auto"/>
              </w:rPr>
            </w:pPr>
          </w:p>
        </w:tc>
      </w:tr>
      <w:tr>
        <w:trPr>
          <w:trHeight w:val="25"/>
        </w:trPr>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FF0FC"/>
          </w:tcPr>
          <w:p>
            <w:pPr>
              <w:spacing w:after="0"/>
              <w:rPr>
                <w:sz w:val="16"/>
                <w:szCs w:val="16"/>
                <w:color w:val="auto"/>
              </w:rPr>
            </w:pPr>
          </w:p>
        </w:tc>
        <w:tc>
          <w:tcPr>
            <w:tcW w:w="6800" w:type="dxa"/>
            <w:vAlign w:val="bottom"/>
            <w:gridSpan w:val="10"/>
            <w:shd w:val="clear" w:color="auto" w:fill="CFF0FC"/>
          </w:tcPr>
          <w:p>
            <w:pPr>
              <w:spacing w:after="0" w:line="189" w:lineRule="exact"/>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List of Issuers and Guarantor Subsidiaries.</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40" w:type="dxa"/>
            <w:vAlign w:val="bottom"/>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July 25, 2024</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0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5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6"/>
                <w:szCs w:val="16"/>
                <w:color w:val="auto"/>
              </w:rPr>
            </w:pPr>
          </w:p>
        </w:tc>
        <w:tc>
          <w:tcPr>
            <w:tcW w:w="6380" w:type="dxa"/>
            <w:vAlign w:val="bottom"/>
            <w:tcBorders>
              <w:bottom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pursuant to Rule</w:t>
            </w:r>
          </w:p>
        </w:tc>
        <w:tc>
          <w:tcPr>
            <w:tcW w:w="42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11"/>
          </w:tcPr>
          <w:p>
            <w:pPr>
              <w:ind w:left="140"/>
              <w:spacing w:after="0" w:line="195" w:lineRule="exact"/>
              <w:rPr>
                <w:sz w:val="20"/>
                <w:szCs w:val="20"/>
                <w:color w:val="auto"/>
              </w:rPr>
            </w:pPr>
            <w:r>
              <w:rPr>
                <w:rFonts w:ascii="Times New Roman" w:cs="Times New Roman" w:eastAsia="Times New Roman" w:hAnsi="Times New Roman"/>
                <w:sz w:val="18"/>
                <w:szCs w:val="18"/>
                <w:color w:val="0000FF"/>
              </w:rPr>
              <w:t>13a-14 of the Securities Exchange Act of 1934.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FF0FC"/>
            </w:tcBorders>
            <w:shd w:val="clear" w:color="auto" w:fill="CFF0FC"/>
          </w:tcPr>
          <w:p>
            <w:pPr>
              <w:spacing w:after="0"/>
              <w:rPr>
                <w:sz w:val="16"/>
                <w:szCs w:val="16"/>
                <w:color w:val="auto"/>
              </w:rPr>
            </w:pPr>
          </w:p>
        </w:tc>
        <w:tc>
          <w:tcPr>
            <w:tcW w:w="6360" w:type="dxa"/>
            <w:vAlign w:val="bottom"/>
            <w:tcBorders>
              <w:bottom w:val="single" w:sz="8" w:color="0000FF"/>
            </w:tcBorders>
            <w:gridSpan w:val="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w:t>
            </w:r>
          </w:p>
        </w:tc>
        <w:tc>
          <w:tcPr>
            <w:tcW w:w="440" w:type="dxa"/>
            <w:vAlign w:val="bottom"/>
            <w:tcBorders>
              <w:bottom w:val="single" w:sz="8" w:color="CFF0FC"/>
            </w:tcBorders>
            <w:gridSpan w:val="4"/>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0" w:type="dxa"/>
            <w:vAlign w:val="bottom"/>
            <w:tcBorders>
              <w:bottom w:val="single" w:sz="8" w:color="0000FF"/>
            </w:tcBorders>
            <w:gridSpan w:val="4"/>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Rule 13a-14 of the Securities Exchange Act of 1934.</w:t>
            </w:r>
          </w:p>
        </w:tc>
        <w:tc>
          <w:tcPr>
            <w:tcW w:w="3000" w:type="dxa"/>
            <w:vAlign w:val="bottom"/>
            <w:tcBorders>
              <w:bottom w:val="single" w:sz="8" w:color="CFF0FC"/>
            </w:tcBorders>
            <w:gridSpan w:val="6"/>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6"/>
                <w:szCs w:val="16"/>
                <w:color w:val="auto"/>
              </w:rPr>
            </w:pPr>
          </w:p>
        </w:tc>
        <w:tc>
          <w:tcPr>
            <w:tcW w:w="6600" w:type="dxa"/>
            <w:vAlign w:val="bottom"/>
            <w:tcBorders>
              <w:bottom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and Chief Financial</w:t>
            </w:r>
          </w:p>
        </w:tc>
        <w:tc>
          <w:tcPr>
            <w:tcW w:w="2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Officer, Andrew J. Krasner, pursuant to 18 U.S.C. Section 1350, as adopted pursuant to</w:t>
            </w:r>
          </w:p>
        </w:tc>
        <w:tc>
          <w:tcPr>
            <w:tcW w:w="4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11"/>
          </w:tcPr>
          <w:p>
            <w:pPr>
              <w:ind w:left="140"/>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101.INS</w:t>
            </w:r>
          </w:p>
        </w:tc>
        <w:tc>
          <w:tcPr>
            <w:tcW w:w="6940" w:type="dxa"/>
            <w:vAlign w:val="bottom"/>
            <w:gridSpan w:val="11"/>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8"/>
        </w:trPr>
        <w:tc>
          <w:tcPr>
            <w:tcW w:w="660" w:type="dxa"/>
            <w:vAlign w:val="bottom"/>
            <w:shd w:val="clear" w:color="auto" w:fill="CFF0FC"/>
          </w:tcPr>
          <w:p>
            <w:pPr>
              <w:spacing w:after="0"/>
              <w:rPr>
                <w:sz w:val="21"/>
                <w:szCs w:val="21"/>
                <w:color w:val="auto"/>
              </w:rPr>
            </w:pPr>
          </w:p>
        </w:tc>
        <w:tc>
          <w:tcPr>
            <w:tcW w:w="6940" w:type="dxa"/>
            <w:vAlign w:val="bottom"/>
            <w:gridSpan w:val="11"/>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101.SC</w:t>
            </w:r>
          </w:p>
        </w:tc>
        <w:tc>
          <w:tcPr>
            <w:tcW w:w="694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104</w:t>
            </w:r>
          </w:p>
        </w:tc>
        <w:tc>
          <w:tcPr>
            <w:tcW w:w="6940" w:type="dxa"/>
            <w:vAlign w:val="bottom"/>
            <w:gridSpan w:val="11"/>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05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58" w:lineRule="exact"/>
        <w:rPr>
          <w:sz w:val="20"/>
          <w:szCs w:val="20"/>
          <w:color w:val="auto"/>
        </w:rPr>
      </w:pPr>
    </w:p>
    <w:p>
      <w:pPr>
        <w:ind w:firstLine="8"/>
        <w:spacing w:after="0" w:line="258" w:lineRule="auto"/>
        <w:tabs>
          <w:tab w:leader="none" w:pos="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0" w:right="4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A. Hess</w:t>
            </w:r>
          </w:p>
        </w:tc>
        <w:tc>
          <w:tcPr>
            <w:tcW w:w="6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Carl A. Hess</w:t>
            </w:r>
          </w:p>
        </w:tc>
        <w:tc>
          <w:tcPr>
            <w:tcW w:w="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Andrew J. Krasner</w:t>
            </w:r>
          </w:p>
        </w:tc>
        <w:tc>
          <w:tcPr>
            <w:tcW w:w="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Joseph S. Kurpis</w:t>
            </w:r>
          </w:p>
        </w:tc>
        <w:tc>
          <w:tcPr>
            <w:tcW w:w="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8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65"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80" w:hanging="473"/>
        <w:spacing w:after="0" w:line="265"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400" w:hanging="473"/>
        <w:spacing w:after="0" w:line="265"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560" w:hanging="473"/>
        <w:spacing w:after="0" w:line="312" w:lineRule="auto"/>
        <w:tabs>
          <w:tab w:leader="none" w:pos="9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65"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60" w:right="800" w:hanging="473"/>
        <w:spacing w:after="0" w:line="281"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65"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80" w:hanging="473"/>
        <w:spacing w:after="0" w:line="265"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400" w:hanging="473"/>
        <w:spacing w:after="0" w:line="265"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560" w:hanging="473"/>
        <w:spacing w:after="0" w:line="312" w:lineRule="auto"/>
        <w:tabs>
          <w:tab w:leader="none" w:pos="9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65"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60" w:right="800" w:hanging="473"/>
        <w:spacing w:after="0" w:line="281"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00" w:lineRule="exact"/>
        <w:rPr>
          <w:sz w:val="20"/>
          <w:szCs w:val="20"/>
          <w:color w:val="auto"/>
        </w:rPr>
      </w:pPr>
    </w:p>
    <w:p>
      <w:pPr>
        <w:ind w:left="1040" w:right="640" w:hanging="567"/>
        <w:spacing w:after="0" w:line="281"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2024 (the ‘Report’) fully complies with the requirements of Section 13(a) or Section 15(d), as applicable, of the Exchange Act; and</w:t>
      </w:r>
    </w:p>
    <w:p>
      <w:pPr>
        <w:spacing w:after="0" w:line="54" w:lineRule="exact"/>
        <w:rPr>
          <w:rFonts w:ascii="Times New Roman" w:cs="Times New Roman" w:eastAsia="Times New Roman" w:hAnsi="Times New Roman"/>
          <w:sz w:val="18"/>
          <w:szCs w:val="18"/>
          <w:color w:val="auto"/>
        </w:rPr>
      </w:pPr>
    </w:p>
    <w:p>
      <w:pPr>
        <w:ind w:left="1040" w:right="540" w:hanging="567"/>
        <w:spacing w:after="0" w:line="281"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Roman"/>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Roman"/>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498" Type="http://schemas.openxmlformats.org/officeDocument/2006/relationships/hyperlink" Target="https://www.sec.gov/Archives/edgar/data/1140536/000095017024086379/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2024-10-31T12:19:15Z</dcterms:created>
  <dcterms:modified xsi:type="dcterms:W3CDTF">2024-10-31T12:19:15Z</dcterms:modified>
</cp:coreProperties>
</file>