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Banas Kristy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WILLIS GROUP LIMITED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LIME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EC3M 7DQ</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WILLIS TOWERS WATSON PLC</w:t>
              </w:r>
            </w:hyperlink>
            <w:r>
              <w:rPr/>
              <w:t xml:space="preserve"> [ </w:t>
            </w:r>
            <w:r>
              <w:rPr>
                <w:rFonts w:ascii="Times;serif" w:hAnsi="Times;serif"/>
                <w:color w:val="0000FF"/>
                <w:sz w:val="24"/>
                <w:shd w:fill="FFFFFF" w:val="clear"/>
              </w:rPr>
              <w:t>WTW</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Human Resources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1"/>
        <w:gridCol w:w="901"/>
        <w:gridCol w:w="773"/>
        <w:gridCol w:w="598"/>
        <w:gridCol w:w="338"/>
        <w:gridCol w:w="765"/>
        <w:gridCol w:w="426"/>
        <w:gridCol w:w="589"/>
        <w:gridCol w:w="1473"/>
        <w:gridCol w:w="962"/>
        <w:gridCol w:w="90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78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nominal value $0.000304635 per share</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4.77</w:t>
            </w:r>
            <w:r>
              <w:rPr>
                <w:rFonts w:ascii="Times;serif" w:hAnsi="Times;serif"/>
                <w:color w:val="008000"/>
                <w:position w:val="7"/>
                <w:sz w:val="16"/>
                <w:sz w:val="20"/>
                <w:shd w:fill="FFFFFF" w:val="clear"/>
              </w:rPr>
              <w:t>(1)</w:t>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4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11,368.4938</w:t>
            </w:r>
            <w:r>
              <w:rPr>
                <w:rFonts w:ascii="Times;serif" w:hAnsi="Times;serif"/>
                <w:color w:val="008000"/>
                <w:position w:val="7"/>
                <w:sz w:val="16"/>
                <w:sz w:val="20"/>
                <w:shd w:fill="FFFFFF" w:val="clear"/>
              </w:rPr>
              <w:t>(2)</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83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71"/>
        <w:gridCol w:w="276"/>
        <w:gridCol w:w="906"/>
        <w:gridCol w:w="801"/>
        <w:gridCol w:w="1341"/>
        <w:gridCol w:w="801"/>
        <w:gridCol w:w="801"/>
        <w:gridCol w:w="1071"/>
        <w:gridCol w:w="831"/>
        <w:gridCol w:w="846"/>
      </w:tblGrid>
      <w:tr>
        <w:trPr>
          <w:tblHeader w:val="true"/>
        </w:trPr>
        <w:tc>
          <w:tcPr>
            <w:tcW w:w="128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3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4.1392</w:t>
            </w:r>
            <w:r>
              <w:rPr>
                <w:rFonts w:ascii="Times;serif" w:hAnsi="Times;serif"/>
                <w:color w:val="008000"/>
                <w:position w:val="7"/>
                <w:sz w:val="16"/>
                <w:sz w:val="20"/>
                <w:shd w:fill="FFFFFF" w:val="clear"/>
              </w:rPr>
              <w:t>(4)</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4.1392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1,384.5438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1.7204</w:t>
            </w:r>
            <w:r>
              <w:rPr>
                <w:rFonts w:ascii="Times;serif" w:hAnsi="Times;serif"/>
                <w:color w:val="008000"/>
                <w:position w:val="7"/>
                <w:sz w:val="16"/>
                <w:sz w:val="20"/>
                <w:shd w:fill="FFFFFF" w:val="clear"/>
              </w:rPr>
              <w:t>(6)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3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1.7204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560.0921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the reporting person's previously reported restricted share unit awards and will vest based on the same vesting schedule applicable to the underlying award. Each dividend equivalent right is the economic equivalent of one WTW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Amount corrects a nominal overstatement of the number of shares received in a prior dividend.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share units settle for Ordinary Shares, nominal value $0.000304635 per share, on a 1:1 basis 6 months after the reporting person's termination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dividends acquired pursuant to the Willis Towers Watson Non-Qualified Deferred Savings Plan for U.S. Employees (the "Plan"), including the participant's deferral election under the Plan and the Company's matching contribution on the participant's deferral election credited to the participant's account in the form of restricted share units under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Vested shares under the Willis Towers Watson Non-Qualified Stable Value Excess Plan for U.S. Employees settle for Ordinary Shares, nominal value $0.000304635 per share, on a 1:1 basis on the first business day of the month on which the NASDAQ Stock Market is open for business following the earlier of (i) the date that is 6 months after the reporting person's separation from service and (ii) the date that is 30 days after the reporting person's death.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dividends acquired pursuant to the Willis Towers Watson Non-Qualified Stable Value Excess Plan for U.S. Employees (the "Excess Plan"), including the participant's deferral election under the Excess Plan and the Company's matching contribution on the participant's deferral election credited to the participant's account in the form of restricted share units under the Excess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Kristy D. Banas by Gary Pang, Attorney-in-Fact (power of attorney previously filed)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1896" TargetMode="External"/><Relationship Id="rId5" Type="http://schemas.openxmlformats.org/officeDocument/2006/relationships/hyperlink" Target="http://www.sec.gov/cgi-bin/browse-edgar?action=getcompany&amp;CIK=00011405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895</Words>
  <Characters>4922</Characters>
  <CharactersWithSpaces>5720</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