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wtw-20230331.htm"/>
      <w:bookmarkStart w:id="1" w:name="kswtw20230331"/>
      <w:bookmarkEnd w:id="0"/>
      <w:bookmarkEnd w:id="1"/>
      <w:r>
        <w:rPr/>
        <w:t> </w:t>
      </w:r>
    </w:p>
    <w:p>
      <w:pPr>
        <w:pStyle w:val="TextBody"/>
        <w:pBdr>
          <w:bottom w:val="double" w:sz="6" w:space="1" w:color="000000"/>
        </w:pBdr>
        <w:spacing w:before="0" w:after="0"/>
        <w:jc w:val="left"/>
        <w:rPr/>
      </w:pPr>
      <w:r>
        <w:rPr/>
        <w:t> </w:t>
      </w:r>
    </w:p>
    <w:p>
      <w:pPr>
        <w:pStyle w:val="TextBody"/>
        <w:spacing w:before="0" w:after="0"/>
        <w:jc w:val="center"/>
        <w:rPr>
          <w:rFonts w:ascii="Times New Roman;serif" w:hAnsi="Times New Roman;serif"/>
          <w:b/>
          <w:sz w:val="28"/>
        </w:rPr>
      </w:pPr>
      <w:r>
        <w:rPr>
          <w:rFonts w:ascii="Times New Roman;serif" w:hAnsi="Times New Roman;serif"/>
          <w:b/>
          <w:sz w:val="28"/>
        </w:rPr>
        <w:t>UNITED STATES</w:t>
      </w:r>
    </w:p>
    <w:p>
      <w:pPr>
        <w:pStyle w:val="TextBody"/>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spacing w:before="18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40" w:after="0"/>
        <w:jc w:val="center"/>
        <w:rPr>
          <w:rFonts w:ascii="Times New Roman;serif" w:hAnsi="Times New Roman;serif"/>
          <w:b/>
          <w:sz w:val="36"/>
        </w:rPr>
      </w:pPr>
      <w:r>
        <w:rPr>
          <w:rFonts w:ascii="Times New Roman;serif" w:hAnsi="Times New Roman;serif"/>
          <w:b/>
          <w:sz w:val="36"/>
        </w:rPr>
        <w:t>FORM 10-Q</w:t>
      </w:r>
    </w:p>
    <w:p>
      <w:pPr>
        <w:pStyle w:val="TextBody"/>
        <w:spacing w:before="0" w:after="0"/>
        <w:jc w:val="left"/>
        <w:rPr>
          <w:rFonts w:ascii="Times New Roman;serif" w:hAnsi="Times New Roman;serif"/>
          <w:b/>
          <w:sz w:val="20"/>
        </w:rPr>
      </w:pPr>
      <w:r>
        <w:rPr>
          <w:rFonts w:ascii="Times New Roman;serif" w:hAnsi="Times New Roman;serif"/>
          <w:b/>
          <w:sz w:val="20"/>
        </w:rPr>
        <w:t>(Mark One)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QUARTERLY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For the quarterly period ended</w:t>
      </w:r>
      <w:r>
        <w:rPr>
          <w:rFonts w:ascii="Times New Roman" w:hAnsi="Times New Roman"/>
          <w:sz w:val="20"/>
        </w:rPr>
        <w:t xml:space="preserve"> </w:t>
      </w:r>
      <w:r>
        <w:rPr>
          <w:rFonts w:ascii="Times New Roman;serif" w:hAnsi="Times New Roman;serif"/>
          <w:b/>
          <w:sz w:val="20"/>
        </w:rPr>
        <w:t>March 31, 2023</w:t>
      </w:r>
    </w:p>
    <w:p>
      <w:pPr>
        <w:pStyle w:val="TextBody"/>
        <w:spacing w:before="0" w:after="0"/>
        <w:jc w:val="center"/>
        <w:rPr>
          <w:rFonts w:ascii="Times New Roman;serif" w:hAnsi="Times New Roman;serif"/>
          <w:b/>
          <w:sz w:val="20"/>
        </w:rPr>
      </w:pPr>
      <w:r>
        <w:rPr>
          <w:rFonts w:ascii="Times New Roman;serif" w:hAnsi="Times New Roman;serif"/>
          <w:b/>
          <w:sz w:val="20"/>
        </w:rPr>
        <w:t>OR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For the transition period from</w:t>
      </w:r>
      <w:r>
        <w:rPr>
          <w:rFonts w:ascii="Times New Roman" w:hAnsi="Times New Roman"/>
          <w:sz w:val="20"/>
        </w:rPr>
        <w:t xml:space="preserve"> </w:t>
      </w:r>
      <w:r>
        <w:rPr>
          <w:rFonts w:ascii="Times New Roman;serif" w:hAnsi="Times New Roman;serif"/>
          <w:b/>
          <w:sz w:val="20"/>
        </w:rPr>
        <w:t>to ___________</w:t>
      </w:r>
      <w:r>
        <w:rPr>
          <w:rFonts w:ascii="Times New Roman" w:hAnsi="Times New Roman"/>
          <w:sz w:val="20"/>
        </w:rPr>
        <w:t xml:space="preserve"> </w:t>
      </w:r>
    </w:p>
    <w:p>
      <w:pPr>
        <w:pStyle w:val="TextBody"/>
        <w:spacing w:before="60" w:after="0"/>
        <w:jc w:val="center"/>
        <w:rPr>
          <w:rFonts w:ascii="Times New Roman;serif" w:hAnsi="Times New Roman;serif"/>
          <w:b/>
          <w:sz w:val="20"/>
        </w:rPr>
      </w:pPr>
      <w:r>
        <w:rPr>
          <w:rFonts w:ascii="Times New Roman;serif" w:hAnsi="Times New Roman;serif"/>
          <w:b/>
          <w:sz w:val="20"/>
        </w:rPr>
        <w:t>Commission File Number: 001-16503</w:t>
      </w:r>
    </w:p>
    <w:p>
      <w:pPr>
        <w:pStyle w:val="TextBody"/>
        <w:pBdr>
          <w:bottom w:val="single" w:sz="4" w:space="1" w:color="000000"/>
        </w:pBdr>
        <w:spacing w:before="0" w:after="0"/>
        <w:jc w:val="center"/>
        <w:rPr/>
      </w:pPr>
      <w:r>
        <w:rPr/>
        <w:t> </w:t>
      </w:r>
    </w:p>
    <w:p>
      <w:pPr>
        <w:pStyle w:val="TextBody"/>
        <w:spacing w:before="240" w:after="0"/>
        <w:jc w:val="center"/>
        <w:rPr/>
      </w:pPr>
      <w:r>
        <w:rPr/>
        <w:drawing>
          <wp:inline distT="0" distB="0" distL="0" distR="0">
            <wp:extent cx="1333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428625"/>
                    </a:xfrm>
                    <a:prstGeom prst="rect">
                      <a:avLst/>
                    </a:prstGeom>
                  </pic:spPr>
                </pic:pic>
              </a:graphicData>
            </a:graphic>
          </wp:inline>
        </w:drawing>
      </w:r>
      <w:r>
        <w:rPr/>
        <w:t> </w:t>
      </w:r>
    </w:p>
    <w:p>
      <w:pPr>
        <w:pStyle w:val="TextBody"/>
        <w:spacing w:before="120" w:after="0"/>
        <w:jc w:val="center"/>
        <w:rPr>
          <w:rFonts w:ascii="Times New Roman;serif" w:hAnsi="Times New Roman;serif"/>
          <w:b/>
          <w:sz w:val="36"/>
        </w:rPr>
      </w:pPr>
      <w:r>
        <w:rPr>
          <w:rFonts w:ascii="Times New Roman;serif" w:hAnsi="Times New Roman;serif"/>
          <w:b/>
          <w:sz w:val="36"/>
        </w:rPr>
        <w:t>WILLIS TOWERS WATSON PUBLIC LIMITED COMPANY</w:t>
      </w:r>
    </w:p>
    <w:p>
      <w:pPr>
        <w:pStyle w:val="TextBody"/>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7663" w:type="dxa"/>
        <w:jc w:val="left"/>
        <w:tblInd w:w="0" w:type="dxa"/>
        <w:tblCellMar>
          <w:top w:w="28" w:type="dxa"/>
          <w:left w:w="28" w:type="dxa"/>
          <w:bottom w:w="28" w:type="dxa"/>
          <w:right w:w="28" w:type="dxa"/>
        </w:tblCellMar>
      </w:tblPr>
      <w:tblGrid>
        <w:gridCol w:w="3646"/>
        <w:gridCol w:w="146"/>
        <w:gridCol w:w="3871"/>
      </w:tblGrid>
      <w:tr>
        <w:trPr/>
        <w:tc>
          <w:tcPr>
            <w:tcW w:w="3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Ireland</w:t>
            </w:r>
          </w:p>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(Jurisdiction of</w:t>
            </w:r>
          </w:p>
          <w:p>
            <w:pPr>
              <w:pStyle w:val="TableContents"/>
              <w:spacing w:before="0" w:after="0"/>
              <w:ind w:left="0" w:right="0" w:firstLine="30"/>
              <w:jc w:val="center"/>
              <w:rPr>
                <w:rFonts w:ascii="Times New Roman;serif" w:hAnsi="Times New Roman;serif"/>
                <w:b w:val="false"/>
                <w:i/>
                <w:sz w:val="16"/>
              </w:rPr>
            </w:pPr>
            <w:r>
              <w:rPr>
                <w:rFonts w:ascii="Times New Roman;serif" w:hAnsi="Times New Roman;serif"/>
                <w:b w:val="false"/>
                <w:i/>
                <w:sz w:val="16"/>
              </w:rPr>
              <w:t>incorporation or organization)</w:t>
            </w:r>
          </w:p>
        </w:tc>
        <w:tc>
          <w:tcPr>
            <w:tcW w:w="146" w:type="dxa"/>
            <w:tcBorders/>
            <w:shd w:fill="auto" w:val="clear"/>
            <w:vAlign w:val="center"/>
          </w:tcPr>
          <w:p>
            <w:pPr>
              <w:pStyle w:val="TableContents"/>
              <w:spacing w:before="0" w:after="283"/>
              <w:ind w:left="0" w:right="0" w:firstLine="30"/>
              <w:rPr>
                <w:sz w:val="4"/>
                <w:szCs w:val="4"/>
              </w:rPr>
            </w:pPr>
            <w:r>
              <w:rPr>
                <w:sz w:val="4"/>
                <w:szCs w:val="4"/>
              </w:rPr>
            </w:r>
          </w:p>
        </w:tc>
        <w:tc>
          <w:tcPr>
            <w:tcW w:w="387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98-0352587</w:t>
            </w:r>
          </w:p>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(I.R.S. Employer</w:t>
            </w:r>
          </w:p>
          <w:p>
            <w:pPr>
              <w:pStyle w:val="TableContents"/>
              <w:spacing w:before="0" w:after="0"/>
              <w:ind w:left="0" w:right="0" w:hanging="0"/>
              <w:jc w:val="center"/>
              <w:rPr>
                <w:rFonts w:ascii="Times New Roman" w:hAnsi="Times New Roman"/>
                <w:sz w:val="20"/>
              </w:rPr>
            </w:pPr>
            <w:r>
              <w:rPr>
                <w:rFonts w:ascii="Times New Roman;serif" w:hAnsi="Times New Roman;serif"/>
                <w:b w:val="false"/>
                <w:i/>
                <w:sz w:val="16"/>
              </w:rPr>
              <w:t>Identification No.)</w:t>
            </w:r>
            <w:r>
              <w:rPr>
                <w:rFonts w:ascii="Times New Roman" w:hAnsi="Times New Roman"/>
                <w:sz w:val="20"/>
              </w:rPr>
              <w:t xml:space="preserve"> </w:t>
            </w:r>
          </w:p>
        </w:tc>
      </w:tr>
      <w:tr>
        <w:trPr/>
        <w:tc>
          <w:tcPr>
            <w:tcW w:w="36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 Willis Group Limited</w:t>
            </w:r>
          </w:p>
          <w:p>
            <w:pPr>
              <w:pStyle w:val="TableContents"/>
              <w:spacing w:before="0" w:after="0"/>
              <w:ind w:left="0" w:right="0" w:hanging="0"/>
              <w:jc w:val="center"/>
              <w:rPr>
                <w:rFonts w:ascii="Times New Roman" w:hAnsi="Times New Roman"/>
                <w:sz w:val="20"/>
              </w:rPr>
            </w:pPr>
            <w:r>
              <w:rPr>
                <w:rFonts w:ascii="Times New Roman;serif" w:hAnsi="Times New Roman;serif"/>
                <w:b/>
                <w:sz w:val="18"/>
              </w:rPr>
              <w:t>51 Lime Street, London</w:t>
            </w:r>
            <w:r>
              <w:rPr>
                <w:rFonts w:ascii="Times New Roman" w:hAnsi="Times New Roman"/>
                <w:sz w:val="20"/>
              </w:rPr>
              <w:t xml:space="preserve"> </w:t>
            </w:r>
            <w:r>
              <w:rPr>
                <w:rFonts w:ascii="Times New Roman;serif" w:hAnsi="Times New Roman;serif"/>
                <w:b/>
                <w:sz w:val="18"/>
              </w:rPr>
              <w:t>EC3M 7DQ, England</w:t>
            </w:r>
          </w:p>
          <w:p>
            <w:pPr>
              <w:pStyle w:val="TableContents"/>
              <w:spacing w:before="0" w:after="0"/>
              <w:ind w:left="0" w:right="0" w:firstLine="30"/>
              <w:jc w:val="center"/>
              <w:rPr>
                <w:rFonts w:ascii="Times New Roman;serif" w:hAnsi="Times New Roman;serif"/>
                <w:b w:val="false"/>
                <w:i/>
                <w:sz w:val="16"/>
              </w:rPr>
            </w:pPr>
            <w:r>
              <w:rPr>
                <w:rFonts w:ascii="Times New Roman;serif" w:hAnsi="Times New Roman;serif"/>
                <w:b w:val="false"/>
                <w:i/>
                <w:sz w:val="16"/>
              </w:rPr>
              <w:t>(Address of principal executive offices)</w:t>
            </w:r>
          </w:p>
        </w:tc>
        <w:tc>
          <w:tcPr>
            <w:tcW w:w="146" w:type="dxa"/>
            <w:tcBorders/>
            <w:shd w:fill="auto" w:val="clear"/>
            <w:vAlign w:val="center"/>
          </w:tcPr>
          <w:p>
            <w:pPr>
              <w:pStyle w:val="TableContents"/>
              <w:spacing w:before="0" w:after="283"/>
              <w:ind w:left="0" w:right="0" w:firstLine="30"/>
              <w:rPr>
                <w:sz w:val="4"/>
                <w:szCs w:val="4"/>
              </w:rPr>
            </w:pPr>
            <w:r>
              <w:rPr>
                <w:sz w:val="4"/>
                <w:szCs w:val="4"/>
              </w:rPr>
            </w:r>
          </w:p>
        </w:tc>
        <w:tc>
          <w:tcPr>
            <w:tcW w:w="387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(011) 44-20-3124-6000</w:t>
            </w:r>
          </w:p>
          <w:p>
            <w:pPr>
              <w:pStyle w:val="TableContents"/>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(Registrant’s telephone number, including area code)</w:t>
            </w:r>
          </w:p>
        </w:tc>
      </w:tr>
    </w:tbl>
    <w:p>
      <w:pPr>
        <w:pStyle w:val="TextBody"/>
        <w:spacing w:before="120" w:after="0"/>
        <w:jc w:val="left"/>
        <w:rPr>
          <w:rFonts w:ascii="Times New Roman" w:hAnsi="Times New Roman"/>
          <w:sz w:val="20"/>
        </w:rPr>
      </w:pPr>
      <w:r>
        <w:rPr>
          <w:rFonts w:ascii="Times New Roman;serif" w:hAnsi="Times New Roman;serif"/>
          <w:b w:val="false"/>
          <w:sz w:val="16"/>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680" w:type="dxa"/>
        <w:jc w:val="left"/>
        <w:tblInd w:w="0" w:type="dxa"/>
        <w:tblCellMar>
          <w:top w:w="28" w:type="dxa"/>
          <w:left w:w="28" w:type="dxa"/>
          <w:bottom w:w="28" w:type="dxa"/>
          <w:right w:w="28" w:type="dxa"/>
        </w:tblCellMar>
      </w:tblPr>
      <w:tblGrid>
        <w:gridCol w:w="4246"/>
        <w:gridCol w:w="146"/>
        <w:gridCol w:w="826"/>
        <w:gridCol w:w="146"/>
        <w:gridCol w:w="3316"/>
      </w:tblGrid>
      <w:tr>
        <w:trPr/>
        <w:tc>
          <w:tcPr>
            <w:tcW w:w="4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4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Ordinary Shares, nominal value $0.000304635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WTW</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NASDAQ Global Select Market</w:t>
            </w:r>
          </w:p>
        </w:tc>
      </w:tr>
    </w:tbl>
    <w:p>
      <w:pPr>
        <w:pStyle w:val="TextBody"/>
        <w:spacing w:before="18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9908" w:type="dxa"/>
        <w:jc w:val="left"/>
        <w:tblInd w:w="0" w:type="dxa"/>
        <w:tblCellMar>
          <w:top w:w="28" w:type="dxa"/>
          <w:left w:w="28" w:type="dxa"/>
          <w:bottom w:w="28" w:type="dxa"/>
          <w:right w:w="28" w:type="dxa"/>
        </w:tblCellMar>
      </w:tblPr>
      <w:tblGrid>
        <w:gridCol w:w="2086"/>
        <w:gridCol w:w="316"/>
        <w:gridCol w:w="1711"/>
        <w:gridCol w:w="466"/>
        <w:gridCol w:w="2446"/>
        <w:gridCol w:w="466"/>
        <w:gridCol w:w="2056"/>
        <w:gridCol w:w="361"/>
      </w:tblGrid>
      <w:tr>
        <w:trPr/>
        <w:tc>
          <w:tcPr>
            <w:tcW w:w="20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Large accelerated filer</w:t>
            </w:r>
            <w:r>
              <w:rPr>
                <w:rFonts w:ascii="Times New Roman" w:hAnsi="Times New Roman"/>
                <w:sz w:val="20"/>
              </w:rPr>
              <w:t xml:space="preserve"> </w:t>
            </w:r>
          </w:p>
        </w:tc>
        <w:tc>
          <w:tcPr>
            <w:tcW w:w="316" w:type="dxa"/>
            <w:tcBorders/>
            <w:shd w:fill="auto" w:val="clear"/>
            <w:vAlign w:val="center"/>
          </w:tcPr>
          <w:p>
            <w:pPr>
              <w:pStyle w:val="TableContents"/>
              <w:spacing w:before="0" w:after="0"/>
              <w:ind w:left="0" w:right="0" w:hanging="0"/>
              <w:jc w:val="left"/>
              <w:rPr/>
            </w:pPr>
            <w:r>
              <w:rPr/>
              <w:t></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Accelerated filer</w:t>
            </w:r>
            <w:r>
              <w:rPr>
                <w:rFonts w:ascii="Times New Roman" w:hAnsi="Times New Roman"/>
                <w:sz w:val="16"/>
              </w:rPr>
              <w:t xml:space="preserve"> </w:t>
            </w:r>
          </w:p>
        </w:tc>
        <w:tc>
          <w:tcPr>
            <w:tcW w:w="466" w:type="dxa"/>
            <w:tcBorders/>
            <w:shd w:fill="auto" w:val="clear"/>
            <w:vAlign w:val="center"/>
          </w:tcPr>
          <w:p>
            <w:pPr>
              <w:pStyle w:val="TableContents"/>
              <w:spacing w:before="0" w:after="0"/>
              <w:ind w:left="0" w:right="0" w:hanging="0"/>
              <w:jc w:val="left"/>
              <w:rPr/>
            </w:pPr>
            <w:r>
              <w:rPr/>
              <w:t></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Non-accelerated filer</w:t>
            </w:r>
            <w:r>
              <w:rPr>
                <w:rFonts w:ascii="Times New Roman" w:hAnsi="Times New Roman"/>
                <w:sz w:val="16"/>
              </w:rPr>
              <w:t xml:space="preserve"> </w:t>
            </w:r>
          </w:p>
        </w:tc>
        <w:tc>
          <w:tcPr>
            <w:tcW w:w="466" w:type="dxa"/>
            <w:tcBorders/>
            <w:shd w:fill="auto" w:val="clear"/>
            <w:vAlign w:val="center"/>
          </w:tcPr>
          <w:p>
            <w:pPr>
              <w:pStyle w:val="TableContents"/>
              <w:spacing w:before="0" w:after="0"/>
              <w:ind w:left="0" w:right="0" w:hanging="0"/>
              <w:jc w:val="left"/>
              <w:rPr/>
            </w:pPr>
            <w:r>
              <w:rPr/>
              <w:t></w:t>
            </w:r>
          </w:p>
        </w:tc>
        <w:tc>
          <w:tcPr>
            <w:tcW w:w="205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Smaller reporting company</w:t>
            </w:r>
            <w:r>
              <w:rPr>
                <w:rFonts w:ascii="Times New Roman" w:hAnsi="Times New Roman"/>
                <w:sz w:val="16"/>
              </w:rPr>
              <w:t xml:space="preserve"> </w:t>
            </w:r>
          </w:p>
        </w:tc>
        <w:tc>
          <w:tcPr>
            <w:tcW w:w="361" w:type="dxa"/>
            <w:tcBorders/>
            <w:shd w:fill="auto" w:val="clear"/>
            <w:vAlign w:val="center"/>
          </w:tcPr>
          <w:p>
            <w:pPr>
              <w:pStyle w:val="TableContents"/>
              <w:spacing w:before="0" w:after="0"/>
              <w:ind w:left="0" w:right="0" w:hanging="0"/>
              <w:jc w:val="left"/>
              <w:rPr/>
            </w:pPr>
            <w:r>
              <w:rPr/>
              <w:t>☐</w:t>
            </w:r>
          </w:p>
        </w:tc>
      </w:tr>
      <w:tr>
        <w:trPr/>
        <w:tc>
          <w:tcPr>
            <w:tcW w:w="208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316" w:type="dxa"/>
            <w:tcBorders/>
            <w:shd w:fill="auto" w:val="clear"/>
            <w:vAlign w:val="center"/>
          </w:tcPr>
          <w:p>
            <w:pPr>
              <w:pStyle w:val="TableContents"/>
              <w:spacing w:before="0" w:after="0"/>
              <w:ind w:left="0" w:right="0" w:hanging="0"/>
              <w:jc w:val="left"/>
              <w:rPr/>
            </w:pPr>
            <w:r>
              <w:rPr/>
              <w:t>☐</w:t>
            </w:r>
          </w:p>
        </w:tc>
        <w:tc>
          <w:tcPr>
            <w:tcW w:w="1711"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2446" w:type="dxa"/>
            <w:tcBorders/>
            <w:shd w:fill="auto" w:val="clear"/>
            <w:vAlign w:val="center"/>
          </w:tcPr>
          <w:p>
            <w:pPr>
              <w:pStyle w:val="TableContents"/>
              <w:spacing w:before="0" w:after="283"/>
              <w:ind w:left="0" w:right="0" w:hanging="0"/>
              <w:rPr>
                <w:sz w:val="4"/>
                <w:szCs w:val="4"/>
              </w:rPr>
            </w:pPr>
            <w:r>
              <w:rPr>
                <w:sz w:val="4"/>
                <w:szCs w:val="4"/>
              </w:rPr>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12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0" w:after="0"/>
        <w:jc w:val="left"/>
        <w:rPr/>
      </w:pPr>
      <w:r>
        <w:rPr/>
        <w:t> </w:t>
      </w:r>
    </w:p>
    <w:p>
      <w:pPr>
        <w:pStyle w:val="TextBody"/>
        <w:spacing w:before="60" w:after="0"/>
        <w:jc w:val="left"/>
        <w:rPr>
          <w:rFonts w:ascii="Times New Roman" w:hAnsi="Times New Roman"/>
          <w:sz w:val="20"/>
        </w:rPr>
      </w:pPr>
      <w:r>
        <w:rPr>
          <w:rFonts w:ascii="Times New Roman;serif" w:hAnsi="Times New Roman;serif"/>
          <w:b w:val="false"/>
          <w:sz w:val="16"/>
        </w:rPr>
        <w:t>As of April 24, 2023, there were outstanding 106,413,057</w:t>
      </w:r>
      <w:r>
        <w:rPr>
          <w:rFonts w:ascii="Times New Roman" w:hAnsi="Times New Roman"/>
          <w:sz w:val="20"/>
        </w:rPr>
        <w:t xml:space="preserve"> </w:t>
      </w:r>
      <w:r>
        <w:rPr>
          <w:rFonts w:ascii="Times New Roman;serif" w:hAnsi="Times New Roman;serif"/>
          <w:b w:val="false"/>
          <w:sz w:val="16"/>
        </w:rPr>
        <w:t>ordinary shares, nominal value $0.000304635 per share, of the registrant.</w:t>
      </w:r>
    </w:p>
    <w:p>
      <w:pPr>
        <w:pStyle w:val="TextBody"/>
        <w:pBdr>
          <w:bottom w:val="double" w:sz="6" w:space="1" w:color="000000"/>
        </w:pBdr>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WILLIS TOWERS WATSON PUBLIC LIMITED COMPANY</w:t>
      </w:r>
    </w:p>
    <w:p>
      <w:pPr>
        <w:pStyle w:val="TextBody"/>
        <w:spacing w:before="240" w:after="0"/>
        <w:jc w:val="center"/>
        <w:rPr>
          <w:rFonts w:ascii="Times New Roman;serif" w:hAnsi="Times New Roman;serif"/>
          <w:b/>
          <w:sz w:val="20"/>
        </w:rPr>
      </w:pPr>
      <w:r>
        <w:rPr>
          <w:rFonts w:ascii="Times New Roman;serif" w:hAnsi="Times New Roman;serif"/>
          <w:b/>
          <w:sz w:val="20"/>
        </w:rPr>
        <w:t>INDEX TO FORM 10-Q</w:t>
      </w:r>
    </w:p>
    <w:p>
      <w:pPr>
        <w:pStyle w:val="TextBody"/>
        <w:spacing w:before="240" w:after="0"/>
        <w:jc w:val="center"/>
        <w:rPr>
          <w:rFonts w:ascii="Times New Roman" w:hAnsi="Times New Roman"/>
          <w:sz w:val="20"/>
        </w:rPr>
      </w:pPr>
      <w:r>
        <w:rPr>
          <w:rFonts w:ascii="Times New Roman;serif" w:hAnsi="Times New Roman;serif"/>
          <w:b w:val="false"/>
          <w:sz w:val="20"/>
        </w:rPr>
        <w:t>For the</w:t>
      </w:r>
      <w:r>
        <w:rPr>
          <w:rFonts w:ascii="Times New Roman" w:hAnsi="Times New Roman"/>
          <w:sz w:val="20"/>
        </w:rPr>
        <w:t xml:space="preserve"> </w:t>
      </w:r>
      <w:r>
        <w:rPr>
          <w:rFonts w:ascii="Times New Roman;serif" w:hAnsi="Times New Roman;serif"/>
          <w:b w:val="false"/>
          <w:sz w:val="20"/>
        </w:rPr>
        <w:t>Three Months Ended</w:t>
      </w:r>
      <w:r>
        <w:rPr>
          <w:rFonts w:ascii="Times New Roman" w:hAnsi="Times New Roman"/>
          <w:sz w:val="20"/>
        </w:rPr>
        <w:t xml:space="preserve"> </w:t>
      </w:r>
      <w:r>
        <w:rPr>
          <w:rFonts w:ascii="Times New Roman;serif" w:hAnsi="Times New Roman;serif"/>
          <w:b w:val="false"/>
          <w:sz w:val="20"/>
        </w:rPr>
        <w:t>March 31, 2023</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248"/>
        <w:gridCol w:w="176"/>
        <w:gridCol w:w="781"/>
      </w:tblGrid>
      <w:tr>
        <w:trPr/>
        <w:tc>
          <w:tcPr>
            <w:tcW w:w="924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248" w:type="dxa"/>
            <w:tcBorders/>
            <w:shd w:fill="auto" w:val="clear"/>
            <w:vAlign w:val="center"/>
          </w:tcPr>
          <w:p>
            <w:pPr>
              <w:pStyle w:val="TableContents"/>
              <w:spacing w:before="0" w:after="283"/>
              <w:ind w:left="0" w:right="0" w:firstLine="30"/>
              <w:rPr>
                <w:sz w:val="4"/>
                <w:szCs w:val="4"/>
              </w:rPr>
            </w:pPr>
            <w:r>
              <w:rPr>
                <w:sz w:val="4"/>
                <w:szCs w:val="4"/>
              </w:rPr>
            </w:r>
          </w:p>
        </w:tc>
        <w:tc>
          <w:tcPr>
            <w:tcW w:w="176" w:type="dxa"/>
            <w:tcBorders/>
            <w:shd w:fill="auto" w:val="clear"/>
            <w:vAlign w:val="center"/>
          </w:tcPr>
          <w:p>
            <w:pPr>
              <w:pStyle w:val="TableContents"/>
              <w:spacing w:before="0" w:after="0"/>
              <w:ind w:left="0" w:right="0" w:firstLine="30"/>
              <w:jc w:val="center"/>
              <w:rPr/>
            </w:pPr>
            <w:r>
              <w:rPr/>
              <w:t> </w:t>
            </w:r>
          </w:p>
        </w:tc>
        <w:tc>
          <w:tcPr>
            <w:tcW w:w="78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center"/>
              <w:rPr>
                <w:rFonts w:ascii="Times New Roman;serif" w:hAnsi="Times New Roman;serif"/>
                <w:b w:val="false"/>
                <w:sz w:val="16"/>
              </w:rPr>
            </w:pPr>
            <w:r>
              <w:rPr>
                <w:rFonts w:ascii="Times New Roman;serif" w:hAnsi="Times New Roman;serif"/>
                <w:b w:val="false"/>
                <w:sz w:val="16"/>
              </w:rPr>
              <w:t>Page</w:t>
            </w:r>
          </w:p>
        </w:tc>
      </w:tr>
      <w:tr>
        <w:trPr/>
        <w:tc>
          <w:tcPr>
            <w:tcW w:w="9248" w:type="dxa"/>
            <w:tcBorders/>
            <w:shd w:fill="auto" w:val="clear"/>
            <w:vAlign w:val="center"/>
          </w:tcPr>
          <w:p>
            <w:pPr>
              <w:pStyle w:val="TableContents"/>
              <w:spacing w:before="0" w:after="0"/>
              <w:ind w:left="0" w:right="0" w:firstLine="30"/>
              <w:jc w:val="left"/>
              <w:rPr/>
            </w:pPr>
            <w:hyperlink w:anchor="certain_definitions">
              <w:r>
                <w:rPr>
                  <w:rStyle w:val="InternetLink"/>
                  <w:rFonts w:ascii="Times New Roman;serif" w:hAnsi="Times New Roman;serif"/>
                  <w:b w:val="false"/>
                  <w:sz w:val="20"/>
                  <w:u w:val="single"/>
                </w:rPr>
                <w:t>Certain Definitions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3</w:t>
            </w:r>
          </w:p>
        </w:tc>
      </w:tr>
      <w:tr>
        <w:trPr/>
        <w:tc>
          <w:tcPr>
            <w:tcW w:w="9248" w:type="dxa"/>
            <w:tcBorders/>
            <w:shd w:fill="auto" w:val="clear"/>
            <w:vAlign w:val="center"/>
          </w:tcPr>
          <w:p>
            <w:pPr>
              <w:pStyle w:val="TableContents"/>
              <w:spacing w:before="0" w:after="0"/>
              <w:ind w:left="0" w:right="0" w:firstLine="30"/>
              <w:jc w:val="left"/>
              <w:rPr/>
            </w:pPr>
            <w:hyperlink w:anchor="disclaimer_regarding_forwardlooking_stat">
              <w:r>
                <w:rPr>
                  <w:rStyle w:val="InternetLink"/>
                  <w:rFonts w:ascii="Times New Roman;serif" w:hAnsi="Times New Roman;serif"/>
                  <w:b w:val="false"/>
                  <w:sz w:val="20"/>
                  <w:u w:val="single"/>
                </w:rPr>
                <w:t>Disclaimer Regarding Forward-looking Statements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w:t>
            </w:r>
          </w:p>
        </w:tc>
      </w:tr>
      <w:tr>
        <w:trPr/>
        <w:tc>
          <w:tcPr>
            <w:tcW w:w="9248" w:type="dxa"/>
            <w:tcBorders/>
            <w:shd w:fill="auto" w:val="clear"/>
            <w:vAlign w:val="center"/>
          </w:tcPr>
          <w:p>
            <w:pPr>
              <w:pStyle w:val="TableContents"/>
              <w:spacing w:before="0" w:after="0"/>
              <w:ind w:left="0" w:right="0" w:firstLine="30"/>
              <w:jc w:val="left"/>
              <w:rPr/>
            </w:pPr>
            <w:r>
              <w:rPr/>
              <w:t> </w:t>
            </w:r>
          </w:p>
        </w:tc>
        <w:tc>
          <w:tcPr>
            <w:tcW w:w="176" w:type="dxa"/>
            <w:tcBorders/>
            <w:shd w:fill="auto" w:val="clear"/>
            <w:vAlign w:val="center"/>
          </w:tcPr>
          <w:p>
            <w:pPr>
              <w:pStyle w:val="TableContents"/>
              <w:spacing w:before="0" w:after="0"/>
              <w:ind w:left="30" w:right="0" w:hanging="0"/>
              <w:jc w:val="left"/>
              <w:rPr/>
            </w:pPr>
            <w:r>
              <w:rPr/>
              <w:t> </w:t>
            </w:r>
          </w:p>
        </w:tc>
        <w:tc>
          <w:tcPr>
            <w:tcW w:w="781" w:type="dxa"/>
            <w:tcBorders/>
            <w:shd w:fill="auto" w:val="clear"/>
            <w:vAlign w:val="center"/>
          </w:tcPr>
          <w:p>
            <w:pPr>
              <w:pStyle w:val="TableContents"/>
              <w:spacing w:before="0" w:after="0"/>
              <w:ind w:left="0" w:right="0" w:firstLine="30"/>
              <w:jc w:val="left"/>
              <w:rPr/>
            </w:pPr>
            <w:r>
              <w:rPr/>
              <w:t> </w:t>
            </w:r>
          </w:p>
        </w:tc>
      </w:tr>
      <w:tr>
        <w:trPr/>
        <w:tc>
          <w:tcPr>
            <w:tcW w:w="9248" w:type="dxa"/>
            <w:tcBorders/>
            <w:shd w:fill="auto" w:val="clear"/>
            <w:vAlign w:val="center"/>
          </w:tcPr>
          <w:p>
            <w:pPr>
              <w:pStyle w:val="TableContents"/>
              <w:spacing w:before="0" w:after="0"/>
              <w:ind w:left="0" w:right="0" w:firstLine="3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7</w:t>
            </w:r>
          </w:p>
        </w:tc>
      </w:tr>
      <w:tr>
        <w:trPr/>
        <w:tc>
          <w:tcPr>
            <w:tcW w:w="9248" w:type="dxa"/>
            <w:tcBorders/>
            <w:shd w:fill="auto" w:val="clear"/>
            <w:vAlign w:val="center"/>
          </w:tcPr>
          <w:p>
            <w:pPr>
              <w:pStyle w:val="TableContents"/>
              <w:spacing w:before="0" w:after="0"/>
              <w:ind w:left="0" w:right="0" w:firstLine="30"/>
              <w:jc w:val="left"/>
              <w:rPr/>
            </w:pPr>
            <w:hyperlink w:anchor="item_1_financial_statements_unaudited">
              <w:r>
                <w:rPr>
                  <w:rStyle w:val="InternetLink"/>
                  <w:rFonts w:ascii="Times New Roman;serif" w:hAnsi="Times New Roman;serif"/>
                  <w:b w:val="false"/>
                  <w:sz w:val="20"/>
                  <w:u w:val="single"/>
                </w:rPr>
                <w:t>Item 1. Financial Statements (Unaudited)</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420"/>
              <w:jc w:val="center"/>
              <w:rPr>
                <w:rFonts w:ascii="Times New Roman;serif" w:hAnsi="Times New Roman;serif"/>
                <w:b w:val="false"/>
                <w:sz w:val="20"/>
              </w:rPr>
            </w:pPr>
            <w:r>
              <w:rPr>
                <w:rFonts w:ascii="Times New Roman;serif" w:hAnsi="Times New Roman;serif"/>
                <w:b w:val="false"/>
                <w:sz w:val="20"/>
              </w:rPr>
              <w:t>7</w:t>
            </w:r>
          </w:p>
        </w:tc>
      </w:tr>
      <w:tr>
        <w:trPr/>
        <w:tc>
          <w:tcPr>
            <w:tcW w:w="9248" w:type="dxa"/>
            <w:tcBorders/>
            <w:shd w:fill="auto" w:val="clear"/>
            <w:vAlign w:val="center"/>
          </w:tcPr>
          <w:p>
            <w:pPr>
              <w:pStyle w:val="TableContents"/>
              <w:spacing w:before="0" w:after="0"/>
              <w:ind w:left="0" w:right="0" w:firstLine="30"/>
              <w:jc w:val="left"/>
              <w:rPr/>
            </w:pPr>
            <w:hyperlink w:anchor="condensed_consolidated_statements_compre">
              <w:r>
                <w:rPr>
                  <w:rStyle w:val="InternetLink"/>
                  <w:rFonts w:ascii="Times New Roman;serif" w:hAnsi="Times New Roman;serif"/>
                  <w:b w:val="false"/>
                  <w:sz w:val="20"/>
                  <w:u w:val="single"/>
                </w:rPr>
                <w:t>Condensed Consolidated Statements of Comprehensive Income - Three Months Ended March 31, 2023 and 2022</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420"/>
              <w:jc w:val="center"/>
              <w:rPr>
                <w:rFonts w:ascii="Times New Roman;serif" w:hAnsi="Times New Roman;serif"/>
                <w:b w:val="false"/>
                <w:sz w:val="20"/>
              </w:rPr>
            </w:pPr>
            <w:r>
              <w:rPr>
                <w:rFonts w:ascii="Times New Roman;serif" w:hAnsi="Times New Roman;serif"/>
                <w:b w:val="false"/>
                <w:sz w:val="20"/>
              </w:rPr>
              <w:t>7</w:t>
            </w:r>
          </w:p>
        </w:tc>
      </w:tr>
      <w:tr>
        <w:trPr/>
        <w:tc>
          <w:tcPr>
            <w:tcW w:w="9248" w:type="dxa"/>
            <w:tcBorders/>
            <w:shd w:fill="auto" w:val="clear"/>
            <w:vAlign w:val="center"/>
          </w:tcPr>
          <w:p>
            <w:pPr>
              <w:pStyle w:val="TableContents"/>
              <w:spacing w:before="0" w:after="0"/>
              <w:ind w:left="0" w:right="0" w:firstLine="30"/>
              <w:jc w:val="left"/>
              <w:rPr/>
            </w:pPr>
            <w:hyperlink w:anchor="condensed_consolidated_balance_sheets">
              <w:r>
                <w:rPr>
                  <w:rStyle w:val="InternetLink"/>
                  <w:rFonts w:ascii="Times New Roman;serif" w:hAnsi="Times New Roman;serif"/>
                  <w:b w:val="false"/>
                  <w:sz w:val="20"/>
                  <w:u w:val="single"/>
                </w:rPr>
                <w:t>Condensed Consolidated Balance Sheets - March 31, 2023 and December 31, 2022</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420"/>
              <w:jc w:val="center"/>
              <w:rPr>
                <w:rFonts w:ascii="Times New Roman;serif" w:hAnsi="Times New Roman;serif"/>
                <w:b w:val="false"/>
                <w:sz w:val="20"/>
              </w:rPr>
            </w:pPr>
            <w:r>
              <w:rPr>
                <w:rFonts w:ascii="Times New Roman;serif" w:hAnsi="Times New Roman;serif"/>
                <w:b w:val="false"/>
                <w:sz w:val="20"/>
              </w:rPr>
              <w:t>8</w:t>
            </w:r>
          </w:p>
        </w:tc>
      </w:tr>
      <w:tr>
        <w:trPr/>
        <w:tc>
          <w:tcPr>
            <w:tcW w:w="9248" w:type="dxa"/>
            <w:tcBorders/>
            <w:shd w:fill="auto" w:val="clear"/>
            <w:vAlign w:val="center"/>
          </w:tcPr>
          <w:p>
            <w:pPr>
              <w:pStyle w:val="TableContents"/>
              <w:spacing w:before="0" w:after="0"/>
              <w:ind w:left="0" w:right="0" w:firstLine="30"/>
              <w:jc w:val="left"/>
              <w:rPr/>
            </w:pPr>
            <w:hyperlink w:anchor="condensed_consolidated_statements_cash_f">
              <w:r>
                <w:rPr>
                  <w:rStyle w:val="InternetLink"/>
                  <w:rFonts w:ascii="Times New Roman;serif" w:hAnsi="Times New Roman;serif"/>
                  <w:b w:val="false"/>
                  <w:sz w:val="20"/>
                  <w:u w:val="single"/>
                </w:rPr>
                <w:t>Condensed Consolidated Statements of Cash Flows - Three Months Ended March 31, 2023 and 2022</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420"/>
              <w:jc w:val="center"/>
              <w:rPr>
                <w:rFonts w:ascii="Times New Roman;serif" w:hAnsi="Times New Roman;serif"/>
                <w:b w:val="false"/>
                <w:sz w:val="20"/>
              </w:rPr>
            </w:pPr>
            <w:r>
              <w:rPr>
                <w:rFonts w:ascii="Times New Roman;serif" w:hAnsi="Times New Roman;serif"/>
                <w:b w:val="false"/>
                <w:sz w:val="20"/>
              </w:rPr>
              <w:t>9</w:t>
            </w:r>
          </w:p>
        </w:tc>
      </w:tr>
      <w:tr>
        <w:trPr/>
        <w:tc>
          <w:tcPr>
            <w:tcW w:w="9248" w:type="dxa"/>
            <w:tcBorders/>
            <w:shd w:fill="auto" w:val="clear"/>
            <w:vAlign w:val="center"/>
          </w:tcPr>
          <w:p>
            <w:pPr>
              <w:pStyle w:val="TableContents"/>
              <w:spacing w:before="0" w:after="0"/>
              <w:ind w:left="0" w:right="0" w:firstLine="30"/>
              <w:jc w:val="left"/>
              <w:rPr/>
            </w:pPr>
            <w:hyperlink w:anchor="condensed_consolidated_statements_change">
              <w:r>
                <w:rPr>
                  <w:rStyle w:val="InternetLink"/>
                  <w:rFonts w:ascii="Times New Roman;serif" w:hAnsi="Times New Roman;serif"/>
                  <w:b w:val="false"/>
                  <w:sz w:val="20"/>
                  <w:u w:val="single"/>
                </w:rPr>
                <w:t>Condensed Consolidated Statements of Changes in Equity - Three Months Ended March 31, 2023 and 2022</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420"/>
              <w:jc w:val="center"/>
              <w:rPr>
                <w:rFonts w:ascii="Times New Roman;serif" w:hAnsi="Times New Roman;serif"/>
                <w:b w:val="false"/>
                <w:sz w:val="20"/>
              </w:rPr>
            </w:pPr>
            <w:r>
              <w:rPr>
                <w:rFonts w:ascii="Times New Roman;serif" w:hAnsi="Times New Roman;serif"/>
                <w:b w:val="false"/>
                <w:sz w:val="20"/>
              </w:rPr>
              <w:t>10</w:t>
            </w:r>
          </w:p>
        </w:tc>
      </w:tr>
      <w:tr>
        <w:trPr/>
        <w:tc>
          <w:tcPr>
            <w:tcW w:w="9248" w:type="dxa"/>
            <w:tcBorders/>
            <w:shd w:fill="auto" w:val="clear"/>
            <w:vAlign w:val="center"/>
          </w:tcPr>
          <w:p>
            <w:pPr>
              <w:pStyle w:val="TableContents"/>
              <w:spacing w:before="0" w:after="0"/>
              <w:ind w:left="0" w:right="0" w:firstLine="30"/>
              <w:jc w:val="left"/>
              <w:rPr/>
            </w:pPr>
            <w:hyperlink w:anchor="notes_to_condensed_consolidated_financia">
              <w:r>
                <w:rPr>
                  <w:rStyle w:val="InternetLink"/>
                  <w:rFonts w:ascii="Times New Roman;serif" w:hAnsi="Times New Roman;serif"/>
                  <w:b w:val="false"/>
                  <w:sz w:val="20"/>
                  <w:u w:val="single"/>
                </w:rPr>
                <w:t>Notes to the Condensed Consolidated Financial Statements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11</w:t>
            </w:r>
          </w:p>
        </w:tc>
      </w:tr>
      <w:tr>
        <w:trPr/>
        <w:tc>
          <w:tcPr>
            <w:tcW w:w="9248" w:type="dxa"/>
            <w:tcBorders/>
            <w:shd w:fill="auto" w:val="clear"/>
            <w:vAlign w:val="center"/>
          </w:tcPr>
          <w:p>
            <w:pPr>
              <w:pStyle w:val="TableContents"/>
              <w:spacing w:before="0" w:after="0"/>
              <w:ind w:left="0" w:right="0" w:firstLine="3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27</w:t>
            </w:r>
          </w:p>
        </w:tc>
      </w:tr>
      <w:tr>
        <w:trPr/>
        <w:tc>
          <w:tcPr>
            <w:tcW w:w="9248" w:type="dxa"/>
            <w:tcBorders/>
            <w:shd w:fill="auto" w:val="clear"/>
            <w:vAlign w:val="center"/>
          </w:tcPr>
          <w:p>
            <w:pPr>
              <w:pStyle w:val="TableContents"/>
              <w:spacing w:before="0" w:after="0"/>
              <w:ind w:left="0" w:right="0" w:firstLine="30"/>
              <w:jc w:val="left"/>
              <w:rPr/>
            </w:pPr>
            <w:hyperlink w:anchor="item_3_quantitative_qualitative_disclosu">
              <w:r>
                <w:rPr>
                  <w:rStyle w:val="InternetLink"/>
                  <w:rFonts w:ascii="Times New Roman;serif" w:hAnsi="Times New Roman;serif"/>
                  <w:b w:val="false"/>
                  <w:sz w:val="20"/>
                  <w:u w:val="single"/>
                </w:rPr>
                <w:t>Item 3. Quantitative and Qualitative Disclosures About Market Risk</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42</w:t>
            </w:r>
          </w:p>
        </w:tc>
      </w:tr>
      <w:tr>
        <w:trPr/>
        <w:tc>
          <w:tcPr>
            <w:tcW w:w="9248" w:type="dxa"/>
            <w:tcBorders/>
            <w:shd w:fill="auto" w:val="clear"/>
            <w:vAlign w:val="center"/>
          </w:tcPr>
          <w:p>
            <w:pPr>
              <w:pStyle w:val="TableContents"/>
              <w:spacing w:before="0" w:after="0"/>
              <w:ind w:left="0" w:right="0" w:firstLine="30"/>
              <w:jc w:val="left"/>
              <w:rPr/>
            </w:pPr>
            <w:hyperlink w:anchor="item_4_controls_procedures">
              <w:r>
                <w:rPr>
                  <w:rStyle w:val="InternetLink"/>
                  <w:rFonts w:ascii="Times New Roman;serif" w:hAnsi="Times New Roman;serif"/>
                  <w:b w:val="false"/>
                  <w:sz w:val="20"/>
                  <w:u w:val="single"/>
                </w:rPr>
                <w:t>Item 4. Controls and Procedures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42</w:t>
            </w:r>
          </w:p>
        </w:tc>
      </w:tr>
      <w:tr>
        <w:trPr/>
        <w:tc>
          <w:tcPr>
            <w:tcW w:w="9248" w:type="dxa"/>
            <w:tcBorders/>
            <w:shd w:fill="auto" w:val="clear"/>
            <w:vAlign w:val="center"/>
          </w:tcPr>
          <w:p>
            <w:pPr>
              <w:pStyle w:val="TableContents"/>
              <w:spacing w:before="0" w:after="0"/>
              <w:ind w:left="0" w:right="0" w:firstLine="30"/>
              <w:jc w:val="left"/>
              <w:rPr/>
            </w:pPr>
            <w:r>
              <w:rPr/>
              <w:t> </w:t>
            </w:r>
          </w:p>
        </w:tc>
        <w:tc>
          <w:tcPr>
            <w:tcW w:w="176" w:type="dxa"/>
            <w:tcBorders/>
            <w:shd w:fill="auto" w:val="clear"/>
            <w:vAlign w:val="center"/>
          </w:tcPr>
          <w:p>
            <w:pPr>
              <w:pStyle w:val="TableContents"/>
              <w:spacing w:before="0" w:after="0"/>
              <w:ind w:left="30" w:right="0" w:hanging="0"/>
              <w:jc w:val="left"/>
              <w:rPr/>
            </w:pPr>
            <w:r>
              <w:rPr/>
              <w:t> </w:t>
            </w:r>
          </w:p>
        </w:tc>
        <w:tc>
          <w:tcPr>
            <w:tcW w:w="781" w:type="dxa"/>
            <w:tcBorders/>
            <w:shd w:fill="auto" w:val="clear"/>
            <w:vAlign w:val="center"/>
          </w:tcPr>
          <w:p>
            <w:pPr>
              <w:pStyle w:val="TableContents"/>
              <w:spacing w:before="0" w:after="0"/>
              <w:ind w:left="0" w:right="0" w:firstLine="30"/>
              <w:jc w:val="left"/>
              <w:rPr/>
            </w:pPr>
            <w:r>
              <w:rPr/>
              <w:t> </w:t>
            </w:r>
          </w:p>
        </w:tc>
      </w:tr>
      <w:tr>
        <w:trPr/>
        <w:tc>
          <w:tcPr>
            <w:tcW w:w="9248" w:type="dxa"/>
            <w:tcBorders/>
            <w:shd w:fill="auto" w:val="clear"/>
            <w:vAlign w:val="center"/>
          </w:tcPr>
          <w:p>
            <w:pPr>
              <w:pStyle w:val="TableContents"/>
              <w:spacing w:before="0" w:after="0"/>
              <w:ind w:left="0" w:right="0" w:firstLine="30"/>
              <w:jc w:val="left"/>
              <w:rPr/>
            </w:pPr>
            <w:hyperlink w:anchor="part_ii_or_information">
              <w:r>
                <w:rPr>
                  <w:rStyle w:val="InternetLink"/>
                  <w:rFonts w:ascii="Times New Roman;serif" w:hAnsi="Times New Roman;serif"/>
                  <w:b w:val="false"/>
                  <w:sz w:val="20"/>
                  <w:u w:val="single"/>
                </w:rPr>
                <w:t>PART II. OTHER INFORMATION</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43</w:t>
            </w:r>
          </w:p>
        </w:tc>
      </w:tr>
      <w:tr>
        <w:trPr/>
        <w:tc>
          <w:tcPr>
            <w:tcW w:w="9248" w:type="dxa"/>
            <w:tcBorders/>
            <w:shd w:fill="auto" w:val="clear"/>
            <w:vAlign w:val="center"/>
          </w:tcPr>
          <w:p>
            <w:pPr>
              <w:pStyle w:val="TableContents"/>
              <w:spacing w:before="0" w:after="0"/>
              <w:ind w:left="0" w:right="0" w:firstLine="30"/>
              <w:jc w:val="left"/>
              <w:rPr/>
            </w:pPr>
            <w:hyperlink w:anchor="item_1_legal_proceedings">
              <w:r>
                <w:rPr>
                  <w:rStyle w:val="InternetLink"/>
                  <w:rFonts w:ascii="Times New Roman;serif" w:hAnsi="Times New Roman;serif"/>
                  <w:b w:val="false"/>
                  <w:sz w:val="20"/>
                  <w:u w:val="single"/>
                </w:rPr>
                <w:t>Item 1. Legal Proceedings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43</w:t>
            </w:r>
          </w:p>
        </w:tc>
      </w:tr>
      <w:tr>
        <w:trPr/>
        <w:tc>
          <w:tcPr>
            <w:tcW w:w="9248" w:type="dxa"/>
            <w:tcBorders/>
            <w:shd w:fill="auto" w:val="clear"/>
            <w:vAlign w:val="center"/>
          </w:tcPr>
          <w:p>
            <w:pPr>
              <w:pStyle w:val="TableContents"/>
              <w:spacing w:before="0" w:after="0"/>
              <w:ind w:left="0" w:right="0" w:firstLine="30"/>
              <w:jc w:val="left"/>
              <w:rPr/>
            </w:pPr>
            <w:hyperlink w:anchor="item_1a_risk_factors">
              <w:r>
                <w:rPr>
                  <w:rStyle w:val="InternetLink"/>
                  <w:rFonts w:ascii="Times New Roman;serif" w:hAnsi="Times New Roman;serif"/>
                  <w:b w:val="false"/>
                  <w:sz w:val="20"/>
                  <w:u w:val="single"/>
                </w:rPr>
                <w:t>Item 1A. Risk Factors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43</w:t>
            </w:r>
          </w:p>
        </w:tc>
      </w:tr>
      <w:tr>
        <w:trPr/>
        <w:tc>
          <w:tcPr>
            <w:tcW w:w="9248" w:type="dxa"/>
            <w:tcBorders/>
            <w:shd w:fill="auto" w:val="clear"/>
            <w:vAlign w:val="center"/>
          </w:tcPr>
          <w:p>
            <w:pPr>
              <w:pStyle w:val="TableContents"/>
              <w:spacing w:before="0" w:after="0"/>
              <w:ind w:left="0" w:right="0" w:firstLine="3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43</w:t>
            </w:r>
          </w:p>
        </w:tc>
      </w:tr>
      <w:tr>
        <w:trPr/>
        <w:tc>
          <w:tcPr>
            <w:tcW w:w="9248" w:type="dxa"/>
            <w:tcBorders/>
            <w:shd w:fill="auto" w:val="clear"/>
            <w:vAlign w:val="center"/>
          </w:tcPr>
          <w:p>
            <w:pPr>
              <w:pStyle w:val="TableContents"/>
              <w:spacing w:before="0" w:after="0"/>
              <w:ind w:left="0" w:right="0" w:firstLine="3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44</w:t>
            </w:r>
          </w:p>
        </w:tc>
      </w:tr>
      <w:tr>
        <w:trPr/>
        <w:tc>
          <w:tcPr>
            <w:tcW w:w="9248" w:type="dxa"/>
            <w:tcBorders/>
            <w:shd w:fill="auto" w:val="clear"/>
            <w:vAlign w:val="center"/>
          </w:tcPr>
          <w:p>
            <w:pPr>
              <w:pStyle w:val="TableContents"/>
              <w:spacing w:before="0" w:after="0"/>
              <w:ind w:left="0" w:right="0" w:firstLine="3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44</w:t>
            </w:r>
          </w:p>
        </w:tc>
      </w:tr>
      <w:tr>
        <w:trPr/>
        <w:tc>
          <w:tcPr>
            <w:tcW w:w="9248" w:type="dxa"/>
            <w:tcBorders/>
            <w:shd w:fill="auto" w:val="clear"/>
            <w:vAlign w:val="center"/>
          </w:tcPr>
          <w:p>
            <w:pPr>
              <w:pStyle w:val="TableContents"/>
              <w:spacing w:before="0" w:after="0"/>
              <w:ind w:left="0" w:right="0" w:firstLine="30"/>
              <w:jc w:val="left"/>
              <w:rPr/>
            </w:pPr>
            <w:hyperlink w:anchor="item_5_or_information">
              <w:r>
                <w:rPr>
                  <w:rStyle w:val="InternetLink"/>
                  <w:rFonts w:ascii="Times New Roman;serif" w:hAnsi="Times New Roman;serif"/>
                  <w:b w:val="false"/>
                  <w:sz w:val="20"/>
                  <w:u w:val="single"/>
                </w:rPr>
                <w:t>Item 5. Other Information</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44</w:t>
            </w:r>
          </w:p>
        </w:tc>
      </w:tr>
      <w:tr>
        <w:trPr/>
        <w:tc>
          <w:tcPr>
            <w:tcW w:w="9248" w:type="dxa"/>
            <w:tcBorders/>
            <w:shd w:fill="auto" w:val="clear"/>
            <w:vAlign w:val="center"/>
          </w:tcPr>
          <w:p>
            <w:pPr>
              <w:pStyle w:val="TableContents"/>
              <w:spacing w:before="0" w:after="0"/>
              <w:ind w:left="0" w:right="0" w:firstLine="30"/>
              <w:jc w:val="left"/>
              <w:rPr/>
            </w:pPr>
            <w:hyperlink w:anchor="item_6_exhibits">
              <w:r>
                <w:rPr>
                  <w:rStyle w:val="InternetLink"/>
                  <w:rFonts w:ascii="Times New Roman;serif" w:hAnsi="Times New Roman;serif"/>
                  <w:b w:val="false"/>
                  <w:sz w:val="20"/>
                  <w:u w:val="single"/>
                </w:rPr>
                <w:t>Item 6. Exhibits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firstLine="30"/>
              <w:jc w:val="center"/>
              <w:rPr>
                <w:rFonts w:ascii="Times New Roman;serif" w:hAnsi="Times New Roman;serif"/>
                <w:b w:val="false"/>
                <w:sz w:val="20"/>
              </w:rPr>
            </w:pPr>
            <w:r>
              <w:rPr>
                <w:rFonts w:ascii="Times New Roman;serif" w:hAnsi="Times New Roman;serif"/>
                <w:b w:val="false"/>
                <w:sz w:val="20"/>
              </w:rPr>
              <w:t>45</w:t>
            </w:r>
          </w:p>
        </w:tc>
      </w:tr>
      <w:tr>
        <w:trPr/>
        <w:tc>
          <w:tcPr>
            <w:tcW w:w="9248" w:type="dxa"/>
            <w:tcBorders/>
            <w:shd w:fill="auto" w:val="clear"/>
            <w:vAlign w:val="center"/>
          </w:tcPr>
          <w:p>
            <w:pPr>
              <w:pStyle w:val="TableContents"/>
              <w:spacing w:before="0" w:after="0"/>
              <w:ind w:left="0" w:right="0" w:firstLine="30"/>
              <w:jc w:val="left"/>
              <w:rPr/>
            </w:pPr>
            <w:hyperlink w:anchor="signatures">
              <w:r>
                <w:rPr>
                  <w:rStyle w:val="InternetLink"/>
                  <w:rFonts w:ascii="Times New Roman;serif" w:hAnsi="Times New Roman;serif"/>
                  <w:b w:val="false"/>
                  <w:sz w:val="20"/>
                  <w:u w:val="single"/>
                </w:rPr>
                <w:t>Signatures</w:t>
              </w:r>
            </w:hyperlink>
          </w:p>
        </w:tc>
        <w:tc>
          <w:tcPr>
            <w:tcW w:w="176" w:type="dxa"/>
            <w:tcBorders/>
            <w:shd w:fill="auto" w:val="clear"/>
            <w:vAlign w:val="center"/>
          </w:tcPr>
          <w:p>
            <w:pPr>
              <w:pStyle w:val="TableContents"/>
              <w:spacing w:before="0" w:after="0"/>
              <w:ind w:left="3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r>
    </w:tbl>
    <w:p>
      <w:pPr>
        <w:pStyle w:val="TextBody"/>
        <w:spacing w:before="0" w:after="0"/>
        <w:jc w:val="left"/>
        <w:rPr/>
      </w:pPr>
      <w:bookmarkStart w:id="2" w:name="eolpage3"/>
      <w:bookmarkStart w:id="3" w:name="wltw_20180630_10q_htm_s677566182e865482b"/>
      <w:bookmarkEnd w:id="2"/>
      <w:bookmarkEnd w:id="3"/>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4" w:name="certain_definitions"/>
      <w:bookmarkEnd w:id="4"/>
      <w:r>
        <w:rPr>
          <w:rFonts w:ascii="Times New Roman;serif" w:hAnsi="Times New Roman;serif"/>
          <w:b/>
          <w:sz w:val="20"/>
        </w:rPr>
        <w:t>Certain Definitions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definitions apply throughout this quarterly report unless the context requires otherwise: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486"/>
        <w:gridCol w:w="176"/>
        <w:gridCol w:w="5543"/>
      </w:tblGrid>
      <w:tr>
        <w:trPr/>
        <w:tc>
          <w:tcPr>
            <w:tcW w:w="448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We’, ‘Us’, ‘Company’, ‘Willis Towers Watson’, ‘Our’, ‘Willis Towers Watson plc’ or ‘WTW’</w:t>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Willis Towers Watson Public Limited Company, a company organized under the laws of Ireland, and its subsidiaries</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both"/>
              <w:rPr/>
            </w:pPr>
            <w:r>
              <w:rPr/>
              <w:t>‘</w:t>
            </w:r>
            <w:r>
              <w:rPr>
                <w:rFonts w:ascii="Times New Roman;serif" w:hAnsi="Times New Roman;serif"/>
                <w:b w:val="false"/>
                <w:sz w:val="20"/>
              </w:rPr>
              <w:t>shares’</w:t>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The ordinary shares of Willis Towers Watson Public Limited Company, nominal value $0.000304635 per share</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TRANZACT’</w:t>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CD&amp;R TZ Holdings, Inc. and its subsidiaries, doing business as TRANZACT</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jc w:val="left"/>
              <w:rPr/>
            </w:pPr>
            <w:r>
              <w:rPr/>
              <w:t>‘</w:t>
            </w:r>
            <w:r>
              <w:rPr>
                <w:rFonts w:ascii="Times New Roman;serif" w:hAnsi="Times New Roman;serif"/>
                <w:b w:val="false"/>
                <w:sz w:val="20"/>
              </w:rPr>
              <w:t>U.S.’</w:t>
            </w:r>
          </w:p>
        </w:tc>
        <w:tc>
          <w:tcPr>
            <w:tcW w:w="176" w:type="dxa"/>
            <w:tcBorders/>
            <w:shd w:fill="auto" w:val="clear"/>
            <w:vAlign w:val="center"/>
          </w:tcPr>
          <w:p>
            <w:pPr>
              <w:pStyle w:val="TableContents"/>
              <w:spacing w:before="0" w:after="0"/>
              <w:ind w:left="0" w:right="0" w:hanging="0"/>
              <w:jc w:val="left"/>
              <w:rPr/>
            </w:pPr>
            <w:r>
              <w:rPr/>
              <w:t> </w:t>
            </w:r>
          </w:p>
        </w:tc>
        <w:tc>
          <w:tcPr>
            <w:tcW w:w="5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U.K.’</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United Kingdom</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Brexit’</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The United Kingdom’s exit from the European Union, which occurred on January 31, 2020.</w:t>
            </w:r>
          </w:p>
        </w:tc>
      </w:tr>
      <w:tr>
        <w:trPr/>
        <w:tc>
          <w:tcPr>
            <w:tcW w:w="4486" w:type="dxa"/>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5543" w:type="dxa"/>
            <w:tcBorders/>
            <w:shd w:fill="auto" w:val="clear"/>
            <w:vAlign w:val="center"/>
          </w:tcPr>
          <w:p>
            <w:pPr>
              <w:pStyle w:val="TableContents"/>
              <w:spacing w:before="0" w:after="283"/>
              <w:ind w:left="0" w:right="0" w:hanging="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E.U.’</w:t>
            </w:r>
          </w:p>
        </w:tc>
        <w:tc>
          <w:tcPr>
            <w:tcW w:w="176" w:type="dxa"/>
            <w:tcBorders/>
            <w:shd w:fill="auto" w:val="clear"/>
            <w:vAlign w:val="center"/>
          </w:tcPr>
          <w:p>
            <w:pPr>
              <w:pStyle w:val="TableContents"/>
              <w:spacing w:before="0" w:after="0"/>
              <w:ind w:left="30" w:right="0" w:hanging="0"/>
              <w:jc w:val="left"/>
              <w:rPr/>
            </w:pPr>
            <w:r>
              <w:rPr/>
              <w:t> </w:t>
            </w:r>
          </w:p>
        </w:tc>
        <w:tc>
          <w:tcPr>
            <w:tcW w:w="5543"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European Union or European Union 27 (the number of member countries following the United Kingdom’s exit)</w:t>
            </w:r>
          </w:p>
        </w:tc>
      </w:tr>
      <w:tr>
        <w:trPr/>
        <w:tc>
          <w:tcPr>
            <w:tcW w:w="4486" w:type="dxa"/>
            <w:tcBorders/>
            <w:shd w:fill="auto" w:val="clear"/>
            <w:vAlign w:val="center"/>
          </w:tcPr>
          <w:p>
            <w:pPr>
              <w:pStyle w:val="TableContents"/>
              <w:spacing w:before="0" w:after="0"/>
              <w:ind w:left="0" w:right="0" w:firstLine="30"/>
              <w:jc w:val="left"/>
              <w:rPr/>
            </w:pPr>
            <w:r>
              <w:rPr/>
              <w:t> </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0" w:right="0" w:firstLine="30"/>
              <w:jc w:val="left"/>
              <w:rPr/>
            </w:pPr>
            <w:r>
              <w:rPr/>
              <w:t> </w:t>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U.S. GAAP’</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United States Generally Accepted Accounting Principles</w:t>
            </w:r>
          </w:p>
        </w:tc>
      </w:tr>
      <w:tr>
        <w:trPr/>
        <w:tc>
          <w:tcPr>
            <w:tcW w:w="4486" w:type="dxa"/>
            <w:tcBorders/>
            <w:shd w:fill="auto" w:val="clear"/>
            <w:vAlign w:val="center"/>
          </w:tcPr>
          <w:p>
            <w:pPr>
              <w:pStyle w:val="TableContents"/>
              <w:spacing w:before="0" w:after="283"/>
              <w:ind w:left="0" w:right="0" w:firstLine="30"/>
              <w:rPr>
                <w:sz w:val="4"/>
                <w:szCs w:val="4"/>
              </w:rPr>
            </w:pPr>
            <w:r>
              <w:rPr>
                <w:sz w:val="4"/>
                <w:szCs w:val="4"/>
              </w:rPr>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FASB’</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Financial Accounting Standards Board</w:t>
            </w:r>
          </w:p>
        </w:tc>
      </w:tr>
      <w:tr>
        <w:trPr/>
        <w:tc>
          <w:tcPr>
            <w:tcW w:w="4486" w:type="dxa"/>
            <w:tcBorders/>
            <w:shd w:fill="auto" w:val="clear"/>
            <w:vAlign w:val="center"/>
          </w:tcPr>
          <w:p>
            <w:pPr>
              <w:pStyle w:val="TableContents"/>
              <w:spacing w:before="0" w:after="283"/>
              <w:ind w:left="0" w:right="0" w:firstLine="30"/>
              <w:rPr>
                <w:sz w:val="4"/>
                <w:szCs w:val="4"/>
              </w:rPr>
            </w:pPr>
            <w:r>
              <w:rPr>
                <w:sz w:val="4"/>
                <w:szCs w:val="4"/>
              </w:rPr>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ASC’</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Accounting Standards Codification</w:t>
            </w:r>
          </w:p>
        </w:tc>
      </w:tr>
      <w:tr>
        <w:trPr/>
        <w:tc>
          <w:tcPr>
            <w:tcW w:w="4486" w:type="dxa"/>
            <w:tcBorders/>
            <w:shd w:fill="auto" w:val="clear"/>
            <w:vAlign w:val="center"/>
          </w:tcPr>
          <w:p>
            <w:pPr>
              <w:pStyle w:val="TableContents"/>
              <w:spacing w:before="0" w:after="283"/>
              <w:ind w:left="0" w:right="0" w:firstLine="30"/>
              <w:rPr>
                <w:sz w:val="4"/>
                <w:szCs w:val="4"/>
              </w:rPr>
            </w:pPr>
            <w:r>
              <w:rPr>
                <w:sz w:val="4"/>
                <w:szCs w:val="4"/>
              </w:rPr>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ASU’</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Accounting Standards Update</w:t>
            </w:r>
          </w:p>
        </w:tc>
      </w:tr>
      <w:tr>
        <w:trPr/>
        <w:tc>
          <w:tcPr>
            <w:tcW w:w="4486" w:type="dxa"/>
            <w:tcBorders/>
            <w:shd w:fill="auto" w:val="clear"/>
            <w:vAlign w:val="center"/>
          </w:tcPr>
          <w:p>
            <w:pPr>
              <w:pStyle w:val="TableContents"/>
              <w:spacing w:before="0" w:after="283"/>
              <w:ind w:left="0" w:right="0" w:firstLine="30"/>
              <w:rPr>
                <w:sz w:val="4"/>
                <w:szCs w:val="4"/>
              </w:rPr>
            </w:pPr>
            <w:r>
              <w:rPr>
                <w:sz w:val="4"/>
                <w:szCs w:val="4"/>
              </w:rPr>
            </w:r>
          </w:p>
        </w:tc>
        <w:tc>
          <w:tcPr>
            <w:tcW w:w="176" w:type="dxa"/>
            <w:tcBorders/>
            <w:shd w:fill="auto" w:val="clear"/>
            <w:vAlign w:val="center"/>
          </w:tcPr>
          <w:p>
            <w:pPr>
              <w:pStyle w:val="TableContents"/>
              <w:spacing w:before="0" w:after="283"/>
              <w:ind w:left="0" w:right="0" w:firstLine="30"/>
              <w:rPr>
                <w:sz w:val="4"/>
                <w:szCs w:val="4"/>
              </w:rPr>
            </w:pPr>
            <w:r>
              <w:rPr>
                <w:sz w:val="4"/>
                <w:szCs w:val="4"/>
              </w:rPr>
            </w:r>
          </w:p>
        </w:tc>
        <w:tc>
          <w:tcPr>
            <w:tcW w:w="55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SEC’</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30" w:right="0" w:hanging="0"/>
              <w:jc w:val="left"/>
              <w:rPr>
                <w:rFonts w:ascii="Times New Roman;serif" w:hAnsi="Times New Roman;serif"/>
                <w:b w:val="false"/>
                <w:sz w:val="20"/>
              </w:rPr>
            </w:pPr>
            <w:r>
              <w:rPr>
                <w:rFonts w:ascii="Times New Roman;serif" w:hAnsi="Times New Roman;serif"/>
                <w:b w:val="false"/>
                <w:sz w:val="20"/>
              </w:rPr>
              <w:t>United States Securities and Exchange Commission</w:t>
            </w:r>
          </w:p>
        </w:tc>
      </w:tr>
      <w:tr>
        <w:trPr/>
        <w:tc>
          <w:tcPr>
            <w:tcW w:w="4486" w:type="dxa"/>
            <w:tcBorders/>
            <w:shd w:fill="auto" w:val="clear"/>
            <w:vAlign w:val="center"/>
          </w:tcPr>
          <w:p>
            <w:pPr>
              <w:pStyle w:val="TableContents"/>
              <w:spacing w:before="0" w:after="0"/>
              <w:ind w:left="0" w:right="0" w:firstLine="30"/>
              <w:jc w:val="left"/>
              <w:rPr/>
            </w:pPr>
            <w:r>
              <w:rPr/>
              <w:t> </w:t>
            </w:r>
          </w:p>
        </w:tc>
        <w:tc>
          <w:tcPr>
            <w:tcW w:w="176" w:type="dxa"/>
            <w:tcBorders/>
            <w:shd w:fill="auto" w:val="clear"/>
            <w:vAlign w:val="center"/>
          </w:tcPr>
          <w:p>
            <w:pPr>
              <w:pStyle w:val="TableContents"/>
              <w:spacing w:before="0" w:after="0"/>
              <w:ind w:left="0" w:right="0" w:firstLine="30"/>
              <w:jc w:val="left"/>
              <w:rPr/>
            </w:pPr>
            <w:r>
              <w:rPr/>
              <w:t> </w:t>
            </w:r>
          </w:p>
        </w:tc>
        <w:tc>
          <w:tcPr>
            <w:tcW w:w="5543" w:type="dxa"/>
            <w:tcBorders/>
            <w:shd w:fill="auto" w:val="clear"/>
            <w:vAlign w:val="center"/>
          </w:tcPr>
          <w:p>
            <w:pPr>
              <w:pStyle w:val="TableContents"/>
              <w:spacing w:before="0" w:after="0"/>
              <w:ind w:left="30" w:right="0" w:hanging="0"/>
              <w:jc w:val="left"/>
              <w:rPr/>
            </w:pPr>
            <w:r>
              <w:rPr/>
              <w:t> </w:t>
            </w:r>
          </w:p>
        </w:tc>
      </w:tr>
      <w:tr>
        <w:trPr/>
        <w:tc>
          <w:tcPr>
            <w:tcW w:w="4486" w:type="dxa"/>
            <w:tcBorders/>
            <w:shd w:fill="auto" w:val="clear"/>
            <w:vAlign w:val="center"/>
          </w:tcPr>
          <w:p>
            <w:pPr>
              <w:pStyle w:val="TableContents"/>
              <w:spacing w:before="0" w:after="0"/>
              <w:ind w:left="0" w:right="0" w:firstLine="30"/>
              <w:jc w:val="left"/>
              <w:rPr/>
            </w:pPr>
            <w:r>
              <w:rPr/>
              <w:t>‘</w:t>
            </w:r>
            <w:r>
              <w:rPr>
                <w:rFonts w:ascii="Times New Roman;serif" w:hAnsi="Times New Roman;serif"/>
                <w:b w:val="false"/>
                <w:sz w:val="20"/>
              </w:rPr>
              <w:t>EBITDA’</w:t>
            </w:r>
          </w:p>
        </w:tc>
        <w:tc>
          <w:tcPr>
            <w:tcW w:w="176" w:type="dxa"/>
            <w:tcBorders/>
            <w:shd w:fill="auto" w:val="clear"/>
            <w:vAlign w:val="center"/>
          </w:tcPr>
          <w:p>
            <w:pPr>
              <w:pStyle w:val="TableContents"/>
              <w:spacing w:before="0" w:after="0"/>
              <w:ind w:left="30" w:right="0" w:hanging="0"/>
              <w:jc w:val="left"/>
              <w:rPr/>
            </w:pPr>
            <w:r>
              <w:rPr/>
              <w:t> </w:t>
            </w:r>
          </w:p>
        </w:tc>
        <w:tc>
          <w:tcPr>
            <w:tcW w:w="55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before Interest, Taxes, Depreciation and Amortization</w:t>
            </w:r>
          </w:p>
        </w:tc>
      </w:tr>
    </w:tbl>
    <w:p>
      <w:pPr>
        <w:pStyle w:val="TextBody"/>
        <w:spacing w:before="18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5" w:name="eolpage4"/>
      <w:bookmarkStart w:id="6" w:name="wltw_20180630_10q_htm_s5c87da84c0f45a628"/>
      <w:bookmarkEnd w:id="5"/>
      <w:bookmarkEnd w:id="6"/>
      <w:r>
        <w:rPr>
          <w:rFonts w:ascii="Times New Roman;serif" w:hAnsi="Times New Roman;serif"/>
          <w:b/>
          <w:sz w:val="20"/>
        </w:rPr>
        <w:t>Disclaimer Regarding For</w:t>
      </w:r>
      <w:bookmarkStart w:id="7" w:name="disclaimer_regarding_forwardlooking_stat"/>
      <w:bookmarkEnd w:id="7"/>
      <w:r>
        <w:rPr>
          <w:rFonts w:ascii="Times New Roman;serif" w:hAnsi="Times New Roman;serif"/>
          <w:b/>
          <w:sz w:val="20"/>
        </w:rPr>
        <w:t>ward-looking Statements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on our business;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our completed sale of Willis Re to Arthur J. Gallagher &amp; Co. (‘Gallagher’) and transitional arrangements related thereto; demand for our services and competitive strengths; strategic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There are important risks, uncertainties, events and factors that could cause our actual results or performance to differ materially from those in the forward-looking statements contained in this document,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establish, execute and achieve our global business strategy as it evolves;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fully realize anticipated benefits of our growth strategy;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achieve our short-term and long-term financial goals, such as with respect to our cash flow generation, and the timing with respect to such achievement;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related to changes in general economic (including a possible recession), business and political conditions, including changes in the financial markets, inflation, credit availability, increased interest rates and trade policies;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to our short-term and long-term financial goals from any of the risks or uncertainties set forth herein;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to our business, financial condition, results of operations, and long-term goals that may be materially adversely affected by any negative impact on the global economy and capital markets resulting from or relating to inflation, the military conflict between Russia and Ukraine or any other geopolitical tensions and the withdrawal from our high-margin businesses in Russia and our ability to achieve cost-mitigation measures;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hedge against fluctuations in foreign currency rates;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relating to the adverse impacts of natural or man-made disasters like health pandemics and other world health crises, such as the COVID-19 pandemic, including supply chain, workforce availability, vaccination rates, and other impacts on the people and businesses in jurisdictions where we do business, on the demand for our products and services, our cash flows and our business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material interruptions to or loss of our information processing capabilities, or failure to effectively maintain and upgrade our information technology resources and systems and related risks of cybersecurity breaches or incidents;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complex and evolving regulations related to data privacy and cybersecurity;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risks relating to the transitional arrangements in effect subsequent to our now-completed sale of Willis Re to Gallagher;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competition that we face and the potential for loss of market share and/or profitability;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seasonality and differences in timing of renewals and non-recurring revenue increases from disposals and book-of-business sales;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to protect client data or breaches of information systems or insufficient safeguards against cybersecurity breaches or incidents;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risk of increased liability or new legal claims arising from our new and existing products and services, and expectations, intentions and outcomes relating to outstanding litigation;</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 of substantial negative outcomes on existing litigation or investigation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regulatory environment in which we operate, including, among other risks, the impacts of pending competition law and regulatory investigations;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various claims, government inquiries or investigations or the potential for regulatory action;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make divestitures or acquisitions, including our ability to integrate or manage such acquired businesses as well as identify and successfully execute on opportunities for strategic collaboration;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integrate direct-to-consumer sales and marketing solutions with our existing offerings and solutions;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manage ongoing organizational changes, including investments in improving systems and processes;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disasters or business continuity problems;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ongoing impact of Brexit on our business and operations, including as a result of updated regulatory guidance, such as that issued by the European Insurance and Occupational Pensions Authority on February 3, 2023, ongoing efforts and resources allocated to the post-Brexit evolution of regulations and laws and the need to relocate talent or roles or both between or within the E.U. and the U.K., or otherwise;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enhance our billing, collection and other working capital efforts, and thereby increase our free cash flow;</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properly identify and manage conflicts of interest;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reputational damage, including from association with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reliance on third-party service providers and suppliers;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risks relating to changes in our management structures and in senior leadership;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loss of key employees or a large number of employees and rehiring rates;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our corporate culture;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doing business internationally, including the impact of foreign currency exchange rates;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extensive government regulation;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risk of sanctions imposed by governments, or changes to associated sanction regulations (such as sanctions imposed on Russia) and related counter-sanctions;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effectively apply technology, data and analytics changes for internal operations, maintaining industry standards and meeting client preferences;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and developments in the insurance industry or the U.S. healthcare system, including those related to Medicare and any legislative actions from the current U.S. Congress, and any other changes and developments in legal, economic, business or operational conditions impacting our Medicare benefits businesses such as TRANZACT;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inability to protect our intellectual property rights, or the potential infringement upon the intellectual property rights of others;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its effect on adjusted earnings per share;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capital structure, including indebtedness amounts, the limitations imposed by the covenants in the documents governing such indebtedness and the maintenance of the financial and disclosure controls and procedures of each;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financing on favorable terms or at all;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adverse changes in our credit ratings;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impact our effective tax rate;</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U.S. federal income tax consequences to U.S. persons owning at least 10% of our shares;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accounting principles, estimates or assumptions;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risks relating to or arising from environmental, social and governance (‘ESG’) practices;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 in revenue against our relatively fixed or higher than expected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laws of Ireland being different from the laws of the U.S. and potentially affording less protections to the holders of our securities;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holding company structure potentially preventing us from being able to receive dividends or other distributions in needed amounts from our subsidiaries.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8" w:name="fis_part_i"/>
      <w:bookmarkStart w:id="9" w:name="wltw_20180630_10q_htm_s92b183b4580155a19"/>
      <w:bookmarkEnd w:id="8"/>
      <w:bookmarkEnd w:id="9"/>
      <w:r>
        <w:rPr>
          <w:rFonts w:ascii="Times New Roman;serif" w:hAnsi="Times New Roman;serif"/>
          <w:b/>
          <w:sz w:val="20"/>
        </w:rPr>
        <w:t>PART I. FINANCI</w:t>
      </w:r>
      <w:bookmarkStart w:id="10" w:name="part_i_financial_information"/>
      <w:bookmarkEnd w:id="10"/>
      <w:r>
        <w:rPr>
          <w:rFonts w:ascii="Times New Roman;serif" w:hAnsi="Times New Roman;serif"/>
          <w:b/>
          <w:sz w:val="20"/>
        </w:rPr>
        <w:t>AL INFORMATION</w:t>
      </w:r>
    </w:p>
    <w:p>
      <w:pPr>
        <w:pStyle w:val="TextBody"/>
        <w:spacing w:before="0" w:after="0"/>
        <w:jc w:val="left"/>
        <w:rPr>
          <w:rFonts w:ascii="Times New Roman;serif" w:hAnsi="Times New Roman;serif"/>
          <w:b/>
          <w:sz w:val="20"/>
        </w:rPr>
      </w:pPr>
      <w:bookmarkStart w:id="11" w:name="item_1_financial_statements_unaudited"/>
      <w:bookmarkEnd w:id="11"/>
      <w:r>
        <w:rPr>
          <w:rFonts w:ascii="Times New Roman;serif" w:hAnsi="Times New Roman;serif"/>
          <w:b/>
          <w:sz w:val="20"/>
        </w:rPr>
        <w:t>ITEM 1. FINANCIAL STATEMENTS (UNAUDITED)</w:t>
      </w:r>
    </w:p>
    <w:p>
      <w:pPr>
        <w:pStyle w:val="TextBody"/>
        <w:spacing w:before="180" w:after="0"/>
        <w:jc w:val="center"/>
        <w:rPr>
          <w:rFonts w:ascii="Times New Roman;serif" w:hAnsi="Times New Roman;serif"/>
          <w:b/>
          <w:sz w:val="20"/>
        </w:rPr>
      </w:pPr>
      <w:bookmarkStart w:id="12" w:name="willis_towers_watson"/>
      <w:bookmarkEnd w:id="12"/>
      <w:r>
        <w:rPr>
          <w:rFonts w:ascii="Times New Roman;serif" w:hAnsi="Times New Roman;serif"/>
          <w:b/>
          <w:sz w:val="20"/>
        </w:rPr>
        <w:t>WILLIS TOWERS WATSON PUBLIC LIMITED COMPANY</w:t>
      </w:r>
    </w:p>
    <w:p>
      <w:pPr>
        <w:pStyle w:val="TextBody"/>
        <w:spacing w:before="0" w:after="0"/>
        <w:jc w:val="center"/>
        <w:rPr>
          <w:rFonts w:ascii="Times New Roman;serif" w:hAnsi="Times New Roman;serif"/>
          <w:b/>
          <w:sz w:val="20"/>
        </w:rPr>
      </w:pPr>
      <w:bookmarkStart w:id="13" w:name="condensed_consolidated_statements_compre"/>
      <w:bookmarkEnd w:id="13"/>
      <w:r>
        <w:rPr>
          <w:rFonts w:ascii="Times New Roman;serif" w:hAnsi="Times New Roman;serif"/>
          <w:b/>
          <w:sz w:val="20"/>
        </w:rPr>
        <w:t>Condensed Consolidated Statements of Comprehensive Income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millions of U.S. dollars, except per share data)</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8724" w:type="dxa"/>
        <w:jc w:val="left"/>
        <w:tblInd w:w="0" w:type="dxa"/>
        <w:tblCellMar>
          <w:top w:w="28" w:type="dxa"/>
          <w:left w:w="28" w:type="dxa"/>
          <w:bottom w:w="28" w:type="dxa"/>
          <w:right w:w="28" w:type="dxa"/>
        </w:tblCellMar>
      </w:tblPr>
      <w:tblGrid>
        <w:gridCol w:w="6211"/>
        <w:gridCol w:w="146"/>
        <w:gridCol w:w="211"/>
        <w:gridCol w:w="571"/>
        <w:gridCol w:w="166"/>
        <w:gridCol w:w="146"/>
        <w:gridCol w:w="211"/>
        <w:gridCol w:w="571"/>
        <w:gridCol w:w="491"/>
      </w:tblGrid>
      <w:tr>
        <w:trPr/>
        <w:tc>
          <w:tcPr>
            <w:tcW w:w="6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Salaries and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2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4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4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4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WTW</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 earnings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4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before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4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WTW</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4" w:name="fis_balance_sheet"/>
      <w:bookmarkStart w:id="15" w:name="wltw_20180630_10q_htm_s3112c918b5fd56a79"/>
      <w:bookmarkEnd w:id="14"/>
      <w:bookmarkEnd w:id="15"/>
      <w:r>
        <w:rPr>
          <w:rFonts w:ascii="Times New Roman;serif" w:hAnsi="Times New Roman;serif"/>
          <w:b/>
          <w:sz w:val="20"/>
        </w:rPr>
        <w:t>WILLIS TOWERS WATSON PUBLIC LIMITED COMPANY</w:t>
      </w:r>
    </w:p>
    <w:p>
      <w:pPr>
        <w:pStyle w:val="TextBody"/>
        <w:spacing w:before="0" w:after="0"/>
        <w:jc w:val="center"/>
        <w:rPr>
          <w:rFonts w:ascii="Times New Roman;serif" w:hAnsi="Times New Roman;serif"/>
          <w:b/>
          <w:sz w:val="20"/>
        </w:rPr>
      </w:pPr>
      <w:bookmarkStart w:id="16" w:name="condensed_consolidated_balance_sheets"/>
      <w:bookmarkEnd w:id="16"/>
      <w:r>
        <w:rPr>
          <w:rFonts w:ascii="Times New Roman;serif" w:hAnsi="Times New Roman;serif"/>
          <w:b/>
          <w:sz w:val="20"/>
        </w:rPr>
        <w:t>Condensed Consolidated Balance Sheets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millions of U.S. dollars, except share data)</w:t>
      </w:r>
    </w:p>
    <w:p>
      <w:pPr>
        <w:pStyle w:val="TextBody"/>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spacing w:before="0" w:after="0"/>
        <w:jc w:val="left"/>
        <w:rPr/>
      </w:pPr>
      <w:r>
        <w:rPr/>
        <w:t> </w:t>
      </w:r>
    </w:p>
    <w:tbl>
      <w:tblPr>
        <w:tblW w:w="7087" w:type="dxa"/>
        <w:jc w:val="left"/>
        <w:tblInd w:w="0" w:type="dxa"/>
        <w:tblCellMar>
          <w:top w:w="28" w:type="dxa"/>
          <w:left w:w="28" w:type="dxa"/>
          <w:bottom w:w="28" w:type="dxa"/>
          <w:right w:w="28" w:type="dxa"/>
        </w:tblCellMar>
      </w:tblPr>
      <w:tblGrid>
        <w:gridCol w:w="4156"/>
        <w:gridCol w:w="146"/>
        <w:gridCol w:w="211"/>
        <w:gridCol w:w="676"/>
        <w:gridCol w:w="166"/>
        <w:gridCol w:w="146"/>
        <w:gridCol w:w="260"/>
        <w:gridCol w:w="835"/>
        <w:gridCol w:w="49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Fiduciary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11,772</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2,387</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15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15,835</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Fixed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10,173</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Pension benefits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15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15,934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31,769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Fiduciary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11,772</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15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14,779</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4,471</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Liability for pension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15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21,676</w:t>
            </w:r>
          </w:p>
        </w:tc>
        <w:tc>
          <w:tcPr>
            <w:tcW w:w="49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415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EQUITY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10,876</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1,764</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(2,621</w:t>
            </w:r>
          </w:p>
        </w:tc>
        <w:tc>
          <w:tcPr>
            <w:tcW w:w="4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Treasury shares, at cost, 17,519</w:t>
            </w:r>
            <w:r>
              <w:rPr>
                <w:rFonts w:ascii="Times New Roman" w:hAnsi="Times New Roman"/>
                <w:sz w:val="20"/>
              </w:rPr>
              <w:t> </w:t>
            </w:r>
            <w:r>
              <w:rPr>
                <w:rFonts w:ascii="Times New Roman;serif" w:hAnsi="Times New Roman;serif"/>
                <w:b w:val="false"/>
                <w:sz w:val="20"/>
              </w:rPr>
              <w:t>shares in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WTW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10,016</w:t>
            </w:r>
          </w:p>
        </w:tc>
        <w:tc>
          <w:tcPr>
            <w:tcW w:w="49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10,093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31,769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pPr>
      <w:r>
        <w:rPr>
          <w:rFonts w:ascii="Times New Roman;serif" w:hAnsi="Times New Roman;serif"/>
          <w:b w:val="false"/>
          <w:sz w:val="16"/>
        </w:rPr>
        <w:t>Equity includes (a) Ordinary shares $0.000304635</w:t>
      </w:r>
      <w:r>
        <w:rPr/>
        <w:t xml:space="preserve"> </w:t>
      </w:r>
      <w:r>
        <w:rPr>
          <w:rFonts w:ascii="Times New Roman;serif" w:hAnsi="Times New Roman;serif"/>
          <w:b w:val="false"/>
          <w:sz w:val="16"/>
        </w:rPr>
        <w:t>nominal value; Authorized 1,510,003,775; Issued 106,382,693</w:t>
      </w:r>
      <w:r>
        <w:rPr/>
        <w:t xml:space="preserve"> </w:t>
      </w:r>
      <w:r>
        <w:rPr>
          <w:rFonts w:ascii="Times New Roman;serif" w:hAnsi="Times New Roman;serif"/>
          <w:b w:val="false"/>
          <w:sz w:val="16"/>
        </w:rPr>
        <w:t>(2023) and 106,756,364</w:t>
      </w:r>
      <w:r>
        <w:rPr/>
        <w:t xml:space="preserve"> </w:t>
      </w:r>
      <w:r>
        <w:rPr>
          <w:rFonts w:ascii="Times New Roman;serif" w:hAnsi="Times New Roman;serif"/>
          <w:b w:val="false"/>
          <w:sz w:val="16"/>
        </w:rPr>
        <w:t>(2022); Outstanding 106,382,693</w:t>
      </w:r>
      <w:r>
        <w:rPr/>
        <w:t xml:space="preserve"> </w:t>
      </w:r>
      <w:r>
        <w:rPr>
          <w:rFonts w:ascii="Times New Roman;serif" w:hAnsi="Times New Roman;serif"/>
          <w:b w:val="false"/>
          <w:sz w:val="16"/>
        </w:rPr>
        <w:t>(2023) and 106,756,364</w:t>
      </w:r>
      <w:r>
        <w:rPr/>
        <w:t xml:space="preserve"> </w:t>
      </w:r>
      <w:r>
        <w:rPr>
          <w:rFonts w:ascii="Times New Roman;serif" w:hAnsi="Times New Roman;serif"/>
          <w:b w:val="false"/>
          <w:sz w:val="16"/>
        </w:rPr>
        <w:t>(2022) and (b) Preference shares, $0.000115</w:t>
      </w:r>
      <w:r>
        <w:rPr/>
        <w:t xml:space="preserve"> </w:t>
      </w:r>
      <w:r>
        <w:rPr>
          <w:rFonts w:ascii="Times New Roman;serif" w:hAnsi="Times New Roman;serif"/>
          <w:b w:val="false"/>
          <w:sz w:val="16"/>
        </w:rPr>
        <w:t>nominal value; Authorized 1,000,000,000</w:t>
      </w:r>
      <w:r>
        <w:rPr/>
        <w:t xml:space="preserve"> </w:t>
      </w:r>
      <w:r>
        <w:rPr>
          <w:rFonts w:ascii="Times New Roman;serif" w:hAnsi="Times New Roman;serif"/>
          <w:b w:val="false"/>
          <w:sz w:val="16"/>
        </w:rPr>
        <w:t>and Issued none</w:t>
      </w:r>
      <w:r>
        <w:rPr/>
        <w:t xml:space="preserve"> </w:t>
      </w:r>
      <w:r>
        <w:rPr>
          <w:rFonts w:ascii="Times New Roman;serif" w:hAnsi="Times New Roman;serif"/>
          <w:b w:val="false"/>
          <w:sz w:val="16"/>
        </w:rPr>
        <w:t>in 2023 and 2022.</w:t>
      </w:r>
    </w:p>
    <w:p>
      <w:pPr>
        <w:pStyle w:val="TextBody"/>
        <w:spacing w:before="40" w:after="0"/>
        <w:jc w:val="left"/>
        <w:rPr/>
      </w:pPr>
      <w:r>
        <w:rPr/>
        <w:t> </w:t>
      </w:r>
    </w:p>
    <w:p>
      <w:pPr>
        <w:pStyle w:val="TextBody"/>
        <w:spacing w:before="18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WILLIS TOWERS WATSON PUBLIC LIMITED COMPANY</w:t>
      </w:r>
    </w:p>
    <w:p>
      <w:pPr>
        <w:pStyle w:val="TextBody"/>
        <w:spacing w:before="0" w:after="0"/>
        <w:jc w:val="center"/>
        <w:rPr>
          <w:rFonts w:ascii="Times New Roman;serif" w:hAnsi="Times New Roman;serif"/>
          <w:b/>
          <w:sz w:val="20"/>
        </w:rPr>
      </w:pPr>
      <w:bookmarkStart w:id="17" w:name="condensed_consolidated_statements_cash_f"/>
      <w:bookmarkEnd w:id="17"/>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millions of U.S. dollars)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73"/>
        <w:gridCol w:w="146"/>
        <w:gridCol w:w="258"/>
        <w:gridCol w:w="700"/>
        <w:gridCol w:w="202"/>
        <w:gridCol w:w="179"/>
        <w:gridCol w:w="258"/>
        <w:gridCol w:w="774"/>
        <w:gridCol w:w="815"/>
      </w:tblGrid>
      <w:tr>
        <w:trPr/>
        <w:tc>
          <w:tcPr>
            <w:tcW w:w="68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687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7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firstLine="200"/>
              <w:jc w:val="left"/>
              <w:rPr/>
            </w:pPr>
            <w:r>
              <w:rPr/>
              <w:t> </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815" w:type="dxa"/>
            <w:tcBorders/>
            <w:shd w:fill="auto" w:val="clear"/>
            <w:vAlign w:val="center"/>
          </w:tcPr>
          <w:p>
            <w:pPr>
              <w:pStyle w:val="TableContents"/>
              <w:spacing w:before="0" w:after="0"/>
              <w:ind w:left="0" w:right="0" w:firstLine="200"/>
              <w:jc w:val="left"/>
              <w:rPr/>
            </w:pPr>
            <w:r>
              <w:rPr/>
              <w:t> </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total net cash from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restructuring charges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pPr>
            <w:r>
              <w:rPr/>
              <w:t>—</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periodic benefit of defined benefit pension plans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doubtful receivables from clients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Benefit from deferred income taxes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 on disposal of operations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foreign exchange loss/(gain)</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 of effects from purchase of</w:t>
              <w:br/>
              <w:t>   subsidiaries:</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32"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400"/>
              <w:jc w:val="righ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815" w:type="dxa"/>
            <w:tcBorders/>
            <w:shd w:fill="auto" w:val="clear"/>
            <w:vAlign w:val="center"/>
          </w:tcPr>
          <w:p>
            <w:pPr>
              <w:pStyle w:val="TableContents"/>
              <w:spacing w:before="0" w:after="0"/>
              <w:ind w:left="0" w:right="0" w:firstLine="400"/>
              <w:jc w:val="left"/>
              <w:rPr/>
            </w:pPr>
            <w:r>
              <w:rPr/>
              <w:t> </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873"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(USED IN)/FROM INVESTING ACTIVITIES</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32"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200"/>
              <w:jc w:val="right"/>
              <w:rPr/>
            </w:pPr>
            <w:r>
              <w:rPr/>
              <w:t> </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to fixed assets and software for internal use</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software costs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operations, net of cash acquired</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fiduciary funds transferred in sale of operations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 of investments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873"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in)/from investing activities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USED IN FINANCING ACTIVITIES</w:t>
            </w:r>
          </w:p>
        </w:tc>
        <w:tc>
          <w:tcPr>
            <w:tcW w:w="146" w:type="dxa"/>
            <w:tcBorders/>
            <w:shd w:fill="auto" w:val="clear"/>
            <w:vAlign w:val="center"/>
          </w:tcPr>
          <w:p>
            <w:pPr>
              <w:pStyle w:val="TableContents"/>
              <w:spacing w:before="0" w:after="0"/>
              <w:ind w:left="0" w:right="0" w:hanging="0"/>
              <w:jc w:val="center"/>
              <w:rPr/>
            </w:pPr>
            <w:r>
              <w:rPr/>
              <w:t> </w:t>
            </w:r>
          </w:p>
        </w:tc>
        <w:tc>
          <w:tcPr>
            <w:tcW w:w="958" w:type="dxa"/>
            <w:gridSpan w:val="2"/>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righ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1032"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200"/>
              <w:jc w:val="right"/>
              <w:rPr/>
            </w:pPr>
            <w:r>
              <w:rPr/>
              <w:t> </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Repayments of debt</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Repurchase of shares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shares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shd w:fill="auto" w:val="clear"/>
            <w:vAlign w:val="center"/>
          </w:tcPr>
          <w:p>
            <w:pPr>
              <w:pStyle w:val="TableContents"/>
              <w:spacing w:before="0" w:after="0"/>
              <w:ind w:left="0" w:right="0" w:firstLine="200"/>
              <w:jc w:val="left"/>
              <w:rPr/>
            </w:pPr>
            <w:r>
              <w:rPr/>
              <w:t> </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payments from fiduciary funds held for clients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deferred and contingent consideration related to acquisitions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employee taxes on withholding shares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Dividends paid</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DECREASE IN CASH, CASH EQUIVALENTS AND RESTRICTED CASH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02"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center"/>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CASH, CASH EQUIVALENTS AND RESTRICTED CASH, BEGINNING OF PERIOD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4,721</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CASH, CASH EQUIVALENTS AND RESTRICTED CASH, END OF PERIOD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center"/>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4,362</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5,172</w:t>
            </w:r>
          </w:p>
        </w:tc>
        <w:tc>
          <w:tcPr>
            <w:tcW w:w="8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pPr>
      <w:r>
        <w:rPr>
          <w:rFonts w:ascii="Times New Roman;serif" w:hAnsi="Times New Roman;serif"/>
          <w:b w:val="false"/>
          <w:sz w:val="16"/>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t xml:space="preserve">— </w:t>
      </w:r>
      <w:r>
        <w:rPr>
          <w:rFonts w:ascii="Times New Roman;serif" w:hAnsi="Times New Roman;serif"/>
          <w:b w:val="false"/>
          <w:sz w:val="16"/>
        </w:rPr>
        <w:t>Supplemental Disclosures of Cash Flow Information.</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8" w:name="wltw_20180630_10q_htm_s3a173decfea1514ea"/>
      <w:bookmarkStart w:id="19" w:name="fis_stockholders_equity"/>
      <w:bookmarkEnd w:id="18"/>
      <w:bookmarkEnd w:id="19"/>
      <w:r>
        <w:rPr>
          <w:rFonts w:ascii="Times New Roman;serif" w:hAnsi="Times New Roman;serif"/>
          <w:b/>
          <w:sz w:val="20"/>
        </w:rPr>
        <w:t>WILLIS TOWERS WATSON PUBLIC LIMITED COMPANY</w:t>
      </w:r>
    </w:p>
    <w:p>
      <w:pPr>
        <w:pStyle w:val="TextBody"/>
        <w:spacing w:before="0" w:after="0"/>
        <w:jc w:val="center"/>
        <w:rPr>
          <w:rFonts w:ascii="Times New Roman;serif" w:hAnsi="Times New Roman;serif"/>
          <w:b/>
          <w:sz w:val="20"/>
        </w:rPr>
      </w:pPr>
      <w:bookmarkStart w:id="20" w:name="condensed_consolidated_statements_change"/>
      <w:bookmarkEnd w:id="20"/>
      <w:r>
        <w:rPr>
          <w:rFonts w:ascii="Times New Roman;serif" w:hAnsi="Times New Roman;serif"/>
          <w:b/>
          <w:sz w:val="20"/>
        </w:rPr>
        <w:t>Condensed Consolidated Statements of Changes in Equity</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(In millions of U.S. dollars and number of shares in thousands)</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208"/>
        <w:gridCol w:w="146"/>
        <w:gridCol w:w="170"/>
        <w:gridCol w:w="689"/>
        <w:gridCol w:w="151"/>
        <w:gridCol w:w="146"/>
        <w:gridCol w:w="214"/>
        <w:gridCol w:w="608"/>
        <w:gridCol w:w="151"/>
        <w:gridCol w:w="146"/>
        <w:gridCol w:w="192"/>
        <w:gridCol w:w="510"/>
        <w:gridCol w:w="151"/>
        <w:gridCol w:w="146"/>
        <w:gridCol w:w="238"/>
        <w:gridCol w:w="455"/>
        <w:gridCol w:w="151"/>
        <w:gridCol w:w="146"/>
        <w:gridCol w:w="181"/>
        <w:gridCol w:w="481"/>
        <w:gridCol w:w="151"/>
        <w:gridCol w:w="146"/>
        <w:gridCol w:w="266"/>
        <w:gridCol w:w="754"/>
        <w:gridCol w:w="151"/>
        <w:gridCol w:w="146"/>
        <w:gridCol w:w="380"/>
        <w:gridCol w:w="727"/>
        <w:gridCol w:w="151"/>
        <w:gridCol w:w="146"/>
        <w:gridCol w:w="183"/>
        <w:gridCol w:w="519"/>
        <w:gridCol w:w="205"/>
      </w:tblGrid>
      <w:tr>
        <w:trPr/>
        <w:tc>
          <w:tcPr>
            <w:tcW w:w="12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2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Shares outstanding</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Additional paid-in 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Retained earnings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Treasury 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3"/>
              </w:rPr>
            </w:pPr>
            <w:r>
              <w:rPr>
                <w:rFonts w:ascii="Times New Roman;serif" w:hAnsi="Times New Roman;serif"/>
                <w:b/>
                <w:sz w:val="13"/>
              </w:rPr>
              <w:t xml:space="preserve">AOCL </w:t>
            </w:r>
            <w:r>
              <w:rPr>
                <w:rFonts w:ascii="Times New Roman;serif" w:hAnsi="Times New Roman;serif"/>
                <w:b/>
                <w:sz w:val="9"/>
              </w:rPr>
              <w:t>(i)</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Total WTW shareholders’ equity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Non-controlling interests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Total equity</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122,056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10,804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4,645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(2,186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13,260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13,308</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Shares repurchased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(9,860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(2,250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(2,250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(2,250</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125</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4"/>
              </w:rPr>
              <w:t>Dividends declared ($0.82</w:t>
            </w:r>
            <w:r>
              <w:rPr>
                <w:rFonts w:ascii="Times New Roman" w:hAnsi="Times New Roman"/>
                <w:sz w:val="20"/>
              </w:rPr>
              <w:t> </w:t>
            </w:r>
            <w:r>
              <w:rPr>
                <w:rFonts w:ascii="Times New Roman;serif" w:hAnsi="Times New Roman;serif"/>
                <w:b w:val="false"/>
                <w:sz w:val="14"/>
              </w:rPr>
              <w:t>per share)</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(94</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Dividends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shares under employee stock</w:t>
              <w:br/>
              <w:t>   compensation plans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and net settlements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 w:hAnsi="Times New Roman"/>
                <w:sz w:val="14"/>
              </w:rPr>
            </w:pPr>
            <w:r>
              <w:rPr>
                <w:rFonts w:ascii="Times New Roman;serif" w:hAnsi="Times New Roman;serif"/>
                <w:b w:val="false"/>
                <w:sz w:val="14"/>
              </w:rPr>
              <w:t xml:space="preserve">Additional non-controlling interests </w:t>
            </w:r>
            <w:r>
              <w:rPr>
                <w:rFonts w:ascii="Times New Roman;serif" w:hAnsi="Times New Roman;serif"/>
                <w:b w:val="false"/>
                <w:sz w:val="9"/>
              </w:rPr>
              <w:t>(ii)</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112,213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10,826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2,423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(2,242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11,004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11,075</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106,756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10,876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1,764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(2,621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10,016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10,093</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Shares repurchased</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206</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4"/>
              </w:rPr>
              <w:t>Dividends declared ($0.84</w:t>
            </w:r>
            <w:r>
              <w:rPr>
                <w:rFonts w:ascii="Times New Roman" w:hAnsi="Times New Roman"/>
                <w:sz w:val="20"/>
              </w:rPr>
              <w:t> </w:t>
            </w:r>
            <w:r>
              <w:rPr>
                <w:rFonts w:ascii="Times New Roman;serif" w:hAnsi="Times New Roman;serif"/>
                <w:b w:val="false"/>
                <w:sz w:val="14"/>
              </w:rPr>
              <w:t>per share)</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shares under employee stock</w:t>
              <w:br/>
              <w:t>   compensation plans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pPr>
            <w:r>
              <w:rPr/>
              <w:t>—</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 and net settlements</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1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w:t>
            </w:r>
          </w:p>
        </w:tc>
        <w:tc>
          <w:tcPr>
            <w:tcW w:w="205" w:type="dxa"/>
            <w:tcBorders/>
            <w:shd w:fill="auto" w:val="clear"/>
            <w:vAlign w:val="center"/>
          </w:tcPr>
          <w:p>
            <w:pPr>
              <w:pStyle w:val="TableContents"/>
              <w:spacing w:before="0" w:after="0"/>
              <w:ind w:left="0" w:right="0" w:hanging="0"/>
              <w:jc w:val="left"/>
              <w:rPr/>
            </w:pPr>
            <w:r>
              <w:rPr/>
              <w:t> </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208"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106,383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10,890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1,774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(2,568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10,096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10,176</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5"/>
        </w:rPr>
      </w:pPr>
      <w:r>
        <w:rPr>
          <w:rFonts w:ascii="Times New Roman" w:hAnsi="Times New Roman"/>
          <w:b w:val="false"/>
          <w:sz w:val="15"/>
        </w:rPr>
        <w:t>(i)</w:t>
      </w:r>
    </w:p>
    <w:p>
      <w:pPr>
        <w:pStyle w:val="TextBody"/>
        <w:spacing w:before="40" w:after="283"/>
        <w:jc w:val="left"/>
        <w:rPr>
          <w:rFonts w:ascii="Times New Roman;serif" w:hAnsi="Times New Roman;serif"/>
          <w:b w:val="false"/>
          <w:sz w:val="15"/>
        </w:rPr>
      </w:pPr>
      <w:r>
        <w:rPr>
          <w:rFonts w:ascii="Times New Roman;serif" w:hAnsi="Times New Roman;serif"/>
          <w:b w:val="false"/>
          <w:sz w:val="15"/>
        </w:rPr>
        <w:t>Accumulated other comprehensive loss, net of tax (‘AOCL’).</w:t>
      </w:r>
    </w:p>
    <w:p>
      <w:pPr>
        <w:pStyle w:val="TextBody"/>
        <w:spacing w:before="180" w:after="0"/>
        <w:jc w:val="center"/>
        <w:rPr>
          <w:rFonts w:ascii="Times New Roman;serif" w:hAnsi="Times New Roman;serif"/>
          <w:b w:val="false"/>
          <w:sz w:val="20"/>
        </w:rPr>
      </w:pPr>
      <w:r>
        <w:rPr>
          <w:rFonts w:ascii="Times New Roman;serif" w:hAnsi="Times New Roman;serif"/>
          <w:b w:val="false"/>
          <w:sz w:val="20"/>
        </w:rPr>
        <w:t>See accompanying notes to the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1" w:name="wltw_20180630_10q_htm_s801286314b345b0da"/>
      <w:bookmarkStart w:id="22" w:name="eolpage10"/>
      <w:bookmarkEnd w:id="21"/>
      <w:bookmarkEnd w:id="22"/>
      <w:r>
        <w:rPr>
          <w:rFonts w:ascii="Times New Roman;serif" w:hAnsi="Times New Roman;serif"/>
          <w:b/>
          <w:sz w:val="20"/>
        </w:rPr>
        <w:t>WILLIS TOWERS WATSON</w:t>
      </w:r>
      <w:bookmarkStart w:id="23" w:name="fis_notes_to_financial_statement"/>
      <w:bookmarkEnd w:id="23"/>
      <w:r>
        <w:rPr>
          <w:rFonts w:ascii="Times New Roman" w:hAnsi="Times New Roman"/>
          <w:sz w:val="20"/>
        </w:rPr>
        <w:t xml:space="preserve"> </w:t>
      </w:r>
      <w:r>
        <w:rPr>
          <w:rFonts w:ascii="Times New Roman;serif" w:hAnsi="Times New Roman;serif"/>
          <w:b/>
          <w:sz w:val="20"/>
        </w:rPr>
        <w:t>PUBLIC LIMITED COMPANY</w:t>
      </w:r>
    </w:p>
    <w:p>
      <w:pPr>
        <w:pStyle w:val="TextBody"/>
        <w:spacing w:before="0" w:after="0"/>
        <w:jc w:val="center"/>
        <w:rPr>
          <w:rFonts w:ascii="Times New Roman;serif" w:hAnsi="Times New Roman;serif"/>
          <w:b/>
          <w:sz w:val="20"/>
        </w:rPr>
      </w:pPr>
      <w:bookmarkStart w:id="24" w:name="notes_to_condensed_consolidated_financia"/>
      <w:bookmarkEnd w:id="24"/>
      <w:r>
        <w:rPr>
          <w:rFonts w:ascii="Times New Roman;serif" w:hAnsi="Times New Roman;serif"/>
          <w:b/>
          <w:sz w:val="20"/>
        </w:rPr>
        <w:t>Notes to the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(Tabular amounts in millions of U.S. dollars, except per share data)</w:t>
      </w:r>
    </w:p>
    <w:p>
      <w:pPr>
        <w:pStyle w:val="TextBody"/>
        <w:spacing w:before="0" w:after="0"/>
        <w:jc w:val="center"/>
        <w:rPr>
          <w:rFonts w:ascii="Times New Roman;serif" w:hAnsi="Times New Roman;serif"/>
          <w:b w:val="false"/>
          <w:sz w:val="20"/>
        </w:rPr>
      </w:pPr>
      <w:bookmarkStart w:id="25" w:name="wltw_20180630_10q_htm_sb3d45ec4fdea5a09b"/>
      <w:bookmarkEnd w:id="25"/>
      <w:r>
        <w:rPr>
          <w:rFonts w:ascii="Times New Roman;serif" w:hAnsi="Times New Roman;serif"/>
          <w:b w:val="false"/>
          <w:sz w:val="20"/>
        </w:rPr>
        <w:t>(Unaudited)</w:t>
      </w:r>
    </w:p>
    <w:p>
      <w:pPr>
        <w:pStyle w:val="TextBody"/>
        <w:spacing w:before="180" w:after="0"/>
        <w:jc w:val="left"/>
        <w:rPr>
          <w:rFonts w:ascii="Times New Roman;serif" w:hAnsi="Times New Roman;serif"/>
          <w:b/>
          <w:sz w:val="20"/>
        </w:rPr>
      </w:pPr>
      <w:r>
        <w:rPr>
          <w:rFonts w:ascii="Times New Roman;serif" w:hAnsi="Times New Roman;serif"/>
          <w:b/>
          <w:sz w:val="20"/>
        </w:rPr>
        <w:t>Note 1 — Nature of Operations</w:t>
      </w:r>
    </w:p>
    <w:p>
      <w:pPr>
        <w:pStyle w:val="TextBody"/>
        <w:spacing w:before="180" w:after="0"/>
        <w:jc w:val="left"/>
        <w:rPr>
          <w:rFonts w:ascii="Times New Roman" w:hAnsi="Times New Roman"/>
          <w:sz w:val="20"/>
        </w:rPr>
      </w:pPr>
      <w:r>
        <w:rPr>
          <w:rFonts w:ascii="Times New Roman;serif" w:hAnsi="Times New Roman;serif"/>
          <w:b w:val="false"/>
          <w:sz w:val="20"/>
        </w:rPr>
        <w:t>Willis Towers Watson Public Limited Company is a leading global advisory, broking and solutions company that provides data-driven, insight-led solutions in the areas of people, risk and capital. The Company has more than 46,000</w:t>
      </w:r>
      <w:r>
        <w:rPr>
          <w:rFonts w:ascii="Times New Roman" w:hAnsi="Times New Roman"/>
          <w:sz w:val="20"/>
        </w:rPr>
        <w:t xml:space="preserve"> </w:t>
      </w:r>
      <w:r>
        <w:rPr>
          <w:rFonts w:ascii="Times New Roman;serif" w:hAnsi="Times New Roman;serif"/>
          <w:b w:val="false"/>
          <w:sz w:val="20"/>
        </w:rPr>
        <w:t>colleagues serving more than 140</w:t>
      </w:r>
      <w:r>
        <w:rPr>
          <w:rFonts w:ascii="Times New Roman" w:hAnsi="Times New Roman"/>
          <w:sz w:val="20"/>
        </w:rPr>
        <w:t xml:space="preserve"> </w:t>
      </w:r>
      <w:r>
        <w:rPr>
          <w:rFonts w:ascii="Times New Roman;serif" w:hAnsi="Times New Roman;serif"/>
          <w:b w:val="false"/>
          <w:sz w:val="20"/>
        </w:rPr>
        <w:t>countries and markets.</w:t>
      </w:r>
    </w:p>
    <w:p>
      <w:pPr>
        <w:pStyle w:val="TextBody"/>
        <w:spacing w:before="180" w:after="0"/>
        <w:jc w:val="left"/>
        <w:rPr>
          <w:rFonts w:ascii="Times New Roman" w:hAnsi="Times New Roman"/>
          <w:sz w:val="20"/>
        </w:rPr>
      </w:pPr>
      <w:r>
        <w:rPr>
          <w:rFonts w:ascii="Times New Roman;serif" w:hAnsi="Times New Roman;serif"/>
          <w:b w:val="false"/>
          <w:sz w:val="20"/>
        </w:rPr>
        <w:t>We design and deliver solutions that manage risk, optimize benefits, cultivate talent and expand the power of capital to protect and strengthen institutions and individuals.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Our risk management services include strategic risk consulting (including providing actuarial analysis), a variety of due diligence services, the provision of practical on-site risk control services (such as health and safety and property loss control consulting), and analytical and advisory services (such as hazard modeling). We also assist our clients with planning for addressing incidents or crises when they occur. These services include contingency planning, security audits and product tampering plans.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We help our clients enhance business performance by delivering consulting services, technology and solutions that optimize benefits and cultivate talent. Our services and solutions encompass such areas as employee benefits, work and rewards, employee experience and benefits outsourcing. In addition, we provide investment advice to help our clients develop disciplined and efficient strategies to meet their investment goals and expand the power of capital.</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We are not an insurance company, and therefore we do not underwrite insurable risks for our own account. We help sharpen strategies, enhance organizational resilience, motivate workforces and maximize performance to uncover opportunities for sustainable success.</w:t>
      </w:r>
      <w:r>
        <w:rPr>
          <w:rFonts w:ascii="Times New Roman" w:hAnsi="Times New Roman"/>
          <w:sz w:val="20"/>
        </w:rPr>
        <w:t xml:space="preserve"> </w:t>
      </w:r>
    </w:p>
    <w:p>
      <w:pPr>
        <w:pStyle w:val="TextBody"/>
        <w:spacing w:before="180" w:after="0"/>
        <w:jc w:val="left"/>
        <w:rPr>
          <w:rFonts w:ascii="Times New Roman" w:hAnsi="Times New Roman"/>
          <w:sz w:val="20"/>
        </w:rPr>
      </w:pPr>
      <w:bookmarkStart w:id="26" w:name="wltw_20180630_10q_htm_s396b50dfdb7d5fd7b"/>
      <w:bookmarkEnd w:id="26"/>
      <w:r>
        <w:rPr>
          <w:rFonts w:ascii="Times New Roman;serif" w:hAnsi="Times New Roman;serif"/>
          <w:b/>
          <w:sz w:val="20"/>
        </w:rPr>
        <w:t>Note 2</w:t>
      </w:r>
      <w:r>
        <w:rPr>
          <w:rFonts w:ascii="Times New Roman" w:hAnsi="Times New Roman"/>
          <w:sz w:val="20"/>
        </w:rPr>
        <w:t xml:space="preserve"> — </w:t>
      </w:r>
      <w:r>
        <w:rPr>
          <w:rFonts w:ascii="Times New Roman;serif" w:hAnsi="Times New Roman;serif"/>
          <w:b/>
          <w:sz w:val="20"/>
        </w:rPr>
        <w:t>Basis of Presentation and Recent Accounting Pronouncements</w:t>
      </w:r>
    </w:p>
    <w:p>
      <w:pPr>
        <w:pStyle w:val="TextBody"/>
        <w:spacing w:before="18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2023, and may be accessed via EDGAR on the SEC’s web site at www.sec.gov.</w:t>
      </w:r>
    </w:p>
    <w:p>
      <w:pPr>
        <w:pStyle w:val="TextBody"/>
        <w:spacing w:before="180" w:after="0"/>
        <w:jc w:val="left"/>
        <w:rPr>
          <w:rFonts w:ascii="Times New Roman" w:hAnsi="Times New Roman"/>
          <w:sz w:val="20"/>
        </w:rPr>
      </w:pPr>
      <w:r>
        <w:rPr>
          <w:rFonts w:ascii="Times New Roman;serif" w:hAnsi="Times New Roman;serif"/>
          <w:b w:val="false"/>
          <w:sz w:val="20"/>
        </w:rPr>
        <w:t>The results of operations for the three months ended March 31, 2023</w:t>
      </w:r>
      <w:r>
        <w:rPr>
          <w:rFonts w:ascii="Times New Roman" w:hAnsi="Times New Roman"/>
          <w:sz w:val="20"/>
        </w:rPr>
        <w:t xml:space="preserve"> </w:t>
      </w:r>
      <w:r>
        <w:rPr>
          <w:rFonts w:ascii="Times New Roman;serif" w:hAnsi="Times New Roman;serif"/>
          <w:b w:val="false"/>
          <w:sz w:val="20"/>
        </w:rPr>
        <w:t>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pStyle w:val="TextBody"/>
        <w:spacing w:before="18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There were no new pronouncements that are expected to have a significant impact to the Company or its condensed consolidated financial statements.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sz w:val="20"/>
        </w:rPr>
        <w:t>Other Legislation</w:t>
      </w:r>
      <w:r>
        <w:rPr>
          <w:rFonts w:ascii="Times New Roman" w:hAnsi="Times New Roman"/>
          <w:sz w:val="20"/>
        </w:rPr>
        <w:t xml:space="preserve"> </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Inflation Reduction Act</w:t>
      </w:r>
    </w:p>
    <w:p>
      <w:pPr>
        <w:pStyle w:val="TextBody"/>
        <w:spacing w:before="180" w:after="0"/>
        <w:jc w:val="left"/>
        <w:rPr>
          <w:rFonts w:ascii="Times New Roman" w:hAnsi="Times New Roman"/>
          <w:sz w:val="20"/>
        </w:rPr>
      </w:pPr>
      <w:r>
        <w:rPr>
          <w:rFonts w:ascii="Times New Roman;serif" w:hAnsi="Times New Roman;serif"/>
          <w:b w:val="false"/>
          <w:sz w:val="20"/>
        </w:rPr>
        <w:t>The Inflation Reduction Act of 2022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The Company does not expect the excise tax or CAMT to have a significant impact on its condensed consolidated financial statements.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i/>
          <w:sz w:val="20"/>
        </w:rPr>
        <w:t>Pillar Two</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On December 12, 2022, E.U. member states reached an agreement to implement Pillar Two, which introduces a global corporate minimum tax of 15% for certain large multinational companies beginning in 2023. For the rules to take effect, E.U. member states are required to enact domestic legislation by the end of 2023 to be effective January 1, 2024. The Company is currently evaluating the impact Pillar Two will have on its condensed consolidated financial statements.</w:t>
      </w:r>
    </w:p>
    <w:p>
      <w:pPr>
        <w:pStyle w:val="TextBody"/>
        <w:spacing w:before="180" w:after="0"/>
        <w:jc w:val="left"/>
        <w:rPr>
          <w:rFonts w:ascii="Times New Roman" w:hAnsi="Times New Roman"/>
          <w:sz w:val="20"/>
        </w:rPr>
      </w:pPr>
      <w:r>
        <w:rPr>
          <w:rFonts w:ascii="Times New Roman;serif" w:hAnsi="Times New Roman;serif"/>
          <w:b/>
          <w:sz w:val="20"/>
        </w:rPr>
        <w:t>Note 3</w:t>
      </w:r>
      <w:r>
        <w:rPr>
          <w:rFonts w:ascii="Times New Roman" w:hAnsi="Times New Roman"/>
          <w:sz w:val="20"/>
        </w:rPr>
        <w:t xml:space="preserve"> — </w:t>
      </w:r>
      <w:r>
        <w:rPr>
          <w:rFonts w:ascii="Times New Roman;serif" w:hAnsi="Times New Roman;serif"/>
          <w:b/>
          <w:sz w:val="20"/>
        </w:rPr>
        <w:t>Acquisitions and Divestitures</w:t>
      </w:r>
    </w:p>
    <w:p>
      <w:pPr>
        <w:pStyle w:val="TextBody"/>
        <w:spacing w:before="180" w:after="0"/>
        <w:jc w:val="left"/>
        <w:rPr>
          <w:rFonts w:ascii="Times New Roman;serif" w:hAnsi="Times New Roman;serif"/>
          <w:b/>
          <w:sz w:val="20"/>
        </w:rPr>
      </w:pPr>
      <w:r>
        <w:rPr>
          <w:rFonts w:ascii="Times New Roman;serif" w:hAnsi="Times New Roman;serif"/>
          <w:b/>
          <w:sz w:val="20"/>
        </w:rPr>
        <w:t>Divestitures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Divestment of Russian Business</w:t>
      </w:r>
    </w:p>
    <w:p>
      <w:pPr>
        <w:pStyle w:val="TextBody"/>
        <w:spacing w:before="180" w:after="0"/>
        <w:jc w:val="left"/>
        <w:rPr>
          <w:rFonts w:ascii="Times New Roman" w:hAnsi="Times New Roman"/>
          <w:sz w:val="20"/>
        </w:rPr>
      </w:pPr>
      <w:r>
        <w:rPr>
          <w:rFonts w:ascii="Times New Roman;serif" w:hAnsi="Times New Roman;serif"/>
          <w:b w:val="false"/>
          <w:sz w:val="20"/>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w:t>
      </w:r>
      <w:r>
        <w:rPr>
          <w:rFonts w:ascii="Times New Roman" w:hAnsi="Times New Roman"/>
          <w:sz w:val="20"/>
        </w:rPr>
        <w:t xml:space="preserve"> </w:t>
      </w:r>
      <w:r>
        <w:rPr>
          <w:rFonts w:ascii="Times New Roman;serif" w:hAnsi="Times New Roman;serif"/>
          <w:b w:val="false"/>
          <w:sz w:val="20"/>
        </w:rPr>
        <w:t>million, which includes an allocation of Risk &amp; Broking goodwill, and was recognized as a loss on disposal of a business within Other income, net on our condensed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w:t>
      </w:r>
      <w:r>
        <w:rPr>
          <w:rFonts w:ascii="Times New Roman" w:hAnsi="Times New Roman"/>
          <w:sz w:val="20"/>
        </w:rPr>
        <w:t xml:space="preserve"> </w:t>
      </w:r>
      <w:r>
        <w:rPr>
          <w:rFonts w:ascii="Times New Roman;serif" w:hAnsi="Times New Roman;serif"/>
          <w:b w:val="false"/>
          <w:sz w:val="20"/>
        </w:rPr>
        <w:t>million recorded during the three months ended March 31, 2022 in Other operating expenses on our condensed consolidated statements of comprehensive income.</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Willis Re Divestiture</w:t>
      </w:r>
    </w:p>
    <w:p>
      <w:pPr>
        <w:pStyle w:val="TextBody"/>
        <w:spacing w:before="180" w:after="0"/>
        <w:jc w:val="left"/>
        <w:rPr>
          <w:rFonts w:ascii="Times New Roman" w:hAnsi="Times New Roman"/>
          <w:sz w:val="20"/>
        </w:rPr>
      </w:pPr>
      <w:r>
        <w:rPr>
          <w:rFonts w:ascii="Times New Roman;serif" w:hAnsi="Times New Roman;serif"/>
          <w:b w:val="false"/>
          <w:sz w:val="20"/>
        </w:rPr>
        <w:t>On August 13, 2021, the Company entered into a definitive agreement to sell its treaty-reinsurance business (‘Willis Re’) to Arthur J. Gallagher &amp; Co. (‘Gallagher’), a leading global provider of insurance, risk management and consulting services, for total upfront cash consideration of $3.25</w:t>
      </w:r>
      <w:r>
        <w:rPr>
          <w:rFonts w:ascii="Times New Roman" w:hAnsi="Times New Roman"/>
          <w:sz w:val="20"/>
        </w:rPr>
        <w:t xml:space="preserve"> </w:t>
      </w:r>
      <w:r>
        <w:rPr>
          <w:rFonts w:ascii="Times New Roman;serif" w:hAnsi="Times New Roman;serif"/>
          <w:b w:val="false"/>
          <w:sz w:val="20"/>
        </w:rPr>
        <w:t>billion plus an earnout payable in 2025 of up to $750</w:t>
      </w:r>
      <w:r>
        <w:rPr>
          <w:rFonts w:ascii="Times New Roman" w:hAnsi="Times New Roman"/>
          <w:sz w:val="20"/>
        </w:rPr>
        <w:t xml:space="preserve"> </w:t>
      </w:r>
      <w:r>
        <w:rPr>
          <w:rFonts w:ascii="Times New Roman;serif" w:hAnsi="Times New Roman;serif"/>
          <w:b w:val="false"/>
          <w:sz w:val="20"/>
        </w:rPr>
        <w:t>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w:t>
      </w:r>
      <w:r>
        <w:rPr>
          <w:rFonts w:ascii="Times New Roman" w:hAnsi="Times New Roman"/>
          <w:sz w:val="20"/>
        </w:rPr>
        <w:t xml:space="preserve"> </w:t>
      </w:r>
      <w:r>
        <w:rPr>
          <w:rFonts w:ascii="Times New Roman;serif" w:hAnsi="Times New Roman;serif"/>
          <w:b w:val="false"/>
          <w:sz w:val="20"/>
        </w:rPr>
        <w:t>billion upon completion of the sale in 2021, and during the second quarter of 2022, WTW recognized a $60</w:t>
      </w:r>
      <w:r>
        <w:rPr>
          <w:rFonts w:ascii="Times New Roman" w:hAnsi="Times New Roman"/>
          <w:sz w:val="20"/>
        </w:rPr>
        <w:t xml:space="preserve"> </w:t>
      </w:r>
      <w:r>
        <w:rPr>
          <w:rFonts w:ascii="Times New Roman;serif" w:hAnsi="Times New Roman;serif"/>
          <w:b w:val="false"/>
          <w:sz w:val="20"/>
        </w:rPr>
        <w:t>million reduction to the pre-tax gain related to an updated estimate of the working capital transferred upon disposal. The Company recognized the final allocation of the proceeds and related tax expense, as well as an adjustment of certain indemnities for the three months ended September 30, 2022. These amounts as well as the amounts payable with respect to the settled Deferred Closing businesses were remitted to Gallagher in October 2022. The remaining Deferred Closing business transferred during the fourth quarter of 2022, and all businesses have now been transferred to Gallagher. The gain is subject to tax in certain jurisdictions, mainly in the U.S., and is predominantly tax-exempt in the U.K.</w:t>
      </w:r>
    </w:p>
    <w:p>
      <w:pPr>
        <w:pStyle w:val="TextBody"/>
        <w:spacing w:before="180" w:after="0"/>
        <w:jc w:val="left"/>
        <w:rPr>
          <w:rFonts w:ascii="Times New Roman" w:hAnsi="Times New Roman"/>
          <w:sz w:val="20"/>
        </w:rPr>
      </w:pPr>
      <w:r>
        <w:rPr>
          <w:rFonts w:ascii="Times New Roman;serif" w:hAnsi="Times New Roman;serif"/>
          <w:b w:val="false"/>
          <w:sz w:val="20"/>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As noted above, the results of the Deferred Closing businesses following the Principal Closing until their respective Deferred Closing dates have been included in income from discontinued operations on the condensed consolidated statements of comprehensive income during 2022.</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will account for the earnout as a gain contingency and therefore did not record any receivables upon close. Rather, the earnout will be recognized in the Company’s condensed consolidated financial statements, if it is received, in 2025.</w:t>
      </w:r>
    </w:p>
    <w:p>
      <w:pPr>
        <w:pStyle w:val="TextBody"/>
        <w:spacing w:before="180" w:after="0"/>
        <w:jc w:val="left"/>
        <w:rPr>
          <w:rFonts w:ascii="Times New Roman" w:hAnsi="Times New Roman"/>
          <w:sz w:val="20"/>
        </w:rPr>
      </w:pPr>
      <w:r>
        <w:rPr>
          <w:rFonts w:ascii="Times New Roman;serif" w:hAnsi="Times New Roman;serif"/>
          <w:b w:val="false"/>
          <w:sz w:val="20"/>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w:t>
      </w:r>
      <w:r>
        <w:rPr>
          <w:rFonts w:ascii="Times New Roman" w:hAnsi="Times New Roman"/>
          <w:sz w:val="20"/>
        </w:rPr>
        <w:t xml:space="preserve"> </w:t>
      </w:r>
      <w:r>
        <w:rPr>
          <w:rFonts w:ascii="Times New Roman;serif" w:hAnsi="Times New Roman;serif"/>
          <w:b w:val="false"/>
          <w:sz w:val="20"/>
        </w:rPr>
        <w:t>from the Principal Closing. Fees earned under the TSA were $9</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selected financial information relates to the operations of Willis Re for the period presented:</w:t>
      </w:r>
    </w:p>
    <w:p>
      <w:pPr>
        <w:pStyle w:val="TextBody"/>
        <w:spacing w:before="0" w:after="0"/>
        <w:jc w:val="left"/>
        <w:rPr/>
      </w:pPr>
      <w:r>
        <w:rPr/>
        <w:t> </w:t>
      </w:r>
    </w:p>
    <w:tbl>
      <w:tblPr>
        <w:tblW w:w="6958" w:type="dxa"/>
        <w:jc w:val="left"/>
        <w:tblInd w:w="0" w:type="dxa"/>
        <w:tblCellMar>
          <w:top w:w="28" w:type="dxa"/>
          <w:left w:w="28" w:type="dxa"/>
          <w:bottom w:w="28" w:type="dxa"/>
          <w:right w:w="28" w:type="dxa"/>
        </w:tblCellMar>
      </w:tblPr>
      <w:tblGrid>
        <w:gridCol w:w="4816"/>
        <w:gridCol w:w="146"/>
        <w:gridCol w:w="606"/>
        <w:gridCol w:w="999"/>
        <w:gridCol w:w="391"/>
      </w:tblGrid>
      <w:tr>
        <w:trPr/>
        <w:tc>
          <w:tcPr>
            <w:tcW w:w="4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8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 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discontinued operations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shd w:fill="auto" w:val="cle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Salaries and benefits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firstLine="100"/>
              <w:jc w:val="left"/>
              <w:rPr/>
            </w:pPr>
            <w:r>
              <w:rPr/>
              <w:t> </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discontinued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shd w:fill="auto" w:val="clear"/>
            <w:vAlign w:val="center"/>
          </w:tcPr>
          <w:p>
            <w:pPr>
              <w:pStyle w:val="TableContents"/>
              <w:spacing w:before="0" w:after="0"/>
              <w:ind w:left="0" w:right="0" w:firstLine="100"/>
              <w:jc w:val="left"/>
              <w:rPr/>
            </w:pPr>
            <w:r>
              <w:rPr/>
              <w:t> </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Adjustment to gain on disposal of Willis Re</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8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payable to Gallagher on Deferred Closing</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pStyle w:val="TextBody"/>
        <w:spacing w:before="180" w:after="0"/>
        <w:jc w:val="left"/>
        <w:rPr>
          <w:rFonts w:ascii="Times New Roman" w:hAnsi="Times New Roman"/>
          <w:sz w:val="20"/>
        </w:rPr>
      </w:pPr>
      <w:r>
        <w:rPr>
          <w:rFonts w:ascii="Times New Roman;serif" w:hAnsi="Times New Roman;serif"/>
          <w:b w:val="false"/>
          <w:sz w:val="20"/>
        </w:rPr>
        <w:t>Certain amounts included in the condensed consolidated balance sheets did not transfer under the terms of the sale agreement, and instead will be settled by the Company. At March 31, 2023 and December 31, 2022, the amounts of significant assets and liabilities related to the Willis Re businesses which were not transferred in the sale are $3.8</w:t>
      </w:r>
      <w:r>
        <w:rPr>
          <w:rFonts w:ascii="Times New Roman" w:hAnsi="Times New Roman"/>
          <w:sz w:val="20"/>
        </w:rPr>
        <w:t xml:space="preserve"> </w:t>
      </w:r>
      <w:r>
        <w:rPr>
          <w:rFonts w:ascii="Times New Roman;serif" w:hAnsi="Times New Roman;serif"/>
          <w:b w:val="false"/>
          <w:sz w:val="20"/>
        </w:rPr>
        <w:t>billion and $3.2</w:t>
      </w:r>
      <w:r>
        <w:rPr>
          <w:rFonts w:ascii="Times New Roman" w:hAnsi="Times New Roman"/>
          <w:sz w:val="20"/>
        </w:rPr>
        <w:t xml:space="preserve"> </w:t>
      </w:r>
      <w:r>
        <w:rPr>
          <w:rFonts w:ascii="Times New Roman;serif" w:hAnsi="Times New Roman;serif"/>
          <w:b w:val="false"/>
          <w:sz w:val="20"/>
        </w:rPr>
        <w:t>billion of fiduciary assets and liabilities, $31</w:t>
      </w:r>
      <w:r>
        <w:rPr>
          <w:rFonts w:ascii="Times New Roman" w:hAnsi="Times New Roman"/>
          <w:sz w:val="20"/>
        </w:rPr>
        <w:t xml:space="preserve"> </w:t>
      </w:r>
      <w:r>
        <w:rPr>
          <w:rFonts w:ascii="Times New Roman;serif" w:hAnsi="Times New Roman;serif"/>
          <w:b w:val="false"/>
          <w:sz w:val="20"/>
        </w:rPr>
        <w:t>million and $29</w:t>
      </w:r>
      <w:r>
        <w:rPr>
          <w:rFonts w:ascii="Times New Roman" w:hAnsi="Times New Roman"/>
          <w:sz w:val="20"/>
        </w:rPr>
        <w:t xml:space="preserve"> </w:t>
      </w:r>
      <w:r>
        <w:rPr>
          <w:rFonts w:ascii="Times New Roman;serif" w:hAnsi="Times New Roman;serif"/>
          <w:b w:val="false"/>
          <w:sz w:val="20"/>
        </w:rPr>
        <w:t>million of accounts receivable and $78</w:t>
      </w:r>
      <w:r>
        <w:rPr>
          <w:rFonts w:ascii="Times New Roman" w:hAnsi="Times New Roman"/>
          <w:sz w:val="20"/>
        </w:rPr>
        <w:t xml:space="preserve"> </w:t>
      </w:r>
      <w:r>
        <w:rPr>
          <w:rFonts w:ascii="Times New Roman;serif" w:hAnsi="Times New Roman;serif"/>
          <w:b w:val="false"/>
          <w:sz w:val="20"/>
        </w:rPr>
        <w:t>million and $73</w:t>
      </w:r>
      <w:r>
        <w:rPr>
          <w:rFonts w:ascii="Times New Roman" w:hAnsi="Times New Roman"/>
          <w:sz w:val="20"/>
        </w:rPr>
        <w:t xml:space="preserve"> </w:t>
      </w:r>
      <w:r>
        <w:rPr>
          <w:rFonts w:ascii="Times New Roman;serif" w:hAnsi="Times New Roman;serif"/>
          <w:b w:val="false"/>
          <w:sz w:val="20"/>
        </w:rPr>
        <w:t>million of other current liabilities, respectively. These amounts will be settled over time.</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bookmarkStart w:id="27" w:name="wltw_20180630_10q_htm_s9db111f0d6ad520ba"/>
      <w:bookmarkEnd w:id="27"/>
      <w:r>
        <w:rPr>
          <w:rFonts w:ascii="Times New Roman;serif" w:hAnsi="Times New Roman;serif"/>
          <w:b/>
          <w:sz w:val="20"/>
        </w:rPr>
        <w:t>Note 4</w:t>
      </w:r>
      <w:r>
        <w:rPr>
          <w:rFonts w:ascii="Times New Roman" w:hAnsi="Times New Roman"/>
          <w:sz w:val="20"/>
        </w:rPr>
        <w:t xml:space="preserve"> — </w:t>
      </w:r>
      <w:r>
        <w:rPr>
          <w:rFonts w:ascii="Times New Roman;serif" w:hAnsi="Times New Roman;serif"/>
          <w:b/>
          <w:sz w:val="20"/>
        </w:rPr>
        <w:t>Revenue</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Disaggregation of Revenue</w:t>
      </w:r>
    </w:p>
    <w:p>
      <w:pPr>
        <w:pStyle w:val="TextBody"/>
        <w:spacing w:before="180" w:after="0"/>
        <w:jc w:val="left"/>
        <w:rPr>
          <w:rFonts w:ascii="Times New Roman" w:hAnsi="Times New Roman"/>
          <w:sz w:val="20"/>
        </w:rPr>
      </w:pPr>
      <w:r>
        <w:rPr>
          <w:rFonts w:ascii="Times New Roman;serif" w:hAnsi="Times New Roman;serif"/>
          <w:b w:val="false"/>
          <w:sz w:val="20"/>
        </w:rPr>
        <w:t xml:space="preserve">The Company reports revenue by segment in Note 5 </w:t>
      </w:r>
      <w:r>
        <w:rPr>
          <w:rFonts w:ascii="Times New Roman" w:hAnsi="Times New Roman"/>
          <w:sz w:val="20"/>
        </w:rPr>
        <w:t xml:space="preserve">— </w:t>
      </w:r>
      <w:r>
        <w:rPr>
          <w:rFonts w:ascii="Times New Roman;serif" w:hAnsi="Times New Roman;serif"/>
          <w:b w:val="false"/>
          <w:sz w:val="20"/>
        </w:rPr>
        <w:t xml:space="preserve">Segment Information. The following table presents revenue by service offering and segment, as well as reconciliations to total revenue for the three months ended March 31, 2023 and 2022. Along with reimbursable expenses and other, total revenue by service offering represents our revenue from customer contracts.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68"/>
        <w:gridCol w:w="146"/>
        <w:gridCol w:w="196"/>
        <w:gridCol w:w="511"/>
        <w:gridCol w:w="146"/>
        <w:gridCol w:w="146"/>
        <w:gridCol w:w="196"/>
        <w:gridCol w:w="511"/>
        <w:gridCol w:w="146"/>
        <w:gridCol w:w="146"/>
        <w:gridCol w:w="196"/>
        <w:gridCol w:w="376"/>
        <w:gridCol w:w="146"/>
        <w:gridCol w:w="146"/>
        <w:gridCol w:w="196"/>
        <w:gridCol w:w="376"/>
        <w:gridCol w:w="146"/>
        <w:gridCol w:w="146"/>
        <w:gridCol w:w="196"/>
        <w:gridCol w:w="346"/>
        <w:gridCol w:w="146"/>
        <w:gridCol w:w="146"/>
        <w:gridCol w:w="196"/>
        <w:gridCol w:w="346"/>
        <w:gridCol w:w="146"/>
        <w:gridCol w:w="146"/>
        <w:gridCol w:w="196"/>
        <w:gridCol w:w="511"/>
        <w:gridCol w:w="146"/>
        <w:gridCol w:w="146"/>
        <w:gridCol w:w="196"/>
        <w:gridCol w:w="511"/>
        <w:gridCol w:w="191"/>
      </w:tblGrid>
      <w:tr>
        <w:trPr/>
        <w:tc>
          <w:tcPr>
            <w:tcW w:w="27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00"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Corporate </w:t>
            </w:r>
            <w:r>
              <w:rPr>
                <w:rFonts w:ascii="Times New Roman;serif" w:hAnsi="Times New Roman;serif"/>
                <w:b/>
                <w:sz w:val="11"/>
              </w:rPr>
              <w:t>(i)</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Broking</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971</w:t>
            </w:r>
          </w:p>
        </w:tc>
        <w:tc>
          <w:tcPr>
            <w:tcW w:w="191" w:type="dxa"/>
            <w:tcBorders/>
            <w:shd w:fill="auto" w:val="cle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Consulting</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759</w:t>
            </w:r>
          </w:p>
        </w:tc>
        <w:tc>
          <w:tcPr>
            <w:tcW w:w="191" w:type="dxa"/>
            <w:tcBorders/>
            <w:shd w:fill="auto" w:val="cle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Outsourced administration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277</w:t>
            </w:r>
          </w:p>
        </w:tc>
        <w:tc>
          <w:tcPr>
            <w:tcW w:w="191" w:type="dxa"/>
            <w:tcBorders/>
            <w:shd w:fill="auto" w:val="cle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revenue by service offering</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2,132</w:t>
            </w:r>
          </w:p>
        </w:tc>
        <w:tc>
          <w:tcPr>
            <w:tcW w:w="191" w:type="dxa"/>
            <w:tcBorders/>
            <w:shd w:fill="auto" w:val="cle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Reimbursable expenses and other </w:t>
            </w:r>
            <w:r>
              <w:rPr>
                <w:rFonts w:ascii="Times New Roman;serif" w:hAnsi="Times New Roman;serif"/>
                <w:b w:val="false"/>
                <w:sz w:val="8"/>
              </w:rPr>
              <w:t>(i)</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revenue from customer contracts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2,150</w:t>
            </w:r>
          </w:p>
        </w:tc>
        <w:tc>
          <w:tcPr>
            <w:tcW w:w="191" w:type="dxa"/>
            <w:tcBorders/>
            <w:shd w:fill="auto" w:val="cle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Interest and other income is included in segment revenue and total revenue, however it has been presented separately in the above table because it does not arise directly from contracts with customers. The significant components of interest and other income are as follows:</w:t>
      </w:r>
    </w:p>
    <w:p>
      <w:pPr>
        <w:pStyle w:val="TextBody"/>
        <w:spacing w:before="0" w:after="0"/>
        <w:jc w:val="left"/>
        <w:rPr/>
      </w:pPr>
      <w:r>
        <w:rPr/>
        <w:t> </w:t>
      </w:r>
    </w:p>
    <w:tbl>
      <w:tblPr>
        <w:tblW w:w="8802" w:type="dxa"/>
        <w:jc w:val="left"/>
        <w:tblInd w:w="0" w:type="dxa"/>
        <w:tblCellMar>
          <w:top w:w="28" w:type="dxa"/>
          <w:left w:w="28" w:type="dxa"/>
          <w:bottom w:w="28" w:type="dxa"/>
          <w:right w:w="28" w:type="dxa"/>
        </w:tblCellMar>
      </w:tblPr>
      <w:tblGrid>
        <w:gridCol w:w="2281"/>
        <w:gridCol w:w="146"/>
        <w:gridCol w:w="196"/>
        <w:gridCol w:w="346"/>
        <w:gridCol w:w="146"/>
        <w:gridCol w:w="146"/>
        <w:gridCol w:w="233"/>
        <w:gridCol w:w="233"/>
        <w:gridCol w:w="146"/>
        <w:gridCol w:w="146"/>
        <w:gridCol w:w="196"/>
        <w:gridCol w:w="346"/>
        <w:gridCol w:w="146"/>
        <w:gridCol w:w="146"/>
        <w:gridCol w:w="196"/>
        <w:gridCol w:w="346"/>
        <w:gridCol w:w="146"/>
        <w:gridCol w:w="146"/>
        <w:gridCol w:w="196"/>
        <w:gridCol w:w="346"/>
        <w:gridCol w:w="146"/>
        <w:gridCol w:w="146"/>
        <w:gridCol w:w="196"/>
        <w:gridCol w:w="346"/>
        <w:gridCol w:w="146"/>
        <w:gridCol w:w="146"/>
        <w:gridCol w:w="196"/>
        <w:gridCol w:w="286"/>
        <w:gridCol w:w="146"/>
        <w:gridCol w:w="146"/>
        <w:gridCol w:w="196"/>
        <w:gridCol w:w="286"/>
        <w:gridCol w:w="1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84"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Book-of-business settlements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other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 xml:space="preserve">The following table presents revenue from service offerings by the geography where our work was performed for the three months ended March 31, 2023 and 2022. The reconciliation to total revenue on our condensed consolidated statements of comprehensive income and to segment revenue is shown in the table above. </w:t>
      </w:r>
    </w:p>
    <w:p>
      <w:pPr>
        <w:pStyle w:val="TextBody"/>
        <w:spacing w:before="0" w:after="0"/>
        <w:jc w:val="left"/>
        <w:rPr/>
      </w:pPr>
      <w:r>
        <w:rPr/>
        <w:t> </w:t>
      </w:r>
    </w:p>
    <w:tbl>
      <w:tblPr>
        <w:tblW w:w="9462" w:type="dxa"/>
        <w:jc w:val="left"/>
        <w:tblInd w:w="0" w:type="dxa"/>
        <w:tblCellMar>
          <w:top w:w="28" w:type="dxa"/>
          <w:left w:w="28" w:type="dxa"/>
          <w:bottom w:w="28" w:type="dxa"/>
          <w:right w:w="28" w:type="dxa"/>
        </w:tblCellMar>
      </w:tblPr>
      <w:tblGrid>
        <w:gridCol w:w="2101"/>
        <w:gridCol w:w="146"/>
        <w:gridCol w:w="196"/>
        <w:gridCol w:w="511"/>
        <w:gridCol w:w="146"/>
        <w:gridCol w:w="146"/>
        <w:gridCol w:w="196"/>
        <w:gridCol w:w="511"/>
        <w:gridCol w:w="146"/>
        <w:gridCol w:w="146"/>
        <w:gridCol w:w="196"/>
        <w:gridCol w:w="376"/>
        <w:gridCol w:w="146"/>
        <w:gridCol w:w="146"/>
        <w:gridCol w:w="196"/>
        <w:gridCol w:w="376"/>
        <w:gridCol w:w="146"/>
        <w:gridCol w:w="146"/>
        <w:gridCol w:w="233"/>
        <w:gridCol w:w="233"/>
        <w:gridCol w:w="146"/>
        <w:gridCol w:w="146"/>
        <w:gridCol w:w="196"/>
        <w:gridCol w:w="346"/>
        <w:gridCol w:w="146"/>
        <w:gridCol w:w="146"/>
        <w:gridCol w:w="196"/>
        <w:gridCol w:w="511"/>
        <w:gridCol w:w="146"/>
        <w:gridCol w:w="146"/>
        <w:gridCol w:w="196"/>
        <w:gridCol w:w="511"/>
        <w:gridCol w:w="19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24"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North America</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1,058</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Europe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837</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International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revenue by geography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Contract Balances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March 31, 2023 and December 31,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732"/>
        <w:gridCol w:w="146"/>
        <w:gridCol w:w="326"/>
        <w:gridCol w:w="884"/>
        <w:gridCol w:w="146"/>
        <w:gridCol w:w="146"/>
        <w:gridCol w:w="384"/>
        <w:gridCol w:w="1047"/>
        <w:gridCol w:w="394"/>
      </w:tblGrid>
      <w:tr>
        <w:trPr/>
        <w:tc>
          <w:tcPr>
            <w:tcW w:w="6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673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3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Billed receivables, net of allowance for doubtful accounts of $44</w:t>
            </w:r>
            <w:r>
              <w:rPr>
                <w:rFonts w:ascii="Times New Roman" w:hAnsi="Times New Roman"/>
                <w:sz w:val="20"/>
              </w:rPr>
              <w:t> </w:t>
            </w:r>
            <w:r>
              <w:rPr>
                <w:rFonts w:ascii="Times New Roman;serif" w:hAnsi="Times New Roman;serif"/>
                <w:b w:val="false"/>
                <w:sz w:val="20"/>
              </w:rPr>
              <w:t>million and $46</w:t>
            </w:r>
            <w:r>
              <w:rPr>
                <w:rFonts w:ascii="Times New Roman" w:hAnsi="Times New Roman"/>
                <w:sz w:val="20"/>
              </w:rPr>
              <w:t> </w:t>
            </w:r>
            <w:r>
              <w:rPr>
                <w:rFonts w:ascii="Times New Roman;serif" w:hAnsi="Times New Roman;serif"/>
                <w:b w:val="false"/>
                <w:sz w:val="20"/>
              </w:rPr>
              <w:t>million</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1,464</w:t>
            </w:r>
          </w:p>
        </w:tc>
        <w:tc>
          <w:tcPr>
            <w:tcW w:w="394" w:type="dxa"/>
            <w:tcBorders/>
            <w:shd w:fill="auto" w:val="clear"/>
            <w:vAlign w:val="center"/>
          </w:tcPr>
          <w:p>
            <w:pPr>
              <w:pStyle w:val="TableContents"/>
              <w:spacing w:before="0" w:after="0"/>
              <w:ind w:left="0" w:right="0" w:hanging="0"/>
              <w:jc w:val="left"/>
              <w:rPr/>
            </w:pPr>
            <w:r>
              <w:rPr/>
              <w:t> </w:t>
            </w:r>
          </w:p>
        </w:tc>
      </w:tr>
      <w:tr>
        <w:trPr/>
        <w:tc>
          <w:tcPr>
            <w:tcW w:w="6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shd w:fill="auto" w:val="clear"/>
            <w:vAlign w:val="center"/>
          </w:tcPr>
          <w:p>
            <w:pPr>
              <w:pStyle w:val="TableContents"/>
              <w:spacing w:before="0" w:after="0"/>
              <w:ind w:left="0" w:right="0" w:hanging="0"/>
              <w:jc w:val="left"/>
              <w:rPr/>
            </w:pPr>
            <w:r>
              <w:rPr/>
              <w:t> </w:t>
            </w:r>
          </w:p>
        </w:tc>
        <w:tc>
          <w:tcPr>
            <w:tcW w:w="8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w:t>
            </w:r>
          </w:p>
        </w:tc>
        <w:tc>
          <w:tcPr>
            <w:tcW w:w="394" w:type="dxa"/>
            <w:tcBorders/>
            <w:shd w:fill="auto" w:val="clear"/>
            <w:vAlign w:val="center"/>
          </w:tcPr>
          <w:p>
            <w:pPr>
              <w:pStyle w:val="TableContents"/>
              <w:spacing w:before="0" w:after="0"/>
              <w:ind w:left="0" w:right="0" w:hanging="0"/>
              <w:jc w:val="left"/>
              <w:rPr/>
            </w:pPr>
            <w:r>
              <w:rPr/>
              <w:t> </w:t>
            </w:r>
          </w:p>
        </w:tc>
      </w:tr>
      <w:tr>
        <w:trPr/>
        <w:tc>
          <w:tcPr>
            <w:tcW w:w="6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contract assets</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73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2,387</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contract assets</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745</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revenue of approximately $327</w:t>
      </w:r>
      <w:r>
        <w:rPr>
          <w:rFonts w:ascii="Times New Roman" w:hAnsi="Times New Roman"/>
          <w:sz w:val="20"/>
        </w:rPr>
        <w:t xml:space="preserve"> </w:t>
      </w:r>
      <w:r>
        <w:rPr>
          <w:rFonts w:ascii="Times New Roman;serif" w:hAnsi="Times New Roman;serif"/>
          <w:b w:val="false"/>
          <w:sz w:val="20"/>
        </w:rPr>
        <w:t>million was recognized that was reflected as deferred revenue at December 31, 2022.</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During the three months ended March 31, 2023, the Company recognized revenue of approximately $4</w:t>
      </w:r>
      <w:r>
        <w:rPr>
          <w:rFonts w:ascii="Times New Roman" w:hAnsi="Times New Roman"/>
          <w:sz w:val="20"/>
        </w:rPr>
        <w:t xml:space="preserve"> </w:t>
      </w:r>
      <w:r>
        <w:rPr>
          <w:rFonts w:ascii="Times New Roman;serif" w:hAnsi="Times New Roman;serif"/>
          <w:b w:val="false"/>
          <w:sz w:val="20"/>
        </w:rPr>
        <w:t>million related to performance obligations satisfied in a prior period.</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Performance Obligations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has contracts for which performance obligations have not been satisfied as of March 31, 2023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pStyle w:val="TextBody"/>
        <w:spacing w:before="180" w:after="0"/>
        <w:jc w:val="left"/>
        <w:rPr>
          <w:rFonts w:ascii="Times New Roman" w:hAnsi="Times New Roman"/>
          <w:sz w:val="20"/>
        </w:rPr>
      </w:pPr>
      <w:r>
        <w:rPr>
          <w:rFonts w:ascii="Times New Roman;serif" w:hAnsi="Times New Roman;serif"/>
          <w:b w:val="false"/>
          <w:sz w:val="20"/>
        </w:rPr>
        <w:t xml:space="preserve">In addition, in accordance with ASC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(‘ASC 606’), the Company has elected not to disclose the remaining performance obligations when one or both of the following circumstances apply: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Performance obligations which are part of a contract that has an original expected duration of less than one year,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Performance obligations satisfied in accordance with ASC 606-10-55-18 (‘right to invoice’).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150"/>
        <w:gridCol w:w="146"/>
        <w:gridCol w:w="471"/>
        <w:gridCol w:w="946"/>
        <w:gridCol w:w="146"/>
        <w:gridCol w:w="146"/>
        <w:gridCol w:w="211"/>
        <w:gridCol w:w="421"/>
        <w:gridCol w:w="146"/>
        <w:gridCol w:w="146"/>
        <w:gridCol w:w="335"/>
        <w:gridCol w:w="674"/>
        <w:gridCol w:w="146"/>
        <w:gridCol w:w="146"/>
        <w:gridCol w:w="211"/>
        <w:gridCol w:w="571"/>
        <w:gridCol w:w="193"/>
      </w:tblGrid>
      <w:tr>
        <w:trPr/>
        <w:tc>
          <w:tcPr>
            <w:tcW w:w="51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515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Remainder of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2025 onward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expected to be recognized on contracts as of March 31, 2023</w:t>
            </w:r>
          </w:p>
        </w:tc>
        <w:tc>
          <w:tcPr>
            <w:tcW w:w="146" w:type="dxa"/>
            <w:tcBorders/>
            <w:shd w:fill="auto" w:val="clear"/>
            <w:vAlign w:val="center"/>
          </w:tcPr>
          <w:p>
            <w:pPr>
              <w:pStyle w:val="TableContents"/>
              <w:spacing w:before="0" w:after="0"/>
              <w:ind w:left="0" w:right="0" w:hanging="0"/>
              <w:jc w:val="left"/>
              <w:rPr/>
            </w:pPr>
            <w:r>
              <w:rPr/>
              <w:t> </w:t>
            </w:r>
          </w:p>
        </w:tc>
        <w:tc>
          <w:tcPr>
            <w:tcW w:w="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1,728</w:t>
            </w:r>
          </w:p>
        </w:tc>
        <w:tc>
          <w:tcPr>
            <w:tcW w:w="193"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Since most of the Company’s contracts are cancellable with less than one year’s notice and have no substantive penalty for cancellation, the majority of the Company’s remaining performance obligations as of March 31, 2023</w:t>
      </w:r>
      <w:r>
        <w:rPr>
          <w:rFonts w:ascii="Times New Roman" w:hAnsi="Times New Roman"/>
          <w:sz w:val="20"/>
        </w:rPr>
        <w:t xml:space="preserve"> </w:t>
      </w:r>
      <w:r>
        <w:rPr>
          <w:rFonts w:ascii="Times New Roman;serif" w:hAnsi="Times New Roman;serif"/>
          <w:b w:val="false"/>
          <w:sz w:val="20"/>
        </w:rPr>
        <w:t>have been excluded from the table above.</w:t>
      </w:r>
    </w:p>
    <w:p>
      <w:pPr>
        <w:pStyle w:val="TextBody"/>
        <w:spacing w:before="0" w:after="0"/>
        <w:jc w:val="left"/>
        <w:rPr/>
      </w:pPr>
      <w:r>
        <w:rPr/>
        <w:t> </w:t>
      </w:r>
    </w:p>
    <w:p>
      <w:pPr>
        <w:pStyle w:val="TextBody"/>
        <w:spacing w:before="0" w:after="0"/>
        <w:jc w:val="left"/>
        <w:rPr>
          <w:rFonts w:ascii="Times New Roman" w:hAnsi="Times New Roman"/>
          <w:sz w:val="20"/>
        </w:rPr>
      </w:pPr>
      <w:bookmarkStart w:id="28" w:name="wltw_20180630_10q_htm_s7293a10643c65ae68"/>
      <w:bookmarkEnd w:id="28"/>
      <w:r>
        <w:rPr>
          <w:rFonts w:ascii="Times New Roman;serif" w:hAnsi="Times New Roman;serif"/>
          <w:b/>
          <w:sz w:val="20"/>
        </w:rPr>
        <w:t>Note 5</w:t>
      </w:r>
      <w:r>
        <w:rPr>
          <w:rFonts w:ascii="Times New Roman" w:hAnsi="Times New Roman"/>
          <w:sz w:val="20"/>
        </w:rPr>
        <w:t xml:space="preserve"> — </w:t>
      </w:r>
      <w:r>
        <w:rPr>
          <w:rFonts w:ascii="Times New Roman;serif" w:hAnsi="Times New Roman;serif"/>
          <w:b/>
          <w:sz w:val="20"/>
        </w:rPr>
        <w:t>Segment Information</w:t>
      </w:r>
    </w:p>
    <w:p>
      <w:pPr>
        <w:pStyle w:val="TextBody"/>
        <w:spacing w:before="180" w:after="0"/>
        <w:jc w:val="left"/>
        <w:rPr>
          <w:rFonts w:ascii="Times New Roman" w:hAnsi="Times New Roman"/>
          <w:sz w:val="20"/>
        </w:rPr>
      </w:pPr>
      <w:r>
        <w:rPr>
          <w:rFonts w:ascii="Times New Roman;serif" w:hAnsi="Times New Roman;serif"/>
          <w:b w:val="false"/>
          <w:sz w:val="20"/>
        </w:rPr>
        <w:t>WTW has two</w:t>
      </w:r>
      <w:r>
        <w:rPr>
          <w:rFonts w:ascii="Times New Roman" w:hAnsi="Times New Roman"/>
          <w:sz w:val="20"/>
        </w:rPr>
        <w:t xml:space="preserve"> </w:t>
      </w:r>
      <w:r>
        <w:rPr>
          <w:rFonts w:ascii="Times New Roman;serif" w:hAnsi="Times New Roman;serif"/>
          <w:b w:val="false"/>
          <w:sz w:val="20"/>
        </w:rPr>
        <w:t>reportable operating segments or business areas: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Health, Wealth &amp; Career (‘HWC’);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Risk &amp; Broking (‘R&amp;B’).</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experiences seasonal fluctuations of its revenue. Revenue is typically higher during the Company’s first and fourth quarters due primarily to the timing of broking-related activities.</w:t>
      </w:r>
    </w:p>
    <w:p>
      <w:pPr>
        <w:pStyle w:val="TextBody"/>
        <w:spacing w:before="180" w:after="0"/>
        <w:jc w:val="left"/>
        <w:rPr>
          <w:rFonts w:ascii="Times New Roman" w:hAnsi="Times New Roman"/>
          <w:sz w:val="20"/>
        </w:rPr>
      </w:pPr>
      <w:r>
        <w:rPr>
          <w:rFonts w:ascii="Times New Roman;serif" w:hAnsi="Times New Roman;serif"/>
          <w:b w:val="false"/>
          <w:sz w:val="20"/>
        </w:rPr>
        <w:t>The following table presents segment revenue and segment operating income for our reportable segments for the three months ended March 31, 2023 and 2022.</w:t>
      </w:r>
      <w:r>
        <w:rPr>
          <w:rFonts w:ascii="Times New Roman" w:hAnsi="Times New Roman"/>
          <w:sz w:val="20"/>
        </w:rPr>
        <w:t xml:space="preserve"> </w:t>
      </w:r>
    </w:p>
    <w:p>
      <w:pPr>
        <w:pStyle w:val="TextBody"/>
        <w:spacing w:before="0" w:after="0"/>
        <w:jc w:val="left"/>
        <w:rPr/>
      </w:pPr>
      <w:r>
        <w:rPr/>
        <w:t> </w:t>
      </w:r>
    </w:p>
    <w:tbl>
      <w:tblPr>
        <w:tblW w:w="8485" w:type="dxa"/>
        <w:jc w:val="left"/>
        <w:tblInd w:w="0" w:type="dxa"/>
        <w:tblCellMar>
          <w:top w:w="28" w:type="dxa"/>
          <w:left w:w="28" w:type="dxa"/>
          <w:bottom w:w="28" w:type="dxa"/>
          <w:right w:w="28" w:type="dxa"/>
        </w:tblCellMar>
      </w:tblPr>
      <w:tblGrid>
        <w:gridCol w:w="2296"/>
        <w:gridCol w:w="146"/>
        <w:gridCol w:w="211"/>
        <w:gridCol w:w="571"/>
        <w:gridCol w:w="146"/>
        <w:gridCol w:w="146"/>
        <w:gridCol w:w="211"/>
        <w:gridCol w:w="571"/>
        <w:gridCol w:w="146"/>
        <w:gridCol w:w="146"/>
        <w:gridCol w:w="211"/>
        <w:gridCol w:w="421"/>
        <w:gridCol w:w="146"/>
        <w:gridCol w:w="146"/>
        <w:gridCol w:w="211"/>
        <w:gridCol w:w="421"/>
        <w:gridCol w:w="146"/>
        <w:gridCol w:w="146"/>
        <w:gridCol w:w="211"/>
        <w:gridCol w:w="571"/>
        <w:gridCol w:w="146"/>
        <w:gridCol w:w="146"/>
        <w:gridCol w:w="211"/>
        <w:gridCol w:w="571"/>
        <w:gridCol w:w="191"/>
      </w:tblGrid>
      <w:tr>
        <w:trPr/>
        <w:tc>
          <w:tcPr>
            <w:tcW w:w="2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5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presents reconciliations of the information reported by segment to the Company’s condensed consolidated statements of comprehensive income amounts reported for the three months ended March 31, 2023 and 2022.</w:t>
      </w:r>
      <w:r>
        <w:rPr>
          <w:rFonts w:ascii="Times New Roman" w:hAnsi="Times New Roman"/>
          <w:sz w:val="20"/>
        </w:rPr>
        <w:t xml:space="preserve"> </w:t>
      </w:r>
    </w:p>
    <w:p>
      <w:pPr>
        <w:pStyle w:val="TextBody"/>
        <w:spacing w:before="0" w:after="0"/>
        <w:jc w:val="left"/>
        <w:rPr/>
      </w:pPr>
      <w:r>
        <w:rPr/>
        <w:t> </w:t>
      </w:r>
    </w:p>
    <w:tbl>
      <w:tblPr>
        <w:tblW w:w="7084" w:type="dxa"/>
        <w:jc w:val="left"/>
        <w:tblInd w:w="0" w:type="dxa"/>
        <w:tblCellMar>
          <w:top w:w="28" w:type="dxa"/>
          <w:left w:w="28" w:type="dxa"/>
          <w:bottom w:w="28" w:type="dxa"/>
          <w:right w:w="28" w:type="dxa"/>
        </w:tblCellMar>
      </w:tblPr>
      <w:tblGrid>
        <w:gridCol w:w="4651"/>
        <w:gridCol w:w="146"/>
        <w:gridCol w:w="211"/>
        <w:gridCol w:w="571"/>
        <w:gridCol w:w="166"/>
        <w:gridCol w:w="146"/>
        <w:gridCol w:w="211"/>
        <w:gridCol w:w="571"/>
        <w:gridCol w:w="411"/>
      </w:tblGrid>
      <w:tr>
        <w:trPr/>
        <w:tc>
          <w:tcPr>
            <w:tcW w:w="4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segment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2,135</w:t>
            </w:r>
          </w:p>
        </w:tc>
        <w:tc>
          <w:tcPr>
            <w:tcW w:w="41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Reimbursable expenses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segment operating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41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Impairment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Restructuring costs </w:t>
            </w:r>
            <w:r>
              <w:rPr>
                <w:rFonts w:ascii="Times New Roman;serif" w:hAnsi="Times New Roman;serif"/>
                <w:b w:val="false"/>
                <w:sz w:val="13"/>
              </w:rPr>
              <w:t>(ii)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Transaction and transformation </w:t>
            </w:r>
            <w:r>
              <w:rPr>
                <w:rFonts w:ascii="Times New Roman;serif" w:hAnsi="Times New Roman;serif"/>
                <w:b w:val="false"/>
                <w:sz w:val="13"/>
              </w:rPr>
              <w:t>(iii)</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Unallocated, net </w:t>
            </w:r>
            <w:r>
              <w:rPr>
                <w:rFonts w:ascii="Times New Roman;serif" w:hAnsi="Times New Roman;serif"/>
                <w:b w:val="false"/>
                <w:sz w:val="13"/>
              </w:rPr>
              <w:t>(iv)</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411" w:type="dxa"/>
            <w:tcBorders/>
            <w:shd w:fill="auto" w:val="cle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Represents the impairment related to the net assets of our Russian business that are held outside of our Russian entities (see Note 3 — Acquisitions and Divestitures for further information).</w:t>
      </w:r>
    </w:p>
    <w:p>
      <w:pPr>
        <w:pStyle w:val="TextBody"/>
        <w:spacing w:before="40" w:after="0"/>
        <w:jc w:val="left"/>
        <w:rPr>
          <w:rFonts w:ascii="Times New Roman" w:hAnsi="Times New Roman"/>
          <w:b w:val="false"/>
          <w:sz w:val="16"/>
        </w:rPr>
      </w:pPr>
      <w:r>
        <w:rPr>
          <w:rFonts w:ascii="Times New Roman" w:hAnsi="Times New Roman"/>
          <w:b w:val="false"/>
          <w:sz w:val="16"/>
        </w:rPr>
        <w:t>(ii)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See Note 6 — Restructuring Costs for the composition of costs for 2023 and 2022.</w:t>
      </w:r>
    </w:p>
    <w:p>
      <w:pPr>
        <w:pStyle w:val="TextBody"/>
        <w:spacing w:before="40" w:after="0"/>
        <w:jc w:val="left"/>
        <w:rPr>
          <w:rFonts w:ascii="Times New Roman" w:hAnsi="Times New Roman"/>
          <w:b w:val="false"/>
          <w:sz w:val="16"/>
        </w:rPr>
      </w:pPr>
      <w:r>
        <w:rPr>
          <w:rFonts w:ascii="Times New Roman" w:hAnsi="Times New Roman"/>
          <w:b w:val="false"/>
          <w:sz w:val="16"/>
        </w:rPr>
        <w:t>(iii)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In 2023 and 2022, in addition to legal fees and other transaction costs, includes primarily consulting fees related to the Transformation program (see Note 6 — Restructuring Costs).</w:t>
      </w:r>
    </w:p>
    <w:p>
      <w:pPr>
        <w:pStyle w:val="TextBody"/>
        <w:spacing w:before="40" w:after="0"/>
        <w:jc w:val="left"/>
        <w:rPr>
          <w:rFonts w:ascii="Times New Roman" w:hAnsi="Times New Roman"/>
          <w:b w:val="false"/>
          <w:sz w:val="16"/>
        </w:rPr>
      </w:pPr>
      <w:r>
        <w:rPr>
          <w:rFonts w:ascii="Times New Roman" w:hAnsi="Times New Roman"/>
          <w:b w:val="false"/>
          <w:sz w:val="16"/>
        </w:rPr>
        <w:t>(iv)</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does not currently provide asset information by reportable segment as it does not routinely evaluate the total asset position by segment.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Note 6</w:t>
      </w:r>
      <w:r>
        <w:rPr>
          <w:rFonts w:ascii="Times New Roman" w:hAnsi="Times New Roman"/>
          <w:sz w:val="20"/>
        </w:rPr>
        <w:t xml:space="preserve"> — </w:t>
      </w:r>
      <w:r>
        <w:rPr>
          <w:rFonts w:ascii="Times New Roman;serif" w:hAnsi="Times New Roman;serif"/>
          <w:b/>
          <w:sz w:val="20"/>
        </w:rPr>
        <w:t>Restructuring Costs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the fourth quarter of 2021, the Company initiated a three-year ‘Transformation program’ designed to enhance operations, optimize technology and align its real estate footprint to its new ways of working. During the third quarter of 2022, we revised the expected costs and savings under the program and we now expect the program to generate annual cost savings in excess of $360</w:t>
      </w:r>
      <w:r>
        <w:rPr>
          <w:rFonts w:ascii="Times New Roman" w:hAnsi="Times New Roman"/>
          <w:sz w:val="20"/>
        </w:rPr>
        <w:t xml:space="preserve"> </w:t>
      </w:r>
      <w:r>
        <w:rPr>
          <w:rFonts w:ascii="Times New Roman;serif" w:hAnsi="Times New Roman;serif"/>
          <w:b w:val="false"/>
          <w:sz w:val="20"/>
        </w:rPr>
        <w:t>million by the end of 2024. The program is expected to incur cumulative costs of approximately $630</w:t>
      </w:r>
      <w:r>
        <w:rPr>
          <w:rFonts w:ascii="Times New Roman" w:hAnsi="Times New Roman"/>
          <w:sz w:val="20"/>
        </w:rPr>
        <w:t xml:space="preserve"> </w:t>
      </w:r>
      <w:r>
        <w:rPr>
          <w:rFonts w:ascii="Times New Roman;serif" w:hAnsi="Times New Roman;serif"/>
          <w:b w:val="false"/>
          <w:sz w:val="20"/>
        </w:rPr>
        <w:t>million and capital expenditures of approximately $270</w:t>
      </w:r>
      <w:r>
        <w:rPr>
          <w:rFonts w:ascii="Times New Roman" w:hAnsi="Times New Roman"/>
          <w:sz w:val="20"/>
        </w:rPr>
        <w:t xml:space="preserve"> </w:t>
      </w:r>
      <w:r>
        <w:rPr>
          <w:rFonts w:ascii="Times New Roman;serif" w:hAnsi="Times New Roman;serif"/>
          <w:b w:val="false"/>
          <w:sz w:val="20"/>
        </w:rPr>
        <w:t>million, for a total investment of $900</w:t>
      </w:r>
      <w:r>
        <w:rPr>
          <w:rFonts w:ascii="Times New Roman" w:hAnsi="Times New Roman"/>
          <w:sz w:val="20"/>
        </w:rPr>
        <w:t xml:space="preserve"> </w:t>
      </w:r>
      <w:r>
        <w:rPr>
          <w:rFonts w:ascii="Times New Roman;serif" w:hAnsi="Times New Roman;serif"/>
          <w:b w:val="false"/>
          <w:sz w:val="20"/>
        </w:rPr>
        <w:t>million. The main categories of charges will be in the following four areas: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Real estate rationalization — includes costs to align the real estate footprint to the new ways of working (hybrid work) and includes breakage fees and the impairment of right-of-use (‘ROU’) assets and other related leasehold assets.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 other costs not included above including fees for professional services, other contract terminations not related to the above categories and supplier migration costs.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Certain costs under the Transformation program are accounted for under ASC 420, </w:t>
      </w:r>
      <w:r>
        <w:rPr>
          <w:rFonts w:ascii="Times New Roman;serif" w:hAnsi="Times New Roman;serif"/>
          <w:b w:val="false"/>
          <w:i/>
          <w:sz w:val="20"/>
        </w:rPr>
        <w:t xml:space="preserve">Exit or Disposal Cost Obligation, </w:t>
      </w:r>
      <w:r>
        <w:rPr>
          <w:rFonts w:ascii="Times New Roman;serif" w:hAnsi="Times New Roman;serif"/>
          <w:b w:val="false"/>
          <w:sz w:val="20"/>
        </w:rPr>
        <w:t>and are included as restructuring costs in the condensed consolidated statements of comprehensive income. Other costs incurred under the Transformation program are included in transaction and transformation and were $45</w:t>
      </w:r>
      <w:r>
        <w:rPr>
          <w:rFonts w:ascii="Times New Roman" w:hAnsi="Times New Roman"/>
          <w:sz w:val="20"/>
        </w:rPr>
        <w:t xml:space="preserve"> </w:t>
      </w:r>
      <w:r>
        <w:rPr>
          <w:rFonts w:ascii="Times New Roman;serif" w:hAnsi="Times New Roman;serif"/>
          <w:b w:val="false"/>
          <w:sz w:val="20"/>
        </w:rPr>
        <w:t>million and $5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An analysis of total restructuring costs incurred under the Transformation program by category and by segment and corporate functions, from commencement to</w:t>
      </w:r>
      <w:r>
        <w:rPr>
          <w:rFonts w:ascii="Times New Roman;serif" w:hAnsi="Times New Roman;serif"/>
          <w:sz w:val="20"/>
        </w:rPr>
        <w:t xml:space="preserve"> </w:t>
      </w:r>
      <w:r>
        <w:rPr>
          <w:rFonts w:ascii="Times New Roman;serif" w:hAnsi="Times New Roman;serif"/>
          <w:b w:val="false"/>
          <w:sz w:val="20"/>
        </w:rPr>
        <w:t>March 31, 2023, is as follows:</w:t>
      </w:r>
    </w:p>
    <w:p>
      <w:pPr>
        <w:pStyle w:val="TextBody"/>
        <w:spacing w:before="0" w:after="0"/>
        <w:jc w:val="left"/>
        <w:rPr/>
      </w:pPr>
      <w:r>
        <w:rPr/>
        <w:t> </w:t>
      </w:r>
    </w:p>
    <w:tbl>
      <w:tblPr>
        <w:tblW w:w="6471" w:type="dxa"/>
        <w:jc w:val="left"/>
        <w:tblInd w:w="0" w:type="dxa"/>
        <w:tblCellMar>
          <w:top w:w="28" w:type="dxa"/>
          <w:left w:w="28" w:type="dxa"/>
          <w:bottom w:w="28" w:type="dxa"/>
          <w:right w:w="28" w:type="dxa"/>
        </w:tblCellMar>
      </w:tblPr>
      <w:tblGrid>
        <w:gridCol w:w="2341"/>
        <w:gridCol w:w="146"/>
        <w:gridCol w:w="211"/>
        <w:gridCol w:w="346"/>
        <w:gridCol w:w="146"/>
        <w:gridCol w:w="146"/>
        <w:gridCol w:w="211"/>
        <w:gridCol w:w="346"/>
        <w:gridCol w:w="146"/>
        <w:gridCol w:w="146"/>
        <w:gridCol w:w="290"/>
        <w:gridCol w:w="581"/>
        <w:gridCol w:w="146"/>
        <w:gridCol w:w="146"/>
        <w:gridCol w:w="211"/>
        <w:gridCol w:w="421"/>
        <w:gridCol w:w="491"/>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3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 estate rationalization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modernization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Process optimization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 estate rationalization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modernization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Process optimization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 estate rationalization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modernization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Process optimization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491" w:type="dxa"/>
            <w:tcBorders/>
            <w:shd w:fill="auto" w:val="clear"/>
            <w:vAlign w:val="center"/>
          </w:tcPr>
          <w:p>
            <w:pPr>
              <w:pStyle w:val="TableContents"/>
              <w:spacing w:before="0" w:after="0"/>
              <w:ind w:left="0" w:right="0" w:hanging="0"/>
              <w:jc w:val="lef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 estate rationalization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modernization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Process optimization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5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91" w:type="dxa"/>
            <w:tcBorders/>
            <w:shd w:fill="auto" w:val="clear"/>
            <w:vAlign w:val="center"/>
          </w:tcPr>
          <w:p>
            <w:pPr>
              <w:pStyle w:val="TableContents"/>
              <w:spacing w:before="0" w:after="0"/>
              <w:ind w:left="0" w:right="0" w:firstLine="200"/>
              <w:jc w:val="left"/>
              <w:rPr/>
            </w:pPr>
            <w:r>
              <w:rPr/>
              <w:t> </w:t>
            </w:r>
          </w:p>
        </w:tc>
      </w:tr>
      <w:tr>
        <w:trPr/>
        <w:tc>
          <w:tcPr>
            <w:tcW w:w="23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234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rollforward of the liability associated with cash-based charges related to restructuring costs associated with the Transformation program is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64"/>
        <w:gridCol w:w="146"/>
        <w:gridCol w:w="667"/>
        <w:gridCol w:w="1190"/>
        <w:gridCol w:w="166"/>
        <w:gridCol w:w="146"/>
        <w:gridCol w:w="704"/>
        <w:gridCol w:w="1159"/>
        <w:gridCol w:w="146"/>
        <w:gridCol w:w="146"/>
        <w:gridCol w:w="563"/>
        <w:gridCol w:w="925"/>
        <w:gridCol w:w="166"/>
        <w:gridCol w:w="146"/>
        <w:gridCol w:w="211"/>
        <w:gridCol w:w="346"/>
        <w:gridCol w:w="166"/>
        <w:gridCol w:w="146"/>
        <w:gridCol w:w="211"/>
        <w:gridCol w:w="376"/>
        <w:gridCol w:w="215"/>
      </w:tblGrid>
      <w:tr>
        <w:trPr/>
        <w:tc>
          <w:tcPr>
            <w:tcW w:w="22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2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Real estate rationalization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Technology modernization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Process optimization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October 1, 2021</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Charges incurred</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payments</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Charges incurred</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payments</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Charges incurred</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shd w:fill="auto" w:val="clear"/>
            <w:vAlign w:val="center"/>
          </w:tcPr>
          <w:p>
            <w:pPr>
              <w:pStyle w:val="TableContents"/>
              <w:spacing w:before="0" w:after="0"/>
              <w:ind w:left="0" w:right="0" w:hanging="0"/>
              <w:jc w:val="left"/>
              <w:rPr/>
            </w:pPr>
            <w:r>
              <w:rPr/>
              <w:t> </w:t>
            </w:r>
          </w:p>
        </w:tc>
        <w:tc>
          <w:tcPr>
            <w:tcW w:w="11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11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3"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5" w:type="dxa"/>
            <w:tcBorders/>
            <w:shd w:fill="auto" w:val="clear"/>
            <w:vAlign w:val="center"/>
          </w:tcPr>
          <w:p>
            <w:pPr>
              <w:pStyle w:val="TableContents"/>
              <w:spacing w:before="0" w:after="0"/>
              <w:ind w:left="0" w:right="0" w:hanging="0"/>
              <w:jc w:val="left"/>
              <w:rPr/>
            </w:pPr>
            <w:r>
              <w:rPr/>
              <w:t> </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payments</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6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Note 7 — Income Taxes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Provision for income taxes for the three months ended March 31, 2023 was $50</w:t>
      </w:r>
      <w:r>
        <w:rPr>
          <w:rFonts w:ascii="Times New Roman" w:hAnsi="Times New Roman"/>
          <w:sz w:val="20"/>
        </w:rPr>
        <w:t xml:space="preserve"> </w:t>
      </w:r>
      <w:r>
        <w:rPr>
          <w:rFonts w:ascii="Times New Roman;serif" w:hAnsi="Times New Roman;serif"/>
          <w:b w:val="false"/>
          <w:sz w:val="20"/>
        </w:rPr>
        <w:t>million compared to $43</w:t>
      </w:r>
      <w:r>
        <w:rPr>
          <w:rFonts w:ascii="Times New Roman" w:hAnsi="Times New Roman"/>
          <w:sz w:val="20"/>
        </w:rPr>
        <w:t xml:space="preserve"> </w:t>
      </w:r>
      <w:r>
        <w:rPr>
          <w:rFonts w:ascii="Times New Roman;serif" w:hAnsi="Times New Roman;serif"/>
          <w:b w:val="false"/>
          <w:sz w:val="20"/>
        </w:rPr>
        <w:t>million for the three months ended March 31, 2022. The effective tax rate was 19.5%</w:t>
      </w:r>
      <w:r>
        <w:rPr>
          <w:rFonts w:ascii="Times New Roman" w:hAnsi="Times New Roman"/>
          <w:sz w:val="20"/>
        </w:rPr>
        <w:t xml:space="preserve"> </w:t>
      </w:r>
      <w:r>
        <w:rPr>
          <w:rFonts w:ascii="Times New Roman;serif" w:hAnsi="Times New Roman;serif"/>
          <w:b w:val="false"/>
          <w:sz w:val="20"/>
        </w:rPr>
        <w:t>for the three months ended March 31, 2023 and 27.5%</w:t>
      </w:r>
      <w:r>
        <w:rPr>
          <w:rFonts w:ascii="Times New Roman" w:hAnsi="Times New Roman"/>
          <w:sz w:val="20"/>
        </w:rPr>
        <w:t xml:space="preserve"> </w:t>
      </w:r>
      <w:r>
        <w:rPr>
          <w:rFonts w:ascii="Times New Roman;serif" w:hAnsi="Times New Roman;serif"/>
          <w:b w:val="false"/>
          <w:sz w:val="20"/>
        </w:rPr>
        <w:t>for the three months ended March 31, 2022. These effective tax rates are calculated using extended values from our condensed consolidated statements of comprehensive income and are therefore more precise tax rates than can be calculated from rounded values. The prior-year quarter’s effective tax rate was higher due to the tax effect of the divestment of our Russian business.</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pStyle w:val="TextBody"/>
        <w:spacing w:before="180" w:after="0"/>
        <w:jc w:val="left"/>
        <w:rPr>
          <w:rFonts w:ascii="Times New Roman" w:hAnsi="Times New Roman"/>
          <w:sz w:val="20"/>
        </w:rPr>
      </w:pPr>
      <w:r>
        <w:rPr>
          <w:rFonts w:ascii="Times New Roman;serif" w:hAnsi="Times New Roman;serif"/>
          <w:b w:val="false"/>
          <w:sz w:val="20"/>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of $39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excluding interest and penalties. The Company believes the outcomes that are reasonably possible within the next 12 months may result in a reduction in the liability for uncertain tax positions of approximately $2</w:t>
      </w:r>
      <w:r>
        <w:rPr>
          <w:rFonts w:ascii="Times New Roman" w:hAnsi="Times New Roman"/>
          <w:sz w:val="20"/>
        </w:rPr>
        <w:t xml:space="preserve"> </w:t>
      </w:r>
      <w:r>
        <w:rPr>
          <w:rFonts w:ascii="Times New Roman;serif" w:hAnsi="Times New Roman;serif"/>
          <w:b w:val="false"/>
          <w:sz w:val="20"/>
        </w:rPr>
        <w:t>million to $3</w:t>
      </w:r>
      <w:r>
        <w:rPr>
          <w:rFonts w:ascii="Times New Roman" w:hAnsi="Times New Roman"/>
          <w:sz w:val="20"/>
        </w:rPr>
        <w:t xml:space="preserve"> </w:t>
      </w:r>
      <w:r>
        <w:rPr>
          <w:rFonts w:ascii="Times New Roman;serif" w:hAnsi="Times New Roman;serif"/>
          <w:b w:val="false"/>
          <w:sz w:val="20"/>
        </w:rPr>
        <w:t>million, excluding interest and penalties.</w:t>
      </w:r>
    </w:p>
    <w:p>
      <w:pPr>
        <w:pStyle w:val="TextBody"/>
        <w:spacing w:before="180" w:after="0"/>
        <w:jc w:val="left"/>
        <w:rPr>
          <w:rFonts w:ascii="Times New Roman" w:hAnsi="Times New Roman"/>
          <w:sz w:val="20"/>
        </w:rPr>
      </w:pPr>
      <w:bookmarkStart w:id="29" w:name="wltw_20180630_10q_htm_s1faebaef0d6f58868"/>
      <w:bookmarkEnd w:id="29"/>
      <w:r>
        <w:rPr>
          <w:rFonts w:ascii="Times New Roman;serif" w:hAnsi="Times New Roman;serif"/>
          <w:b/>
          <w:sz w:val="20"/>
        </w:rPr>
        <w:t>Note 8</w:t>
      </w:r>
      <w:r>
        <w:rPr>
          <w:rFonts w:ascii="Times New Roman" w:hAnsi="Times New Roman"/>
          <w:sz w:val="20"/>
        </w:rPr>
        <w:t xml:space="preserve"> — </w:t>
      </w:r>
      <w:r>
        <w:rPr>
          <w:rFonts w:ascii="Times New Roman;serif" w:hAnsi="Times New Roman;serif"/>
          <w:b/>
          <w:sz w:val="20"/>
        </w:rPr>
        <w:t>Goodwill and Other Intangible Assets</w:t>
      </w:r>
    </w:p>
    <w:p>
      <w:pPr>
        <w:pStyle w:val="TextBody"/>
        <w:spacing w:before="180" w:after="0"/>
        <w:jc w:val="left"/>
        <w:rPr>
          <w:rFonts w:ascii="Times New Roman" w:hAnsi="Times New Roman"/>
          <w:sz w:val="20"/>
        </w:rPr>
      </w:pPr>
      <w:r>
        <w:rPr>
          <w:rFonts w:ascii="Times New Roman;serif" w:hAnsi="Times New Roman;serif"/>
          <w:b w:val="false"/>
          <w:sz w:val="20"/>
        </w:rPr>
        <w:t>The components of goodwill are outlined below for the three months ended March 31, 2023.</w:t>
      </w:r>
      <w:r>
        <w:rPr>
          <w:rFonts w:ascii="Times New Roman" w:hAnsi="Times New Roman"/>
          <w:sz w:val="20"/>
        </w:rPr>
        <w:t xml:space="preserve"> </w:t>
      </w:r>
    </w:p>
    <w:p>
      <w:pPr>
        <w:pStyle w:val="TextBody"/>
        <w:spacing w:before="0" w:after="0"/>
        <w:jc w:val="left"/>
        <w:rPr/>
      </w:pPr>
      <w:r>
        <w:rPr/>
        <w:t> </w:t>
      </w:r>
    </w:p>
    <w:tbl>
      <w:tblPr>
        <w:tblW w:w="6568" w:type="dxa"/>
        <w:jc w:val="left"/>
        <w:tblInd w:w="0" w:type="dxa"/>
        <w:tblCellMar>
          <w:top w:w="28" w:type="dxa"/>
          <w:left w:w="28" w:type="dxa"/>
          <w:bottom w:w="28" w:type="dxa"/>
          <w:right w:w="28" w:type="dxa"/>
        </w:tblCellMar>
      </w:tblPr>
      <w:tblGrid>
        <w:gridCol w:w="2956"/>
        <w:gridCol w:w="146"/>
        <w:gridCol w:w="211"/>
        <w:gridCol w:w="571"/>
        <w:gridCol w:w="166"/>
        <w:gridCol w:w="146"/>
        <w:gridCol w:w="211"/>
        <w:gridCol w:w="571"/>
        <w:gridCol w:w="166"/>
        <w:gridCol w:w="146"/>
        <w:gridCol w:w="211"/>
        <w:gridCol w:w="676"/>
        <w:gridCol w:w="3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HWC</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R&amp;B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 gross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10,665</w:t>
            </w:r>
          </w:p>
        </w:tc>
        <w:tc>
          <w:tcPr>
            <w:tcW w:w="39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impairment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net -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10,173</w:t>
            </w:r>
          </w:p>
        </w:tc>
        <w:tc>
          <w:tcPr>
            <w:tcW w:w="39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 gross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10,685</w:t>
            </w:r>
          </w:p>
        </w:tc>
        <w:tc>
          <w:tcPr>
            <w:tcW w:w="39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impairment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 net -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Other Intangible Assets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table reflects changes in the net carrying amounts of the components of finite-lived intangible assets for the three months ended March 31, 2023:</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70"/>
        <w:gridCol w:w="146"/>
        <w:gridCol w:w="344"/>
        <w:gridCol w:w="1038"/>
        <w:gridCol w:w="166"/>
        <w:gridCol w:w="146"/>
        <w:gridCol w:w="233"/>
        <w:gridCol w:w="533"/>
        <w:gridCol w:w="166"/>
        <w:gridCol w:w="146"/>
        <w:gridCol w:w="492"/>
        <w:gridCol w:w="1334"/>
        <w:gridCol w:w="166"/>
        <w:gridCol w:w="146"/>
        <w:gridCol w:w="211"/>
        <w:gridCol w:w="421"/>
        <w:gridCol w:w="166"/>
        <w:gridCol w:w="146"/>
        <w:gridCol w:w="211"/>
        <w:gridCol w:w="631"/>
        <w:gridCol w:w="393"/>
      </w:tblGrid>
      <w:tr>
        <w:trPr/>
        <w:tc>
          <w:tcPr>
            <w:tcW w:w="29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297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Client relationships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Software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Trademark and trade name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29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gross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5,621</w:t>
            </w:r>
          </w:p>
        </w:tc>
        <w:tc>
          <w:tcPr>
            <w:tcW w:w="393" w:type="dxa"/>
            <w:tcBorders/>
            <w:shd w:fill="auto" w:val="clear"/>
            <w:vAlign w:val="center"/>
          </w:tcPr>
          <w:p>
            <w:pPr>
              <w:pStyle w:val="TableContents"/>
              <w:spacing w:before="0" w:after="0"/>
              <w:ind w:left="0" w:right="0" w:firstLine="200"/>
              <w:jc w:val="left"/>
              <w:rPr/>
            </w:pPr>
            <w:r>
              <w:rPr/>
              <w:t> </w:t>
            </w:r>
          </w:p>
        </w:tc>
      </w:tr>
      <w:tr>
        <w:trPr/>
        <w:tc>
          <w:tcPr>
            <w:tcW w:w="29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 - December 31, 2022</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2,273</w:t>
            </w:r>
          </w:p>
        </w:tc>
        <w:tc>
          <w:tcPr>
            <w:tcW w:w="393" w:type="dxa"/>
            <w:tcBorders/>
            <w:shd w:fill="auto" w:val="clear"/>
            <w:vAlign w:val="center"/>
          </w:tcPr>
          <w:p>
            <w:pPr>
              <w:pStyle w:val="TableContents"/>
              <w:spacing w:before="0" w:after="0"/>
              <w:ind w:left="0" w:right="0" w:hanging="0"/>
              <w:jc w:val="left"/>
              <w:rPr/>
            </w:pPr>
            <w:r>
              <w:rPr/>
              <w:t> </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acquired</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3" w:type="dxa"/>
            <w:tcBorders/>
            <w:shd w:fill="auto" w:val="clear"/>
            <w:vAlign w:val="center"/>
          </w:tcPr>
          <w:p>
            <w:pPr>
              <w:pStyle w:val="TableContents"/>
              <w:spacing w:before="0" w:after="0"/>
              <w:ind w:left="0" w:right="0" w:hanging="0"/>
              <w:jc w:val="left"/>
              <w:rPr/>
            </w:pPr>
            <w:r>
              <w:rPr/>
              <w:t> </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3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29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gross</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5,649</w:t>
            </w:r>
          </w:p>
        </w:tc>
        <w:tc>
          <w:tcPr>
            <w:tcW w:w="393" w:type="dxa"/>
            <w:tcBorders/>
            <w:shd w:fill="auto" w:val="clear"/>
            <w:vAlign w:val="center"/>
          </w:tcPr>
          <w:p>
            <w:pPr>
              <w:pStyle w:val="TableContents"/>
              <w:spacing w:before="0" w:after="0"/>
              <w:ind w:left="0" w:right="0" w:firstLine="200"/>
              <w:jc w:val="left"/>
              <w:rPr/>
            </w:pPr>
            <w:r>
              <w:rPr/>
              <w:t> </w:t>
            </w:r>
          </w:p>
        </w:tc>
      </w:tr>
      <w:tr>
        <w:trPr/>
        <w:tc>
          <w:tcPr>
            <w:tcW w:w="29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(3,437</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 - March 31, 2023</w:t>
            </w:r>
          </w:p>
        </w:tc>
        <w:tc>
          <w:tcPr>
            <w:tcW w:w="146" w:type="dxa"/>
            <w:tcBorders/>
            <w:shd w:fill="auto" w:val="cle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2,212</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weighted-average remaining life of amortizable intangible assets at March 31, 2023</w:t>
      </w:r>
      <w:r>
        <w:rPr>
          <w:rFonts w:ascii="Times New Roman" w:hAnsi="Times New Roman"/>
          <w:sz w:val="20"/>
        </w:rPr>
        <w:t xml:space="preserve"> </w:t>
      </w:r>
      <w:r>
        <w:rPr>
          <w:rFonts w:ascii="Times New Roman;serif" w:hAnsi="Times New Roman;serif"/>
          <w:b w:val="false"/>
          <w:sz w:val="20"/>
        </w:rPr>
        <w:t>was 12.2</w:t>
      </w:r>
      <w:r>
        <w:rPr>
          <w:rFonts w:ascii="Times New Roman" w:hAnsi="Times New Roman"/>
          <w:sz w:val="20"/>
        </w:rPr>
        <w:t xml:space="preserve"> </w:t>
      </w:r>
      <w:r>
        <w:rPr>
          <w:rFonts w:ascii="Times New Roman;serif" w:hAnsi="Times New Roman;serif"/>
          <w:b w:val="false"/>
          <w:sz w:val="20"/>
        </w:rPr>
        <w:t>years.</w:t>
      </w:r>
    </w:p>
    <w:p>
      <w:pPr>
        <w:pStyle w:val="TextBody"/>
        <w:spacing w:before="180" w:after="0"/>
        <w:jc w:val="left"/>
        <w:rPr>
          <w:rFonts w:ascii="Times New Roman" w:hAnsi="Times New Roman"/>
          <w:sz w:val="20"/>
        </w:rPr>
      </w:pPr>
      <w:r>
        <w:rPr>
          <w:rFonts w:ascii="Times New Roman;serif" w:hAnsi="Times New Roman;serif"/>
          <w:b w:val="false"/>
          <w:sz w:val="20"/>
        </w:rPr>
        <w:t>The table below reflects the future estimated amortization expense for amortizable intangible assets for the remainder of 2023 and for subsequent years:</w:t>
      </w:r>
      <w:r>
        <w:rPr>
          <w:rFonts w:ascii="Times New Roman" w:hAnsi="Times New Roman"/>
          <w:sz w:val="20"/>
        </w:rPr>
        <w:t xml:space="preserve"> </w:t>
      </w:r>
    </w:p>
    <w:p>
      <w:pPr>
        <w:pStyle w:val="TextBody"/>
        <w:spacing w:before="0" w:after="0"/>
        <w:jc w:val="left"/>
        <w:rPr/>
      </w:pPr>
      <w:r>
        <w:rPr/>
        <w:t> </w:t>
      </w:r>
    </w:p>
    <w:tbl>
      <w:tblPr>
        <w:tblW w:w="3099" w:type="dxa"/>
        <w:jc w:val="left"/>
        <w:tblInd w:w="0" w:type="dxa"/>
        <w:tblCellMar>
          <w:top w:w="28" w:type="dxa"/>
          <w:left w:w="28" w:type="dxa"/>
          <w:bottom w:w="28" w:type="dxa"/>
          <w:right w:w="28" w:type="dxa"/>
        </w:tblCellMar>
      </w:tblPr>
      <w:tblGrid>
        <w:gridCol w:w="1681"/>
        <w:gridCol w:w="146"/>
        <w:gridCol w:w="291"/>
        <w:gridCol w:w="790"/>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Amortization</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30" w:name="wltw_20180630_10q_htm_s48667f3885d45b4d9"/>
      <w:bookmarkEnd w:id="30"/>
      <w:r>
        <w:rPr>
          <w:rFonts w:ascii="Times New Roman;serif" w:hAnsi="Times New Roman;serif"/>
          <w:b/>
          <w:sz w:val="20"/>
        </w:rPr>
        <w:t>Note 9</w:t>
      </w:r>
      <w:r>
        <w:rPr>
          <w:rFonts w:ascii="Times New Roman" w:hAnsi="Times New Roman"/>
          <w:sz w:val="20"/>
        </w:rPr>
        <w:t xml:space="preserve"> — </w:t>
      </w:r>
      <w:r>
        <w:rPr>
          <w:rFonts w:ascii="Times New Roman;serif" w:hAnsi="Times New Roman;serif"/>
          <w:b/>
          <w:sz w:val="20"/>
        </w:rPr>
        <w:t>Derivative Financial Instruments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pStyle w:val="TextBody"/>
        <w:spacing w:before="180" w:after="0"/>
        <w:jc w:val="left"/>
        <w:rPr>
          <w:rFonts w:ascii="Times New Roman" w:hAnsi="Times New Roman"/>
          <w:sz w:val="20"/>
        </w:rPr>
      </w:pPr>
      <w:r>
        <w:rPr>
          <w:rFonts w:ascii="Times New Roman;serif" w:hAnsi="Times New Roman;serif"/>
          <w:b w:val="false"/>
          <w:i/>
          <w:sz w:val="20"/>
        </w:rPr>
        <w:t>Foreign Currency Risk</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pStyle w:val="TextBody"/>
        <w:spacing w:before="180" w:after="0"/>
        <w:jc w:val="left"/>
        <w:rPr>
          <w:rFonts w:ascii="Times New Roman" w:hAnsi="Times New Roman"/>
          <w:sz w:val="20"/>
        </w:rPr>
      </w:pPr>
      <w:r>
        <w:rPr>
          <w:rFonts w:ascii="Times New Roman;serif" w:hAnsi="Times New Roman;serif"/>
          <w:b w:val="false"/>
          <w:sz w:val="20"/>
        </w:rPr>
        <w:t>These derivatives were designated as hedging instruments and at March 31, 2023</w:t>
      </w:r>
      <w:r>
        <w:rPr>
          <w:rFonts w:ascii="Times New Roman" w:hAnsi="Times New Roman"/>
          <w:sz w:val="20"/>
        </w:rPr>
        <w:t xml:space="preserve"> </w:t>
      </w:r>
      <w:r>
        <w:rPr>
          <w:rFonts w:ascii="Times New Roman;serif" w:hAnsi="Times New Roman;serif"/>
          <w:b w:val="false"/>
          <w:sz w:val="20"/>
        </w:rPr>
        <w:t>and December 31, 2022 had total notional amounts of $123</w:t>
      </w:r>
      <w:r>
        <w:rPr>
          <w:rFonts w:ascii="Times New Roman" w:hAnsi="Times New Roman"/>
          <w:sz w:val="20"/>
        </w:rPr>
        <w:t xml:space="preserve"> </w:t>
      </w:r>
      <w:r>
        <w:rPr>
          <w:rFonts w:ascii="Times New Roman;serif" w:hAnsi="Times New Roman;serif"/>
          <w:b w:val="false"/>
          <w:sz w:val="20"/>
        </w:rPr>
        <w:t>million and $134</w:t>
      </w:r>
      <w:r>
        <w:rPr>
          <w:rFonts w:ascii="Times New Roman" w:hAnsi="Times New Roman"/>
          <w:sz w:val="20"/>
        </w:rPr>
        <w:t xml:space="preserve"> </w:t>
      </w:r>
      <w:r>
        <w:rPr>
          <w:rFonts w:ascii="Times New Roman;serif" w:hAnsi="Times New Roman;serif"/>
          <w:b w:val="false"/>
          <w:sz w:val="20"/>
        </w:rPr>
        <w:t>million, respectively, and had net</w:t>
      </w:r>
      <w:r>
        <w:rPr>
          <w:rFonts w:ascii="Times New Roman" w:hAnsi="Times New Roman"/>
          <w:sz w:val="20"/>
        </w:rPr>
        <w:t xml:space="preserve"> </w:t>
      </w:r>
      <w:r>
        <w:rPr>
          <w:rFonts w:ascii="Times New Roman;serif" w:hAnsi="Times New Roman;serif"/>
          <w:b w:val="false"/>
          <w:sz w:val="20"/>
        </w:rPr>
        <w:t>fair value liabilities of less than $1</w:t>
      </w:r>
      <w:r>
        <w:rPr>
          <w:rFonts w:ascii="Times New Roman" w:hAnsi="Times New Roman"/>
          <w:sz w:val="20"/>
        </w:rPr>
        <w:t xml:space="preserve"> </w:t>
      </w:r>
      <w:r>
        <w:rPr>
          <w:rFonts w:ascii="Times New Roman;serif" w:hAnsi="Times New Roman;serif"/>
          <w:b w:val="false"/>
          <w:sz w:val="20"/>
        </w:rPr>
        <w:t>million and $3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At March 31, 2023, the Company estimates, based on current exchange rates, there will be $1</w:t>
      </w:r>
      <w:r>
        <w:rPr>
          <w:rFonts w:ascii="Times New Roman" w:hAnsi="Times New Roman"/>
          <w:sz w:val="20"/>
        </w:rPr>
        <w:t xml:space="preserve"> </w:t>
      </w:r>
      <w:r>
        <w:rPr>
          <w:rFonts w:ascii="Times New Roman;serif" w:hAnsi="Times New Roman;serif"/>
          <w:b w:val="false"/>
          <w:sz w:val="20"/>
        </w:rPr>
        <w:t>million of net derivative losses on forward exchange rates reclassified from accumulated other comprehensive loss into earnings within the next twelve months as the forecast transactions affect earnings. At March 31, 2023, our longest outstanding maturity was 1.7</w:t>
      </w:r>
      <w:r>
        <w:rPr>
          <w:rFonts w:ascii="Times New Roman" w:hAnsi="Times New Roman"/>
          <w:sz w:val="20"/>
        </w:rPr>
        <w:t xml:space="preserve"> </w:t>
      </w:r>
      <w:r>
        <w:rPr>
          <w:rFonts w:ascii="Times New Roman;serif" w:hAnsi="Times New Roman;serif"/>
          <w:b w:val="false"/>
          <w:sz w:val="20"/>
        </w:rPr>
        <w:t>years.</w:t>
      </w:r>
    </w:p>
    <w:p>
      <w:pPr>
        <w:pStyle w:val="TextBody"/>
        <w:spacing w:before="180" w:after="0"/>
        <w:jc w:val="left"/>
        <w:rPr>
          <w:rFonts w:ascii="Times New Roman" w:hAnsi="Times New Roman"/>
          <w:sz w:val="20"/>
        </w:rPr>
      </w:pPr>
      <w:r>
        <w:rPr>
          <w:rFonts w:ascii="Times New Roman;serif" w:hAnsi="Times New Roman;serif"/>
          <w:b w:val="false"/>
          <w:sz w:val="20"/>
        </w:rPr>
        <w:t>The effects of the material derivative instruments that are designated as hedging instruments on the condensed consolidated statements of comprehensive income for the three months ended March 31, 2023</w:t>
      </w:r>
      <w:r>
        <w:rPr>
          <w:rFonts w:ascii="Times New Roman;serif" w:hAnsi="Times New Roman;serif"/>
          <w:sz w:val="20"/>
        </w:rPr>
        <w:t xml:space="preserve"> </w:t>
      </w:r>
      <w:r>
        <w:rPr>
          <w:rFonts w:ascii="Times New Roman;serif" w:hAnsi="Times New Roman;serif"/>
          <w:b w:val="false"/>
          <w:sz w:val="20"/>
        </w:rPr>
        <w:t>and 2022 are below.</w:t>
      </w:r>
      <w:r>
        <w:rPr>
          <w:rFonts w:ascii="Times New Roman" w:hAnsi="Times New Roman"/>
          <w:sz w:val="20"/>
        </w:rPr>
        <w:t xml:space="preserve"> </w:t>
      </w:r>
      <w:r>
        <w:rPr>
          <w:rFonts w:ascii="Times New Roman;serif" w:hAnsi="Times New Roman;serif"/>
          <w:b w:val="false"/>
          <w:sz w:val="20"/>
        </w:rPr>
        <w:t>Amounts pertaining to the ineffective portion of hedging instruments and those excluded from effectiveness testing were immaterial for the three months ended March 31, 2023 and 2022.</w:t>
      </w:r>
      <w:r>
        <w:rPr>
          <w:rFonts w:ascii="Times New Roman" w:hAnsi="Times New Roman"/>
          <w:sz w:val="20"/>
        </w:rPr>
        <w:t xml:space="preserve"> </w:t>
      </w:r>
    </w:p>
    <w:p>
      <w:pPr>
        <w:pStyle w:val="TextBody"/>
        <w:spacing w:before="0" w:after="0"/>
        <w:jc w:val="left"/>
        <w:rPr/>
      </w:pPr>
      <w:r>
        <w:rPr/>
        <w:t> </w:t>
      </w:r>
    </w:p>
    <w:tbl>
      <w:tblPr>
        <w:tblW w:w="6401" w:type="dxa"/>
        <w:jc w:val="left"/>
        <w:tblInd w:w="0" w:type="dxa"/>
        <w:tblCellMar>
          <w:top w:w="28" w:type="dxa"/>
          <w:left w:w="28" w:type="dxa"/>
          <w:bottom w:w="28" w:type="dxa"/>
          <w:right w:w="28" w:type="dxa"/>
        </w:tblCellMar>
      </w:tblPr>
      <w:tblGrid>
        <w:gridCol w:w="2416"/>
        <w:gridCol w:w="146"/>
        <w:gridCol w:w="626"/>
        <w:gridCol w:w="626"/>
        <w:gridCol w:w="466"/>
        <w:gridCol w:w="466"/>
        <w:gridCol w:w="626"/>
        <w:gridCol w:w="818"/>
        <w:gridCol w:w="21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2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Gain/(loss) recognized in OCI (effective element)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Forward exchange contracts</w:t>
            </w:r>
          </w:p>
        </w:tc>
        <w:tc>
          <w:tcPr>
            <w:tcW w:w="146" w:type="dxa"/>
            <w:tcBorders/>
            <w:shd w:fill="auto" w:val="clear"/>
            <w:vAlign w:val="center"/>
          </w:tcPr>
          <w:p>
            <w:pPr>
              <w:pStyle w:val="TableContents"/>
              <w:spacing w:before="0" w:after="0"/>
              <w:ind w:left="0" w:right="0" w:hanging="0"/>
              <w:jc w:val="left"/>
              <w:rPr/>
            </w:pPr>
            <w:r>
              <w:rPr/>
              <w:t> </w:t>
            </w:r>
          </w:p>
        </w:tc>
        <w:tc>
          <w:tcPr>
            <w:tcW w:w="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203"/>
        <w:gridCol w:w="146"/>
        <w:gridCol w:w="654"/>
        <w:gridCol w:w="1156"/>
        <w:gridCol w:w="554"/>
        <w:gridCol w:w="487"/>
        <w:gridCol w:w="654"/>
        <w:gridCol w:w="1156"/>
        <w:gridCol w:w="195"/>
      </w:tblGrid>
      <w:tr>
        <w:trPr/>
        <w:tc>
          <w:tcPr>
            <w:tcW w:w="5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5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Location of (loss)/gain reclassified from Accumulated OCL into income (effective element)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(Loss)/gain reclassified from Accumulated OCL into income (effective element)</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w:t>
            </w:r>
          </w:p>
        </w:tc>
        <w:tc>
          <w:tcPr>
            <w:tcW w:w="146" w:type="dxa"/>
            <w:tcBorders/>
            <w:shd w:fill="auto" w:val="clear"/>
            <w:vAlign w:val="center"/>
          </w:tcPr>
          <w:p>
            <w:pPr>
              <w:pStyle w:val="TableContents"/>
              <w:spacing w:before="0" w:after="0"/>
              <w:ind w:left="0" w:right="0" w:hanging="0"/>
              <w:jc w:val="left"/>
              <w:rPr/>
            </w:pPr>
            <w:r>
              <w:rPr/>
              <w:t> </w:t>
            </w:r>
          </w:p>
        </w:tc>
        <w:tc>
          <w:tcPr>
            <w:tcW w:w="6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56" w:type="dxa"/>
            <w:tcBorders/>
            <w:shd w:fill="auto" w:val="clear"/>
            <w:vAlign w:val="center"/>
          </w:tcPr>
          <w:p>
            <w:pPr>
              <w:pStyle w:val="TableContents"/>
              <w:spacing w:before="0" w:after="0"/>
              <w:ind w:left="0" w:right="0" w:hanging="0"/>
              <w:jc w:val="right"/>
              <w:rPr/>
            </w:pPr>
            <w:r>
              <w:rPr/>
              <w:t>—</w:t>
            </w:r>
          </w:p>
        </w:tc>
        <w:tc>
          <w:tcPr>
            <w:tcW w:w="554"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65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56"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520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Salaries and benefits</w:t>
            </w:r>
          </w:p>
        </w:tc>
        <w:tc>
          <w:tcPr>
            <w:tcW w:w="146" w:type="dxa"/>
            <w:tcBorders/>
            <w:shd w:fill="auto" w:val="clear"/>
            <w:vAlign w:val="center"/>
          </w:tcPr>
          <w:p>
            <w:pPr>
              <w:pStyle w:val="TableContents"/>
              <w:spacing w:before="0" w:after="0"/>
              <w:ind w:left="0" w:right="0" w:hanging="0"/>
              <w:jc w:val="left"/>
              <w:rPr/>
            </w:pPr>
            <w:r>
              <w:rPr/>
              <w:t> </w:t>
            </w:r>
          </w:p>
        </w:tc>
        <w:tc>
          <w:tcPr>
            <w:tcW w:w="6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5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March 31, 2023</w:t>
      </w:r>
      <w:r>
        <w:rPr>
          <w:rFonts w:ascii="Times New Roman" w:hAnsi="Times New Roman"/>
          <w:sz w:val="20"/>
        </w:rPr>
        <w:t xml:space="preserve"> </w:t>
      </w:r>
      <w:r>
        <w:rPr>
          <w:rFonts w:ascii="Times New Roman;serif" w:hAnsi="Times New Roman;serif"/>
          <w:b w:val="false"/>
          <w:sz w:val="20"/>
        </w:rPr>
        <w:t>and December 31, 2022, we had notional amounts of $1.2</w:t>
      </w:r>
      <w:r>
        <w:rPr>
          <w:rFonts w:ascii="Times New Roman" w:hAnsi="Times New Roman"/>
          <w:sz w:val="20"/>
        </w:rPr>
        <w:t xml:space="preserve"> </w:t>
      </w:r>
      <w:r>
        <w:rPr>
          <w:rFonts w:ascii="Times New Roman;serif" w:hAnsi="Times New Roman;serif"/>
          <w:b w:val="false"/>
          <w:sz w:val="20"/>
        </w:rPr>
        <w:t>billion and $1.7</w:t>
      </w:r>
      <w:r>
        <w:rPr>
          <w:rFonts w:ascii="Times New Roman" w:hAnsi="Times New Roman"/>
          <w:sz w:val="20"/>
        </w:rPr>
        <w:t xml:space="preserve"> </w:t>
      </w:r>
      <w:r>
        <w:rPr>
          <w:rFonts w:ascii="Times New Roman;serif" w:hAnsi="Times New Roman;serif"/>
          <w:b w:val="false"/>
          <w:sz w:val="20"/>
        </w:rPr>
        <w:t>billion, respectively. At March 31, 2023 and December 31, 2022, we had net fair value assets of $7</w:t>
      </w:r>
      <w:r>
        <w:rPr>
          <w:rFonts w:ascii="Times New Roman" w:hAnsi="Times New Roman"/>
          <w:sz w:val="20"/>
        </w:rPr>
        <w:t xml:space="preserve"> </w:t>
      </w:r>
      <w:r>
        <w:rPr>
          <w:rFonts w:ascii="Times New Roman;serif" w:hAnsi="Times New Roman;serif"/>
          <w:b w:val="false"/>
          <w:sz w:val="20"/>
        </w:rPr>
        <w:t>million and $24</w:t>
      </w:r>
      <w:r>
        <w:rPr>
          <w:rFonts w:ascii="Times New Roman" w:hAnsi="Times New Roman"/>
          <w:sz w:val="20"/>
        </w:rPr>
        <w:t xml:space="preserve"> </w:t>
      </w:r>
      <w:r>
        <w:rPr>
          <w:rFonts w:ascii="Times New Roman;serif" w:hAnsi="Times New Roman;serif"/>
          <w:b w:val="false"/>
          <w:sz w:val="20"/>
        </w:rPr>
        <w:t>million, respectively. Such derivatives typically mature within three months.</w:t>
      </w:r>
    </w:p>
    <w:p>
      <w:pPr>
        <w:pStyle w:val="TextBody"/>
        <w:spacing w:before="180" w:after="0"/>
        <w:jc w:val="left"/>
        <w:rPr>
          <w:rFonts w:ascii="Times New Roman" w:hAnsi="Times New Roman"/>
          <w:sz w:val="20"/>
        </w:rPr>
      </w:pPr>
      <w:r>
        <w:rPr>
          <w:rFonts w:ascii="Times New Roman;serif" w:hAnsi="Times New Roman;serif"/>
          <w:b w:val="false"/>
          <w:sz w:val="20"/>
        </w:rPr>
        <w:t>The effects of derivatives that have not been designated as hedging instruments on the condensed consolidated statements of comprehensive income for the three months ended March 31, 2023 and 2022 are as follows (see Note 16 — Other Income, Net for the net foreign currency impact on the Company’s condensed consolidated statements of comprehensive income which includes the results of the offset of underlying exposures):</w:t>
      </w:r>
      <w:r>
        <w:rPr>
          <w:rFonts w:ascii="Times New Roman" w:hAnsi="Times New Roman"/>
          <w:sz w:val="20"/>
        </w:rPr>
        <w:t xml:space="preserve"> </w:t>
      </w:r>
    </w:p>
    <w:p>
      <w:pPr>
        <w:pStyle w:val="TextBody"/>
        <w:spacing w:before="0" w:after="0"/>
        <w:jc w:val="left"/>
        <w:rPr/>
      </w:pPr>
      <w:r>
        <w:rPr/>
        <w:t> </w:t>
      </w:r>
    </w:p>
    <w:tbl>
      <w:tblPr>
        <w:tblW w:w="8424" w:type="dxa"/>
        <w:jc w:val="left"/>
        <w:tblInd w:w="0" w:type="dxa"/>
        <w:tblCellMar>
          <w:top w:w="28" w:type="dxa"/>
          <w:left w:w="28" w:type="dxa"/>
          <w:bottom w:w="28" w:type="dxa"/>
          <w:right w:w="28" w:type="dxa"/>
        </w:tblCellMar>
      </w:tblPr>
      <w:tblGrid>
        <w:gridCol w:w="3796"/>
        <w:gridCol w:w="146"/>
        <w:gridCol w:w="1726"/>
        <w:gridCol w:w="146"/>
        <w:gridCol w:w="414"/>
        <w:gridCol w:w="414"/>
        <w:gridCol w:w="308"/>
        <w:gridCol w:w="308"/>
        <w:gridCol w:w="414"/>
        <w:gridCol w:w="541"/>
        <w:gridCol w:w="21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Gain(loss) recognized in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Derivatives not designated as hedging instruments: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Location of gain/(loss)</w:t>
              <w:br/>
              <w:t>recognized in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Forward exchange contracts</w:t>
            </w:r>
          </w:p>
        </w:tc>
        <w:tc>
          <w:tcPr>
            <w:tcW w:w="146" w:type="dxa"/>
            <w:tcBorders/>
            <w:shd w:fill="auto" w:val="clear"/>
            <w:vAlign w:val="center"/>
          </w:tcPr>
          <w:p>
            <w:pPr>
              <w:pStyle w:val="TableContents"/>
              <w:spacing w:before="0" w:after="0"/>
              <w:ind w:left="0" w:right="0" w:hanging="0"/>
              <w:jc w:val="center"/>
              <w:rPr/>
            </w:pPr>
            <w:r>
              <w:rPr/>
              <w:t> </w:t>
            </w:r>
          </w:p>
        </w:tc>
        <w:tc>
          <w:tcPr>
            <w:tcW w:w="17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Other income, net</w:t>
            </w:r>
          </w:p>
        </w:tc>
        <w:tc>
          <w:tcPr>
            <w:tcW w:w="146" w:type="dxa"/>
            <w:tcBorders/>
            <w:shd w:fill="auto" w:val="clear"/>
            <w:vAlign w:val="center"/>
          </w:tcPr>
          <w:p>
            <w:pPr>
              <w:pStyle w:val="TableContents"/>
              <w:spacing w:before="0" w:after="0"/>
              <w:ind w:left="0" w:right="0" w:hanging="0"/>
              <w:jc w:val="center"/>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31" w:name="wltw_20180630_10q_htm_sd255a859a8ed56959"/>
      <w:bookmarkEnd w:id="31"/>
      <w:r>
        <w:rPr>
          <w:rFonts w:ascii="Times New Roman;serif" w:hAnsi="Times New Roman;serif"/>
          <w:b/>
          <w:sz w:val="20"/>
        </w:rPr>
        <w:t>Note 10</w:t>
      </w:r>
      <w:r>
        <w:rPr>
          <w:rFonts w:ascii="Times New Roman" w:hAnsi="Times New Roman"/>
          <w:sz w:val="20"/>
        </w:rPr>
        <w:t xml:space="preserve"> — </w:t>
      </w:r>
      <w:r>
        <w:rPr>
          <w:rFonts w:ascii="Times New Roman;serif" w:hAnsi="Times New Roman;serif"/>
          <w:b/>
          <w:sz w:val="20"/>
        </w:rPr>
        <w:t>Debt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Current debt consists of the following:</w:t>
      </w:r>
    </w:p>
    <w:p>
      <w:pPr>
        <w:pStyle w:val="TextBody"/>
        <w:spacing w:before="0" w:after="0"/>
        <w:jc w:val="left"/>
        <w:rPr/>
      </w:pPr>
      <w:r>
        <w:rPr/>
        <w:t> </w:t>
      </w:r>
    </w:p>
    <w:tbl>
      <w:tblPr>
        <w:tblW w:w="5250" w:type="dxa"/>
        <w:jc w:val="left"/>
        <w:tblInd w:w="0" w:type="dxa"/>
        <w:tblCellMar>
          <w:top w:w="28" w:type="dxa"/>
          <w:left w:w="28" w:type="dxa"/>
          <w:bottom w:w="28" w:type="dxa"/>
          <w:right w:w="28" w:type="dxa"/>
        </w:tblCellMar>
      </w:tblPr>
      <w:tblGrid>
        <w:gridCol w:w="2581"/>
        <w:gridCol w:w="146"/>
        <w:gridCol w:w="300"/>
        <w:gridCol w:w="600"/>
        <w:gridCol w:w="146"/>
        <w:gridCol w:w="146"/>
        <w:gridCol w:w="379"/>
        <w:gridCol w:w="761"/>
        <w:gridCol w:w="19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4.625% senior notes due 2023</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bookmarkStart w:id="32" w:name="fis_unidentified_table_28"/>
      <w:bookmarkEnd w:id="32"/>
      <w:r>
        <w:rPr>
          <w:rFonts w:ascii="Times New Roman;serif" w:hAnsi="Times New Roman;serif"/>
          <w:b w:val="false"/>
          <w:sz w:val="20"/>
        </w:rPr>
        <w:t>Long-term debt consists of the following:</w:t>
      </w:r>
      <w:r>
        <w:rPr>
          <w:rFonts w:ascii="Times New Roman" w:hAnsi="Times New Roman"/>
          <w:sz w:val="20"/>
        </w:rPr>
        <w:t xml:space="preserve"> </w:t>
      </w:r>
    </w:p>
    <w:p>
      <w:pPr>
        <w:pStyle w:val="TextBody"/>
        <w:spacing w:before="0" w:after="0"/>
        <w:jc w:val="left"/>
        <w:rPr/>
      </w:pPr>
      <w:r>
        <w:rPr/>
        <w:t> </w:t>
      </w:r>
    </w:p>
    <w:tbl>
      <w:tblPr>
        <w:tblW w:w="5805" w:type="dxa"/>
        <w:jc w:val="left"/>
        <w:tblInd w:w="0" w:type="dxa"/>
        <w:tblCellMar>
          <w:top w:w="28" w:type="dxa"/>
          <w:left w:w="28" w:type="dxa"/>
          <w:bottom w:w="28" w:type="dxa"/>
          <w:right w:w="28" w:type="dxa"/>
        </w:tblCellMar>
      </w:tblPr>
      <w:tblGrid>
        <w:gridCol w:w="3136"/>
        <w:gridCol w:w="146"/>
        <w:gridCol w:w="243"/>
        <w:gridCol w:w="657"/>
        <w:gridCol w:w="146"/>
        <w:gridCol w:w="146"/>
        <w:gridCol w:w="306"/>
        <w:gridCol w:w="834"/>
        <w:gridCol w:w="191"/>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Revolving $1.5</w:t>
            </w:r>
            <w:r>
              <w:rPr>
                <w:rFonts w:ascii="Times New Roman" w:hAnsi="Times New Roman"/>
                <w:sz w:val="20"/>
              </w:rPr>
              <w:t> </w:t>
            </w:r>
            <w:r>
              <w:rPr>
                <w:rFonts w:ascii="Times New Roman;serif" w:hAnsi="Times New Roman;serif"/>
                <w:b w:val="false"/>
                <w:sz w:val="20"/>
              </w:rPr>
              <w:t>billion credit facility</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3.600% senior notes due 2024</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4.400% senior notes due 2026</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4.650% senior notes due 2027</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4.500% senior notes due 2028</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2.950% senior notes due 2029</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6.125% senior notes due 2043</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5.050% senior notes due 2048</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6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3.875% senior notes due 2049</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left"/>
        <w:rPr>
          <w:rFonts w:ascii="Times New Roman" w:hAnsi="Times New Roman"/>
          <w:sz w:val="20"/>
        </w:rPr>
      </w:pPr>
      <w:r>
        <w:rPr>
          <w:rFonts w:ascii="Times New Roman;serif" w:hAnsi="Times New Roman;serif"/>
          <w:b w:val="false"/>
          <w:sz w:val="20"/>
        </w:rPr>
        <w:t>At March 31, 2023</w:t>
      </w:r>
      <w:r>
        <w:rPr>
          <w:rFonts w:ascii="Times New Roman" w:hAnsi="Times New Roman"/>
          <w:sz w:val="20"/>
        </w:rPr>
        <w:t xml:space="preserve"> </w:t>
      </w:r>
      <w:r>
        <w:rPr>
          <w:rFonts w:ascii="Times New Roman;serif" w:hAnsi="Times New Roman;serif"/>
          <w:b w:val="false"/>
          <w:sz w:val="20"/>
        </w:rPr>
        <w:t>and December 31, 2022, we were in compliance with all financial covenants.</w:t>
      </w:r>
    </w:p>
    <w:p>
      <w:pPr>
        <w:pStyle w:val="TextBody"/>
        <w:spacing w:before="180" w:after="0"/>
        <w:jc w:val="left"/>
        <w:rPr>
          <w:rFonts w:ascii="Times New Roman" w:hAnsi="Times New Roman"/>
          <w:sz w:val="20"/>
        </w:rPr>
      </w:pPr>
      <w:bookmarkStart w:id="33" w:name="wltw_20180630_10q_htm_sbd4e3437a8d75991b"/>
      <w:bookmarkEnd w:id="33"/>
      <w:r>
        <w:rPr>
          <w:rFonts w:ascii="Times New Roman;serif" w:hAnsi="Times New Roman;serif"/>
          <w:b/>
          <w:sz w:val="20"/>
        </w:rPr>
        <w:t>Note 11</w:t>
      </w:r>
      <w:r>
        <w:rPr>
          <w:rFonts w:ascii="Times New Roman" w:hAnsi="Times New Roman"/>
          <w:sz w:val="20"/>
        </w:rPr>
        <w:t xml:space="preserve"> — </w:t>
      </w:r>
      <w:r>
        <w:rPr>
          <w:rFonts w:ascii="Times New Roman;serif" w:hAnsi="Times New Roman;serif"/>
          <w:b/>
          <w:sz w:val="20"/>
        </w:rPr>
        <w:t>Fair Value Measurements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has categorized its assets and liabilities that are measured at fair value on a recurring and non-recurring basis into a three-level fair value hierarchy, based on the reliability of the inputs used to determine fair value as follows: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 refers to fair values determined based on quoted market prices in active markets for identical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 refers to fair values estimated using observable market-based inputs or unobservable inputs that are corroborated by market data;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Level 3: includes fair values estimated using unobservable inputs that are not corroborated by market data.</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methods and assumptions were used by the Company in estimating its fair value disclosure for financial instruments: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Available-for-sale securities are classified as Level 1 because we use quoted market prices in active markets in determining the fair value of these securities.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The following tables present our assets and liabilities measured at fair value on a recurring basis at March 31, 2023 and December 31, 2022:</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544"/>
        <w:gridCol w:w="146"/>
        <w:gridCol w:w="3666"/>
        <w:gridCol w:w="146"/>
        <w:gridCol w:w="214"/>
        <w:gridCol w:w="428"/>
        <w:gridCol w:w="148"/>
        <w:gridCol w:w="148"/>
        <w:gridCol w:w="214"/>
        <w:gridCol w:w="353"/>
        <w:gridCol w:w="148"/>
        <w:gridCol w:w="148"/>
        <w:gridCol w:w="214"/>
        <w:gridCol w:w="353"/>
        <w:gridCol w:w="148"/>
        <w:gridCol w:w="148"/>
        <w:gridCol w:w="214"/>
        <w:gridCol w:w="428"/>
        <w:gridCol w:w="397"/>
      </w:tblGrid>
      <w:tr>
        <w:trPr/>
        <w:tc>
          <w:tcPr>
            <w:tcW w:w="25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5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0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Fair Value Measurements on a Recurring Basis at</w:t>
              <w:br/>
              <w:t>March 31, 2023</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1</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2</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3</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Mutual funds / exchange traded funds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and other current assets and 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Fiduciary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Derivatives: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Derivative financial instruments </w:t>
            </w:r>
            <w:r>
              <w:rPr>
                <w:rFonts w:ascii="Times New Roman;serif" w:hAnsi="Times New Roman;serif"/>
                <w:b w:val="false"/>
                <w:sz w:val="12"/>
              </w:rPr>
              <w:t>(i)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and other current assets and 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Contingent consideration </w:t>
            </w:r>
            <w:r>
              <w:rPr>
                <w:rFonts w:ascii="Times New Roman;serif" w:hAnsi="Times New Roman;serif"/>
                <w:b w:val="false"/>
                <w:sz w:val="12"/>
              </w:rPr>
              <w:t>(ii)</w:t>
            </w:r>
            <w:r>
              <w:rPr>
                <w:rFonts w:ascii="Times New Roman" w:hAnsi="Times New Roman"/>
                <w:sz w:val="18"/>
              </w:rPr>
              <w:t xml:space="preserve"> </w:t>
            </w:r>
            <w:r>
              <w:rPr>
                <w:rFonts w:ascii="Times New Roman;serif" w:hAnsi="Times New Roman;serif"/>
                <w:b w:val="false"/>
                <w:sz w:val="12"/>
              </w:rPr>
              <w:t>(iii)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current liabilities and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Derivatives: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Derivative financial instruments </w:t>
            </w:r>
            <w:r>
              <w:rPr>
                <w:rFonts w:ascii="Times New Roman;serif" w:hAnsi="Times New Roman;serif"/>
                <w:b w:val="false"/>
                <w:sz w:val="12"/>
              </w:rPr>
              <w:t>(i)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current liabilities and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544"/>
        <w:gridCol w:w="146"/>
        <w:gridCol w:w="3666"/>
        <w:gridCol w:w="146"/>
        <w:gridCol w:w="214"/>
        <w:gridCol w:w="428"/>
        <w:gridCol w:w="148"/>
        <w:gridCol w:w="148"/>
        <w:gridCol w:w="214"/>
        <w:gridCol w:w="353"/>
        <w:gridCol w:w="148"/>
        <w:gridCol w:w="148"/>
        <w:gridCol w:w="214"/>
        <w:gridCol w:w="353"/>
        <w:gridCol w:w="148"/>
        <w:gridCol w:w="148"/>
        <w:gridCol w:w="214"/>
        <w:gridCol w:w="428"/>
        <w:gridCol w:w="397"/>
      </w:tblGrid>
      <w:tr>
        <w:trPr/>
        <w:tc>
          <w:tcPr>
            <w:tcW w:w="25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54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0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Fair Value Measurements on a Recurring Basis at</w:t>
              <w:br/>
              <w:t>December 31, 2022</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1</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2</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Level 3</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Mutual funds / exchange traded funds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and other current assets and 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Fiduciary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Derivatives: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Derivative financial instruments </w:t>
            </w:r>
            <w:r>
              <w:rPr>
                <w:rFonts w:ascii="Times New Roman;serif" w:hAnsi="Times New Roman;serif"/>
                <w:b w:val="false"/>
                <w:sz w:val="12"/>
              </w:rPr>
              <w:t>(i)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and other current assets and 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Contingent consideration </w:t>
            </w:r>
            <w:r>
              <w:rPr>
                <w:rFonts w:ascii="Times New Roman;serif" w:hAnsi="Times New Roman;serif"/>
                <w:b w:val="false"/>
                <w:sz w:val="12"/>
              </w:rPr>
              <w:t>(ii)</w:t>
            </w:r>
            <w:r>
              <w:rPr>
                <w:rFonts w:ascii="Times New Roman" w:hAnsi="Times New Roman"/>
                <w:sz w:val="18"/>
              </w:rPr>
              <w:t xml:space="preserve"> </w:t>
            </w:r>
            <w:r>
              <w:rPr>
                <w:rFonts w:ascii="Times New Roman;serif" w:hAnsi="Times New Roman;serif"/>
                <w:b w:val="false"/>
                <w:sz w:val="12"/>
              </w:rPr>
              <w:t>(iii)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current liabilities and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97" w:type="dxa"/>
            <w:tcBorders/>
            <w:shd w:fill="auto" w:val="clear"/>
            <w:vAlign w:val="center"/>
          </w:tcPr>
          <w:p>
            <w:pPr>
              <w:pStyle w:val="TableContents"/>
              <w:spacing w:before="0" w:after="0"/>
              <w:ind w:left="0" w:right="0" w:hanging="0"/>
              <w:jc w:val="left"/>
              <w:rPr/>
            </w:pPr>
            <w:r>
              <w:rPr/>
              <w:t> </w:t>
            </w:r>
          </w:p>
        </w:tc>
      </w:tr>
      <w:tr>
        <w:trPr/>
        <w:tc>
          <w:tcPr>
            <w:tcW w:w="2544" w:type="dxa"/>
            <w:tcBorders/>
            <w:shd w:fill="auto" w:val="clear"/>
            <w:vAlign w:val="center"/>
          </w:tcPr>
          <w:p>
            <w:pPr>
              <w:pStyle w:val="TableContents"/>
              <w:spacing w:before="0" w:after="0"/>
              <w:ind w:left="0" w:right="0" w:hanging="0"/>
              <w:jc w:val="left"/>
              <w:rPr>
                <w:rFonts w:ascii="Times New Roman;serif" w:hAnsi="Times New Roman;serif"/>
                <w:b w:val="false"/>
                <w:i/>
                <w:sz w:val="18"/>
              </w:rPr>
            </w:pPr>
            <w:r>
              <w:rPr>
                <w:rFonts w:ascii="Times New Roman;serif" w:hAnsi="Times New Roman;serif"/>
                <w:b w:val="false"/>
                <w:i/>
                <w:sz w:val="18"/>
              </w:rPr>
              <w:t>Derivatives:</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64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544" w:type="dxa"/>
            <w:tcBorders/>
            <w:shd w:fill="auto" w:val="clear"/>
            <w:vAlign w:val="center"/>
          </w:tcPr>
          <w:p>
            <w:pPr>
              <w:pStyle w:val="TableContents"/>
              <w:spacing w:before="0" w:after="0"/>
              <w:ind w:left="200" w:right="0" w:hanging="0"/>
              <w:jc w:val="left"/>
              <w:rPr>
                <w:rFonts w:ascii="Times New Roman" w:hAnsi="Times New Roman"/>
                <w:sz w:val="18"/>
              </w:rPr>
            </w:pPr>
            <w:r>
              <w:rPr>
                <w:rFonts w:ascii="Times New Roman;serif" w:hAnsi="Times New Roman;serif"/>
                <w:b w:val="false"/>
                <w:sz w:val="18"/>
              </w:rPr>
              <w:t xml:space="preserve">Derivative financial instruments </w:t>
            </w:r>
            <w:r>
              <w:rPr>
                <w:rFonts w:ascii="Times New Roman;serif" w:hAnsi="Times New Roman;serif"/>
                <w:b w:val="false"/>
                <w:sz w:val="12"/>
              </w:rPr>
              <w:t>(i)</w:t>
            </w:r>
          </w:p>
        </w:tc>
        <w:tc>
          <w:tcPr>
            <w:tcW w:w="146" w:type="dxa"/>
            <w:tcBorders/>
            <w:shd w:fill="auto" w:val="clear"/>
            <w:vAlign w:val="center"/>
          </w:tcPr>
          <w:p>
            <w:pPr>
              <w:pStyle w:val="TableContents"/>
              <w:spacing w:before="0" w:after="0"/>
              <w:ind w:left="0" w:right="0" w:hanging="0"/>
              <w:jc w:val="left"/>
              <w:rPr/>
            </w:pPr>
            <w:r>
              <w:rPr/>
              <w:t> </w:t>
            </w:r>
          </w:p>
        </w:tc>
        <w:tc>
          <w:tcPr>
            <w:tcW w:w="3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current liabilities and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7"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See Note 9 — Derivative Financial Instruments for further information on our derivative investments.</w:t>
      </w:r>
    </w:p>
    <w:p>
      <w:pPr>
        <w:pStyle w:val="TextBody"/>
        <w:spacing w:before="40" w:after="0"/>
        <w:jc w:val="left"/>
        <w:rPr>
          <w:rFonts w:ascii="Times New Roman" w:hAnsi="Times New Roman"/>
          <w:b w:val="false"/>
          <w:sz w:val="16"/>
        </w:rPr>
      </w:pPr>
      <w:r>
        <w:rPr>
          <w:rFonts w:ascii="Times New Roman" w:hAnsi="Times New Roman"/>
          <w:b w:val="false"/>
          <w:sz w:val="16"/>
        </w:rPr>
        <w:t>(ii)</w:t>
      </w:r>
    </w:p>
    <w:p>
      <w:pPr>
        <w:pStyle w:val="TextBody"/>
        <w:spacing w:before="40" w:after="0"/>
        <w:jc w:val="left"/>
        <w:rPr>
          <w:rFonts w:ascii="Times New Roman;serif" w:hAnsi="Times New Roman;serif"/>
          <w:sz w:val="20"/>
        </w:rPr>
      </w:pPr>
      <w:r>
        <w:rPr>
          <w:rFonts w:ascii="Times New Roman;serif" w:hAnsi="Times New Roman;serif"/>
          <w:b w:val="false"/>
          <w:sz w:val="16"/>
        </w:rPr>
        <w:t>Probability weightings are based on our knowledge of the past and planned performance of the acquired entity to which the contingent consideration applies. The fair value weighted-average discount rates used in our material contingent consideration calculations were 10.04%</w:t>
      </w:r>
      <w:r>
        <w:rPr>
          <w:rFonts w:ascii="Times New Roman;serif" w:hAnsi="Times New Roman;serif"/>
          <w:sz w:val="20"/>
        </w:rPr>
        <w:t xml:space="preserve"> </w:t>
      </w:r>
      <w:r>
        <w:rPr>
          <w:rFonts w:ascii="Times New Roman;serif" w:hAnsi="Times New Roman;serif"/>
          <w:b w:val="false"/>
          <w:sz w:val="16"/>
        </w:rPr>
        <w:t>and 10.26% at March 31, 2023 and December 31, 2022, respectively. The range of these discount rates was</w:t>
      </w:r>
      <w:r>
        <w:rPr>
          <w:rFonts w:ascii="Times New Roman;serif" w:hAnsi="Times New Roman;serif"/>
          <w:sz w:val="20"/>
        </w:rPr>
        <w:t xml:space="preserve"> </w:t>
      </w:r>
      <w:r>
        <w:rPr>
          <w:rFonts w:ascii="Times New Roman;serif" w:hAnsi="Times New Roman;serif"/>
          <w:b w:val="false"/>
          <w:sz w:val="16"/>
        </w:rPr>
        <w:t>3.53% - 13.80%</w:t>
      </w:r>
      <w:r>
        <w:rPr>
          <w:rFonts w:ascii="Times New Roman;serif" w:hAnsi="Times New Roman;serif"/>
          <w:sz w:val="20"/>
        </w:rPr>
        <w:t xml:space="preserve"> </w:t>
      </w:r>
      <w:r>
        <w:rPr>
          <w:rFonts w:ascii="Times New Roman;serif" w:hAnsi="Times New Roman;serif"/>
          <w:b w:val="false"/>
          <w:sz w:val="16"/>
        </w:rPr>
        <w:t>at March 31, 2023. Using different probability weightings and discount rates could result in an increase or decrease of the contingent consideration payable.</w:t>
      </w:r>
    </w:p>
    <w:p>
      <w:pPr>
        <w:pStyle w:val="TextBody"/>
        <w:spacing w:before="0" w:after="0"/>
        <w:jc w:val="left"/>
        <w:rPr>
          <w:rFonts w:ascii="Times New Roman" w:hAnsi="Times New Roman"/>
          <w:b w:val="false"/>
          <w:sz w:val="16"/>
        </w:rPr>
      </w:pPr>
      <w:r>
        <w:rPr>
          <w:rFonts w:ascii="Times New Roman" w:hAnsi="Times New Roman"/>
          <w:b w:val="false"/>
          <w:sz w:val="16"/>
        </w:rPr>
        <w:t>(iii)</w:t>
      </w:r>
    </w:p>
    <w:p>
      <w:pPr>
        <w:pStyle w:val="TextBody"/>
        <w:jc w:val="left"/>
        <w:rPr>
          <w:rFonts w:ascii="Times New Roman;serif" w:hAnsi="Times New Roman;serif"/>
          <w:b w:val="false"/>
          <w:sz w:val="16"/>
        </w:rPr>
      </w:pPr>
      <w:r>
        <w:rPr>
          <w:rFonts w:ascii="Times New Roman;serif" w:hAnsi="Times New Roman;serif"/>
          <w:b w:val="false"/>
          <w:sz w:val="16"/>
        </w:rPr>
        <w:t>Consideration due to be paid across multiple years until 2027.</w:t>
      </w:r>
    </w:p>
    <w:p>
      <w:pPr>
        <w:pStyle w:val="TextBody"/>
        <w:spacing w:before="180" w:after="0"/>
        <w:jc w:val="left"/>
        <w:rPr>
          <w:rFonts w:ascii="Times New Roman" w:hAnsi="Times New Roman"/>
          <w:sz w:val="20"/>
        </w:rPr>
      </w:pPr>
      <w:r>
        <w:rPr>
          <w:rFonts w:ascii="Times New Roman;serif" w:hAnsi="Times New Roman;serif"/>
          <w:b w:val="false"/>
          <w:sz w:val="20"/>
        </w:rPr>
        <w:t>The following table summarizes the change in fair value of the Level 3 liabilities:</w:t>
      </w:r>
      <w:r>
        <w:rPr>
          <w:rFonts w:ascii="Times New Roman" w:hAnsi="Times New Roman"/>
          <w:sz w:val="20"/>
        </w:rPr>
        <w:t xml:space="preserve"> </w:t>
      </w:r>
    </w:p>
    <w:p>
      <w:pPr>
        <w:pStyle w:val="TextBody"/>
        <w:spacing w:before="0" w:after="0"/>
        <w:jc w:val="left"/>
        <w:rPr/>
      </w:pPr>
      <w:r>
        <w:rPr/>
        <w:t> </w:t>
      </w:r>
    </w:p>
    <w:tbl>
      <w:tblPr>
        <w:tblW w:w="7678" w:type="dxa"/>
        <w:jc w:val="left"/>
        <w:tblInd w:w="0" w:type="dxa"/>
        <w:tblCellMar>
          <w:top w:w="28" w:type="dxa"/>
          <w:left w:w="28" w:type="dxa"/>
          <w:bottom w:w="28" w:type="dxa"/>
          <w:right w:w="28" w:type="dxa"/>
        </w:tblCellMar>
      </w:tblPr>
      <w:tblGrid>
        <w:gridCol w:w="5851"/>
        <w:gridCol w:w="146"/>
        <w:gridCol w:w="488"/>
        <w:gridCol w:w="802"/>
        <w:gridCol w:w="391"/>
      </w:tblGrid>
      <w:tr>
        <w:trPr/>
        <w:tc>
          <w:tcPr>
            <w:tcW w:w="5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8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Fair Value Measurements Using Significant Unobservable Inputs (Level 3)</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91" w:type="dxa"/>
            <w:tcBorders/>
            <w:shd w:fill="auto" w:val="clear"/>
            <w:vAlign w:val="center"/>
          </w:tcPr>
          <w:p>
            <w:pPr>
              <w:pStyle w:val="TableContents"/>
              <w:spacing w:before="0" w:after="0"/>
              <w:ind w:left="0" w:right="0" w:firstLine="200"/>
              <w:jc w:val="left"/>
              <w:rPr/>
            </w:pPr>
            <w:r>
              <w:rPr/>
              <w:t> </w:t>
            </w:r>
          </w:p>
        </w:tc>
      </w:tr>
      <w:tr>
        <w:trPr/>
        <w:tc>
          <w:tcPr>
            <w:tcW w:w="5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Obligations assumed</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5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585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Realized and unrealized losses</w:t>
            </w:r>
            <w:r>
              <w:rPr>
                <w:rFonts w:ascii="Times New Roman" w:hAnsi="Times New Roman"/>
                <w:sz w:val="20"/>
              </w:rPr>
              <w:t xml:space="preserve">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left"/>
              <w:rPr/>
            </w:pPr>
            <w:r>
              <w:rPr/>
              <w:t> </w:t>
            </w:r>
          </w:p>
        </w:tc>
        <w:tc>
          <w:tcPr>
            <w:tcW w:w="8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firstLine="200"/>
              <w:jc w:val="left"/>
              <w:rPr/>
            </w:pPr>
            <w:r>
              <w:rPr/>
              <w:t> </w:t>
            </w:r>
          </w:p>
        </w:tc>
      </w:tr>
      <w:tr>
        <w:trPr/>
        <w:tc>
          <w:tcPr>
            <w:tcW w:w="5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sz w:val="20"/>
        </w:rPr>
      </w:pPr>
      <w:r>
        <w:rPr>
          <w:rFonts w:ascii="Times New Roman;serif" w:hAnsi="Times New Roman;serif"/>
          <w:b w:val="false"/>
          <w:sz w:val="16"/>
        </w:rPr>
        <w:t>Realized and unrealized losses include accretion and adjustments to contingent consideration liabilities, which are included within Interest expense and Other operating expenses, respectively,</w:t>
      </w:r>
      <w:r>
        <w:rPr>
          <w:rFonts w:ascii="Times New Roman;serif" w:hAnsi="Times New Roman;serif"/>
          <w:sz w:val="20"/>
        </w:rPr>
        <w:t xml:space="preserve"> </w:t>
      </w:r>
      <w:r>
        <w:rPr>
          <w:rFonts w:ascii="Times New Roman;serif" w:hAnsi="Times New Roman;serif"/>
          <w:b w:val="false"/>
          <w:sz w:val="16"/>
        </w:rPr>
        <w:t>on the condensed consolidated statements of comprehensive income.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significant transfers to or from Level 3 in the three months ended March 31, 2023.</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Fair value information about financial instruments not measured at fair value</w:t>
      </w:r>
    </w:p>
    <w:p>
      <w:pPr>
        <w:pStyle w:val="TextBody"/>
        <w:spacing w:before="180" w:after="0"/>
        <w:jc w:val="left"/>
        <w:rPr>
          <w:rFonts w:ascii="Times New Roman" w:hAnsi="Times New Roman"/>
          <w:sz w:val="20"/>
        </w:rPr>
      </w:pPr>
      <w:r>
        <w:rPr>
          <w:rFonts w:ascii="Times New Roman;serif" w:hAnsi="Times New Roman;serif"/>
          <w:b w:val="false"/>
          <w:sz w:val="20"/>
        </w:rPr>
        <w:t>The following tables present our liabilities not measured at fair value on a recurring basis at March 31, 2023 and December 31, 2022:</w:t>
      </w:r>
      <w:r>
        <w:rPr>
          <w:rFonts w:ascii="Times New Roman" w:hAnsi="Times New Roman"/>
          <w:sz w:val="20"/>
        </w:rPr>
        <w:t xml:space="preserve"> </w:t>
      </w:r>
    </w:p>
    <w:p>
      <w:pPr>
        <w:pStyle w:val="TextBody"/>
        <w:spacing w:before="0" w:after="0"/>
        <w:jc w:val="left"/>
        <w:rPr/>
      </w:pPr>
      <w:r>
        <w:rPr/>
        <w:t> </w:t>
      </w:r>
    </w:p>
    <w:tbl>
      <w:tblPr>
        <w:tblW w:w="7939" w:type="dxa"/>
        <w:jc w:val="left"/>
        <w:tblInd w:w="0" w:type="dxa"/>
        <w:tblCellMar>
          <w:top w:w="28" w:type="dxa"/>
          <w:left w:w="28" w:type="dxa"/>
          <w:bottom w:w="28" w:type="dxa"/>
          <w:right w:w="28" w:type="dxa"/>
        </w:tblCellMar>
      </w:tblPr>
      <w:tblGrid>
        <w:gridCol w:w="2266"/>
        <w:gridCol w:w="146"/>
        <w:gridCol w:w="336"/>
        <w:gridCol w:w="909"/>
        <w:gridCol w:w="146"/>
        <w:gridCol w:w="146"/>
        <w:gridCol w:w="239"/>
        <w:gridCol w:w="646"/>
        <w:gridCol w:w="146"/>
        <w:gridCol w:w="146"/>
        <w:gridCol w:w="336"/>
        <w:gridCol w:w="909"/>
        <w:gridCol w:w="146"/>
        <w:gridCol w:w="146"/>
        <w:gridCol w:w="239"/>
        <w:gridCol w:w="646"/>
        <w:gridCol w:w="39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2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note receivable</w:t>
            </w:r>
          </w:p>
        </w:tc>
        <w:tc>
          <w:tcPr>
            <w:tcW w:w="146" w:type="dxa"/>
            <w:tcBorders/>
            <w:shd w:fill="auto" w:val="clear"/>
            <w:vAlign w:val="center"/>
          </w:tcPr>
          <w:p>
            <w:pPr>
              <w:pStyle w:val="TableContents"/>
              <w:spacing w:before="0" w:after="0"/>
              <w:ind w:left="0" w:right="0" w:hanging="0"/>
              <w:jc w:val="center"/>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3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2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debt</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391" w:type="dxa"/>
            <w:tcBorders/>
            <w:shd w:fill="auto" w:val="clear"/>
            <w:vAlign w:val="center"/>
          </w:tcPr>
          <w:p>
            <w:pPr>
              <w:pStyle w:val="TableContents"/>
              <w:spacing w:before="0" w:after="0"/>
              <w:ind w:left="0" w:right="0" w:firstLine="200"/>
              <w:jc w:val="left"/>
              <w:rPr/>
            </w:pPr>
            <w:r>
              <w:rPr/>
              <w:t> </w:t>
            </w:r>
          </w:p>
        </w:tc>
      </w:tr>
      <w:tr>
        <w:trPr/>
        <w:tc>
          <w:tcPr>
            <w:tcW w:w="22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4,069</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r>
        <w:rPr>
          <w:rFonts w:ascii="Times New Roman" w:hAnsi="Times New Roman"/>
          <w:sz w:val="20"/>
        </w:rPr>
        <w:t xml:space="preserve"> </w:t>
      </w:r>
    </w:p>
    <w:p>
      <w:pPr>
        <w:pStyle w:val="TextBody"/>
        <w:spacing w:before="180" w:after="0"/>
        <w:jc w:val="left"/>
        <w:rPr>
          <w:rFonts w:ascii="Times New Roman" w:hAnsi="Times New Roman"/>
          <w:sz w:val="20"/>
        </w:rPr>
      </w:pPr>
      <w:bookmarkStart w:id="34" w:name="wltw_20180630_10q_htm_safcc5295b8435cc4b"/>
      <w:bookmarkEnd w:id="34"/>
      <w:r>
        <w:rPr>
          <w:rFonts w:ascii="Times New Roman;serif" w:hAnsi="Times New Roman;serif"/>
          <w:b/>
          <w:sz w:val="20"/>
        </w:rPr>
        <w:t>Note 12</w:t>
      </w:r>
      <w:r>
        <w:rPr>
          <w:rFonts w:ascii="Times New Roman" w:hAnsi="Times New Roman"/>
          <w:sz w:val="20"/>
        </w:rPr>
        <w:t xml:space="preserve"> — </w:t>
      </w:r>
      <w:r>
        <w:rPr>
          <w:rFonts w:ascii="Times New Roman;serif" w:hAnsi="Times New Roman;serif"/>
          <w:b/>
          <w:sz w:val="20"/>
        </w:rPr>
        <w:t>Retirement Benefits</w:t>
      </w:r>
    </w:p>
    <w:p>
      <w:pPr>
        <w:pStyle w:val="TextBody"/>
        <w:spacing w:before="180" w:after="0"/>
        <w:jc w:val="left"/>
        <w:rPr>
          <w:rFonts w:ascii="Times New Roman;serif" w:hAnsi="Times New Roman;serif"/>
          <w:b/>
          <w:i/>
          <w:sz w:val="20"/>
        </w:rPr>
      </w:pPr>
      <w:r>
        <w:rPr>
          <w:rFonts w:ascii="Times New Roman;serif" w:hAnsi="Times New Roman;serif"/>
          <w:b/>
          <w:i/>
          <w:sz w:val="20"/>
        </w:rPr>
        <w:t>Defined Benefit Plans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 We have removed prior-period disclosures pertaining to our post-retirement welfare plans as the Company considers such disclosure to no longer be material.</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Components of Net Periodic Benefit (Income)/Cost for Defined Benefit Pension Plans</w:t>
      </w:r>
    </w:p>
    <w:p>
      <w:pPr>
        <w:pStyle w:val="TextBody"/>
        <w:spacing w:before="180" w:after="0"/>
        <w:jc w:val="left"/>
        <w:rPr>
          <w:rFonts w:ascii="Times New Roman" w:hAnsi="Times New Roman"/>
          <w:sz w:val="20"/>
        </w:rPr>
      </w:pPr>
      <w:bookmarkStart w:id="35" w:name="fis_unidentified_table_31"/>
      <w:bookmarkEnd w:id="35"/>
      <w:r>
        <w:rPr>
          <w:rFonts w:ascii="Times New Roman;serif" w:hAnsi="Times New Roman;serif"/>
          <w:b w:val="false"/>
          <w:sz w:val="20"/>
        </w:rPr>
        <w:t>The following table sets forth the components of net periodic benefit (income)/cost for the Company’s defined benefit pension plans for the three months ended March 31, 2023 and 2022:</w:t>
      </w:r>
      <w:r>
        <w:rPr>
          <w:rFonts w:ascii="Times New Roman" w:hAnsi="Times New Roman"/>
          <w:sz w:val="20"/>
        </w:rPr>
        <w:t xml:space="preserve"> </w:t>
      </w:r>
    </w:p>
    <w:p>
      <w:pPr>
        <w:pStyle w:val="TextBody"/>
        <w:spacing w:before="0" w:after="0"/>
        <w:jc w:val="left"/>
        <w:rPr/>
      </w:pPr>
      <w:r>
        <w:rPr/>
        <w:t> </w:t>
      </w:r>
    </w:p>
    <w:tbl>
      <w:tblPr>
        <w:tblW w:w="7780" w:type="dxa"/>
        <w:jc w:val="left"/>
        <w:tblInd w:w="0" w:type="dxa"/>
        <w:tblCellMar>
          <w:top w:w="28" w:type="dxa"/>
          <w:left w:w="28" w:type="dxa"/>
          <w:bottom w:w="28" w:type="dxa"/>
          <w:right w:w="28" w:type="dxa"/>
        </w:tblCellMar>
      </w:tblPr>
      <w:tblGrid>
        <w:gridCol w:w="2611"/>
        <w:gridCol w:w="146"/>
        <w:gridCol w:w="196"/>
        <w:gridCol w:w="346"/>
        <w:gridCol w:w="166"/>
        <w:gridCol w:w="146"/>
        <w:gridCol w:w="196"/>
        <w:gridCol w:w="346"/>
        <w:gridCol w:w="166"/>
        <w:gridCol w:w="146"/>
        <w:gridCol w:w="196"/>
        <w:gridCol w:w="346"/>
        <w:gridCol w:w="166"/>
        <w:gridCol w:w="146"/>
        <w:gridCol w:w="196"/>
        <w:gridCol w:w="346"/>
        <w:gridCol w:w="166"/>
        <w:gridCol w:w="146"/>
        <w:gridCol w:w="196"/>
        <w:gridCol w:w="346"/>
        <w:gridCol w:w="166"/>
        <w:gridCol w:w="146"/>
        <w:gridCol w:w="196"/>
        <w:gridCol w:w="346"/>
        <w:gridCol w:w="211"/>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1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Service cost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cost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21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Expected return on plan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Amortization of 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Amortization of prior service credit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periodic benefit (income)/cost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Employer Contributions to Defined Benefit Pension Plans</w:t>
      </w:r>
    </w:p>
    <w:p>
      <w:pPr>
        <w:pStyle w:val="TextBody"/>
        <w:spacing w:before="180" w:after="0"/>
        <w:jc w:val="left"/>
        <w:rPr>
          <w:rFonts w:ascii="Times New Roman" w:hAnsi="Times New Roman"/>
          <w:sz w:val="20"/>
        </w:rPr>
      </w:pPr>
      <w:r>
        <w:rPr>
          <w:rFonts w:ascii="Times New Roman;serif" w:hAnsi="Times New Roman;serif"/>
          <w:b w:val="false"/>
          <w:sz w:val="20"/>
        </w:rPr>
        <w:t>The Company did not make any contributions to its U.S. plans during the three months ended March 31, 2023 and</w:t>
      </w:r>
      <w:r>
        <w:rPr>
          <w:rFonts w:ascii="Times New Roman" w:hAnsi="Times New Roman"/>
          <w:sz w:val="20"/>
        </w:rPr>
        <w:t xml:space="preserve"> </w:t>
      </w:r>
      <w:r>
        <w:rPr>
          <w:rFonts w:ascii="Times New Roman;serif" w:hAnsi="Times New Roman;serif"/>
          <w:b w:val="false"/>
          <w:sz w:val="20"/>
        </w:rPr>
        <w:t>currently does not anticipate making contributions over the remainder of the fiscal year. The Company made contributions of $7</w:t>
      </w:r>
      <w:r>
        <w:rPr>
          <w:rFonts w:ascii="Times New Roman" w:hAnsi="Times New Roman"/>
          <w:sz w:val="20"/>
        </w:rPr>
        <w:t xml:space="preserve"> </w:t>
      </w:r>
      <w:r>
        <w:rPr>
          <w:rFonts w:ascii="Times New Roman;serif" w:hAnsi="Times New Roman;serif"/>
          <w:b w:val="false"/>
          <w:sz w:val="20"/>
        </w:rPr>
        <w:t>million to its U.K. plans for the three months ended March 31, 2023 and anticipates making additional contributions of $24</w:t>
      </w:r>
      <w:r>
        <w:rPr>
          <w:rFonts w:ascii="Times New Roman" w:hAnsi="Times New Roman"/>
          <w:sz w:val="20"/>
        </w:rPr>
        <w:t xml:space="preserve"> </w:t>
      </w:r>
      <w:r>
        <w:rPr>
          <w:rFonts w:ascii="Times New Roman;serif" w:hAnsi="Times New Roman;serif"/>
          <w:b w:val="false"/>
          <w:sz w:val="20"/>
        </w:rPr>
        <w:t>million for the remainder of the fiscal year. The Company made contributions of $13</w:t>
      </w:r>
      <w:r>
        <w:rPr>
          <w:rFonts w:ascii="Times New Roman" w:hAnsi="Times New Roman"/>
          <w:sz w:val="20"/>
        </w:rPr>
        <w:t xml:space="preserve"> </w:t>
      </w:r>
      <w:r>
        <w:rPr>
          <w:rFonts w:ascii="Times New Roman;serif" w:hAnsi="Times New Roman;serif"/>
          <w:b w:val="false"/>
          <w:sz w:val="20"/>
        </w:rPr>
        <w:t>million to its other plans for the three months ended March 31, 2023 and anticipates making additional contributions of $10</w:t>
      </w:r>
      <w:r>
        <w:rPr>
          <w:rFonts w:ascii="Times New Roman" w:hAnsi="Times New Roman"/>
          <w:sz w:val="20"/>
        </w:rPr>
        <w:t xml:space="preserve"> </w:t>
      </w:r>
      <w:r>
        <w:rPr>
          <w:rFonts w:ascii="Times New Roman;serif" w:hAnsi="Times New Roman;serif"/>
          <w:b w:val="false"/>
          <w:sz w:val="20"/>
        </w:rPr>
        <w:t>million for the remainder of the fiscal year.</w:t>
      </w:r>
    </w:p>
    <w:p>
      <w:pPr>
        <w:pStyle w:val="TextBody"/>
        <w:spacing w:before="180" w:after="0"/>
        <w:jc w:val="left"/>
        <w:rPr>
          <w:rFonts w:ascii="Times New Roman;serif" w:hAnsi="Times New Roman;serif"/>
          <w:b/>
          <w:i/>
          <w:sz w:val="20"/>
        </w:rPr>
      </w:pPr>
      <w:r>
        <w:rPr>
          <w:rFonts w:ascii="Times New Roman;serif" w:hAnsi="Times New Roman;serif"/>
          <w:b/>
          <w:i/>
          <w:sz w:val="20"/>
        </w:rPr>
        <w:t>Defined Contribution Plans</w:t>
      </w:r>
    </w:p>
    <w:p>
      <w:pPr>
        <w:pStyle w:val="TextBody"/>
        <w:spacing w:before="180" w:after="0"/>
        <w:jc w:val="left"/>
        <w:rPr>
          <w:rFonts w:ascii="Times New Roman" w:hAnsi="Times New Roman"/>
          <w:sz w:val="20"/>
        </w:rPr>
      </w:pPr>
      <w:r>
        <w:rPr>
          <w:rFonts w:ascii="Times New Roman;serif" w:hAnsi="Times New Roman;serif"/>
          <w:b w:val="false"/>
          <w:sz w:val="20"/>
        </w:rPr>
        <w:t>The Company made contributions to its defined contribution plans of $40</w:t>
      </w:r>
      <w:r>
        <w:rPr>
          <w:rFonts w:ascii="Times New Roman" w:hAnsi="Times New Roman"/>
          <w:sz w:val="20"/>
        </w:rPr>
        <w:t xml:space="preserve"> </w:t>
      </w:r>
      <w:r>
        <w:rPr>
          <w:rFonts w:ascii="Times New Roman;serif" w:hAnsi="Times New Roman;serif"/>
          <w:b w:val="false"/>
          <w:sz w:val="20"/>
        </w:rPr>
        <w:t>million and $42</w:t>
      </w:r>
      <w:r>
        <w:rPr>
          <w:rFonts w:ascii="Times New Roman" w:hAnsi="Times New Roman"/>
          <w:sz w:val="20"/>
        </w:rPr>
        <w:t xml:space="preserve"> </w:t>
      </w:r>
      <w:r>
        <w:rPr>
          <w:rFonts w:ascii="Times New Roman;serif" w:hAnsi="Times New Roman;serif"/>
          <w:b w:val="false"/>
          <w:sz w:val="20"/>
        </w:rPr>
        <w:t>million during the three months ended March 31, 2023</w:t>
      </w:r>
      <w:r>
        <w:rPr>
          <w:rFonts w:ascii="Times New Roman" w:hAnsi="Times New Roman"/>
          <w:sz w:val="20"/>
        </w:rPr>
        <w:t xml:space="preserve"> </w:t>
      </w:r>
      <w:r>
        <w:rPr>
          <w:rFonts w:ascii="Times New Roman;serif" w:hAnsi="Times New Roman;serif"/>
          <w:b w:val="false"/>
          <w:sz w:val="20"/>
        </w:rPr>
        <w:t>and 2022, respectively.</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sz w:val="20"/>
        </w:rPr>
        <w:t>Note 13</w:t>
      </w:r>
      <w:r>
        <w:rPr>
          <w:rFonts w:ascii="Times New Roman" w:hAnsi="Times New Roman"/>
          <w:sz w:val="20"/>
        </w:rPr>
        <w:t xml:space="preserve"> — </w:t>
      </w:r>
      <w:r>
        <w:rPr>
          <w:rFonts w:ascii="Times New Roman;serif" w:hAnsi="Times New Roman;serif"/>
          <w:b/>
          <w:sz w:val="20"/>
        </w:rPr>
        <w:t>Leases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table presents lease costs recorded on our condensed consolidated statements of comprehensive income for the three months ended March 31, 2023 and 2022:</w:t>
      </w:r>
    </w:p>
    <w:p>
      <w:pPr>
        <w:pStyle w:val="TextBody"/>
        <w:spacing w:before="60" w:after="0"/>
        <w:jc w:val="left"/>
        <w:rPr/>
      </w:pPr>
      <w:r>
        <w:rPr/>
        <w:t> </w:t>
      </w:r>
    </w:p>
    <w:tbl>
      <w:tblPr>
        <w:tblW w:w="5105" w:type="dxa"/>
        <w:jc w:val="left"/>
        <w:tblInd w:w="0" w:type="dxa"/>
        <w:tblCellMar>
          <w:top w:w="28" w:type="dxa"/>
          <w:left w:w="28" w:type="dxa"/>
          <w:bottom w:w="28" w:type="dxa"/>
          <w:right w:w="28" w:type="dxa"/>
        </w:tblCellMar>
      </w:tblPr>
      <w:tblGrid>
        <w:gridCol w:w="2251"/>
        <w:gridCol w:w="146"/>
        <w:gridCol w:w="370"/>
        <w:gridCol w:w="555"/>
        <w:gridCol w:w="291"/>
        <w:gridCol w:w="256"/>
        <w:gridCol w:w="370"/>
        <w:gridCol w:w="555"/>
        <w:gridCol w:w="311"/>
      </w:tblGrid>
      <w:tr>
        <w:trPr/>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shd w:fill="auto" w:val="clear"/>
            <w:vAlign w:val="center"/>
          </w:tcPr>
          <w:p>
            <w:pPr>
              <w:pStyle w:val="TableContents"/>
              <w:spacing w:before="0" w:after="0"/>
              <w:ind w:left="0" w:right="0" w:hanging="0"/>
              <w:jc w:val="left"/>
              <w:rPr/>
            </w:pPr>
            <w:r>
              <w:rPr/>
              <w:t> </w:t>
            </w:r>
          </w:p>
        </w:tc>
        <w:tc>
          <w:tcPr>
            <w:tcW w:w="925"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925"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22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on lease liabilities</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9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1" w:type="dxa"/>
            <w:tcBorders/>
            <w:shd w:fill="auto" w:val="clear"/>
            <w:vAlign w:val="center"/>
          </w:tcPr>
          <w:p>
            <w:pPr>
              <w:pStyle w:val="TableContents"/>
              <w:spacing w:before="0" w:after="0"/>
              <w:ind w:left="0" w:right="0" w:hanging="0"/>
              <w:jc w:val="left"/>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9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11" w:type="dxa"/>
            <w:tcBorders/>
            <w:shd w:fill="auto" w:val="clear"/>
            <w:vAlign w:val="center"/>
          </w:tcPr>
          <w:p>
            <w:pPr>
              <w:pStyle w:val="TableContents"/>
              <w:spacing w:before="0" w:after="0"/>
              <w:ind w:left="0" w:right="0" w:hanging="0"/>
              <w:jc w:val="left"/>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9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5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1" w:type="dxa"/>
            <w:tcBorders/>
            <w:shd w:fill="auto" w:val="clear"/>
            <w:vAlign w:val="center"/>
          </w:tcPr>
          <w:p>
            <w:pPr>
              <w:pStyle w:val="TableContents"/>
              <w:spacing w:before="0" w:after="0"/>
              <w:ind w:left="0" w:right="0" w:hanging="0"/>
              <w:jc w:val="left"/>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Sublease income</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2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lease cost, net</w:t>
            </w:r>
          </w:p>
        </w:tc>
        <w:tc>
          <w:tcPr>
            <w:tcW w:w="146" w:type="dxa"/>
            <w:tcBorders/>
            <w:shd w:fill="auto" w:val="cle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left"/>
        <w:rPr>
          <w:rFonts w:ascii="Times New Roman;serif" w:hAnsi="Times New Roman;serif"/>
          <w:sz w:val="20"/>
        </w:rPr>
      </w:pPr>
      <w:r>
        <w:rPr>
          <w:rFonts w:ascii="Times New Roman;serif" w:hAnsi="Times New Roman;serif"/>
          <w:b w:val="false"/>
          <w:sz w:val="20"/>
        </w:rPr>
        <w:t>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$1</w:t>
      </w:r>
      <w:r>
        <w:rPr>
          <w:rFonts w:ascii="Times New Roman;serif" w:hAnsi="Times New Roman;serif"/>
          <w:sz w:val="20"/>
        </w:rPr>
        <w:t xml:space="preserve"> </w:t>
      </w:r>
      <w:r>
        <w:rPr>
          <w:rFonts w:ascii="Times New Roman;serif" w:hAnsi="Times New Roman;serif"/>
          <w:b w:val="false"/>
          <w:sz w:val="20"/>
        </w:rPr>
        <w:t>million and $5</w:t>
      </w:r>
      <w:r>
        <w:rPr>
          <w:rFonts w:ascii="Times New Roman;serif" w:hAnsi="Times New Roman;serif"/>
          <w:sz w:val="20"/>
        </w:rPr>
        <w:t xml:space="preserve"> </w:t>
      </w:r>
      <w:r>
        <w:rPr>
          <w:rFonts w:ascii="Times New Roman;serif" w:hAnsi="Times New Roman;serif"/>
          <w:b w:val="false"/>
          <w:sz w:val="20"/>
        </w:rPr>
        <w:t xml:space="preserve">million incurred during the three months ended March 31, 2023 and 2022, respectively, that were included in restructuring costs (see Note 6 </w:t>
      </w:r>
      <w:r>
        <w:rPr>
          <w:rFonts w:ascii="Times New Roman;serif" w:hAnsi="Times New Roman;serif"/>
          <w:sz w:val="20"/>
        </w:rPr>
        <w:t xml:space="preserve">— </w:t>
      </w:r>
      <w:r>
        <w:rPr>
          <w:rFonts w:ascii="Times New Roman;serif" w:hAnsi="Times New Roman;serif"/>
          <w:b w:val="false"/>
          <w:sz w:val="20"/>
        </w:rPr>
        <w:t>Restructuring Costs) that primarily related to the acceleration of amortization of certain abandoned ROU assets and the</w:t>
      </w:r>
      <w:r>
        <w:rPr>
          <w:rFonts w:ascii="Times New Roman;serif" w:hAnsi="Times New Roman;serif"/>
          <w:sz w:val="20"/>
        </w:rPr>
        <w:t xml:space="preserve"> </w:t>
      </w:r>
      <w:r>
        <w:rPr>
          <w:rFonts w:ascii="Times New Roman;serif" w:hAnsi="Times New Roman;serif"/>
          <w:b w:val="false"/>
          <w:sz w:val="20"/>
        </w:rPr>
        <w:t xml:space="preserve">payment of early termination fees. There are no significant lease costs that have been included as discontinued operations in the condensed consolidated statements of comprehensive income during the three months ended March 31, 2022. </w:t>
      </w:r>
    </w:p>
    <w:p>
      <w:pPr>
        <w:pStyle w:val="TextBody"/>
        <w:spacing w:before="180" w:after="0"/>
        <w:jc w:val="left"/>
        <w:rPr>
          <w:rFonts w:ascii="Times New Roman" w:hAnsi="Times New Roman"/>
          <w:sz w:val="20"/>
        </w:rPr>
      </w:pPr>
      <w:bookmarkStart w:id="36" w:name="wltw_20180630_10q_htm_s96dbedb7c14f547f9"/>
      <w:bookmarkEnd w:id="36"/>
      <w:r>
        <w:rPr>
          <w:rFonts w:ascii="Times New Roman;serif" w:hAnsi="Times New Roman;serif"/>
          <w:b/>
          <w:sz w:val="20"/>
        </w:rPr>
        <w:t>Note 14</w:t>
      </w:r>
      <w:r>
        <w:rPr>
          <w:rFonts w:ascii="Times New Roman" w:hAnsi="Times New Roman"/>
          <w:sz w:val="20"/>
        </w:rPr>
        <w:t xml:space="preserve"> — </w:t>
      </w:r>
      <w:r>
        <w:rPr>
          <w:rFonts w:ascii="Times New Roman;serif" w:hAnsi="Times New Roman;serif"/>
          <w:b/>
          <w:sz w:val="20"/>
        </w:rPr>
        <w:t>Commitments and Contingencies</w:t>
      </w:r>
    </w:p>
    <w:p>
      <w:pPr>
        <w:pStyle w:val="TextBody"/>
        <w:spacing w:before="180" w:after="0"/>
        <w:jc w:val="left"/>
        <w:rPr>
          <w:rFonts w:ascii="Times New Roman;serif" w:hAnsi="Times New Roman;serif"/>
          <w:b/>
          <w:i/>
          <w:sz w:val="20"/>
        </w:rPr>
      </w:pPr>
      <w:r>
        <w:rPr>
          <w:rFonts w:ascii="Times New Roman;serif" w:hAnsi="Times New Roman;serif"/>
          <w:b/>
          <w:i/>
          <w:sz w:val="20"/>
        </w:rPr>
        <w:t>Indemnification Agreements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pStyle w:val="TextBody"/>
        <w:spacing w:before="180" w:after="0"/>
        <w:jc w:val="left"/>
        <w:rPr>
          <w:rFonts w:ascii="Times New Roman;serif" w:hAnsi="Times New Roman;serif"/>
          <w:b/>
          <w:i/>
          <w:sz w:val="20"/>
        </w:rPr>
      </w:pPr>
      <w:r>
        <w:rPr>
          <w:rFonts w:ascii="Times New Roman;serif" w:hAnsi="Times New Roman;serif"/>
          <w:b/>
          <w:i/>
          <w:sz w:val="20"/>
        </w:rPr>
        <w:t>Legal Proceedings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pStyle w:val="TextBody"/>
        <w:spacing w:before="180" w:after="0"/>
        <w:jc w:val="left"/>
        <w:rPr>
          <w:rFonts w:ascii="Times New Roman" w:hAnsi="Times New Roman"/>
          <w:sz w:val="20"/>
        </w:rPr>
      </w:pPr>
      <w:r>
        <w:rPr>
          <w:rFonts w:ascii="Times New Roman;serif" w:hAnsi="Times New Roman;serif"/>
          <w:b w:val="false"/>
          <w:sz w:val="20"/>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hAnsi="Times New Roman"/>
          <w:sz w:val="20"/>
        </w:rPr>
        <w:t xml:space="preserve">— </w:t>
      </w:r>
      <w:r>
        <w:rPr>
          <w:rFonts w:ascii="Times New Roman;serif" w:hAnsi="Times New Roman;serif"/>
          <w:b w:val="false"/>
          <w:sz w:val="20"/>
        </w:rPr>
        <w:t>Supplementary Information for Certain Balance Sheet Accounts for the amounts accrued at March 31, 2023 and December 31, 2022 in the condensed consolidated balance sheets.</w:t>
      </w:r>
    </w:p>
    <w:p>
      <w:pPr>
        <w:pStyle w:val="TextBody"/>
        <w:spacing w:before="180" w:after="0"/>
        <w:jc w:val="left"/>
        <w:rPr>
          <w:rFonts w:ascii="Times New Roman" w:hAnsi="Times New Roman"/>
          <w:sz w:val="20"/>
        </w:rPr>
      </w:pPr>
      <w:r>
        <w:rPr>
          <w:rFonts w:ascii="Times New Roman;serif" w:hAnsi="Times New Roman;serif"/>
          <w:b w:val="false"/>
          <w:sz w:val="20"/>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The Company provides for contingent liabilities based on ASC 450, </w:t>
      </w:r>
      <w:r>
        <w:rPr>
          <w:rFonts w:ascii="Times New Roman;serif" w:hAnsi="Times New Roman;serif"/>
          <w:b w:val="false"/>
          <w:i/>
          <w:sz w:val="20"/>
        </w:rPr>
        <w:t>Contingencies,</w:t>
      </w:r>
      <w:r>
        <w:rPr>
          <w:rFonts w:ascii="Times New Roman" w:hAnsi="Times New Roman"/>
          <w:sz w:val="20"/>
        </w:rPr>
        <w:t xml:space="preserve"> </w:t>
      </w:r>
      <w:r>
        <w:rPr>
          <w:rFonts w:ascii="Times New Roman;serif" w:hAnsi="Times New Roman;serif"/>
          <w:b w:val="false"/>
          <w:sz w:val="20"/>
        </w:rPr>
        <w:t>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Note 15 — Supplementary Information for Certain Balance Sheet Accounts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Additional details of specific balance sheet accounts are detailed below.</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Prepaid and other current assets consist of the following:</w:t>
      </w:r>
    </w:p>
    <w:p>
      <w:pPr>
        <w:pStyle w:val="TextBody"/>
        <w:spacing w:before="0" w:after="0"/>
        <w:jc w:val="left"/>
        <w:rPr/>
      </w:pPr>
      <w:r>
        <w:rPr/>
        <w:t> </w:t>
      </w:r>
    </w:p>
    <w:tbl>
      <w:tblPr>
        <w:tblW w:w="6105" w:type="dxa"/>
        <w:jc w:val="left"/>
        <w:tblInd w:w="0" w:type="dxa"/>
        <w:tblCellMar>
          <w:top w:w="28" w:type="dxa"/>
          <w:left w:w="28" w:type="dxa"/>
          <w:bottom w:w="28" w:type="dxa"/>
          <w:right w:w="28" w:type="dxa"/>
        </w:tblCellMar>
      </w:tblPr>
      <w:tblGrid>
        <w:gridCol w:w="3526"/>
        <w:gridCol w:w="146"/>
        <w:gridCol w:w="285"/>
        <w:gridCol w:w="570"/>
        <w:gridCol w:w="146"/>
        <w:gridCol w:w="146"/>
        <w:gridCol w:w="364"/>
        <w:gridCol w:w="731"/>
        <w:gridCol w:w="191"/>
      </w:tblGrid>
      <w:tr>
        <w:trPr/>
        <w:tc>
          <w:tcPr>
            <w:tcW w:w="3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Prepayments and accrued income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Derivatives and investments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compensation plan assets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income and other taxes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Acquired renewal commissions receivable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1" w:type="dxa"/>
            <w:tcBorders/>
            <w:shd w:fill="auto" w:val="cle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Deferred revenue and accrued expenses consist of the following:</w:t>
      </w:r>
    </w:p>
    <w:p>
      <w:pPr>
        <w:pStyle w:val="TextBody"/>
        <w:spacing w:before="0" w:after="0"/>
        <w:jc w:val="left"/>
        <w:rPr/>
      </w:pPr>
      <w:r>
        <w:rPr/>
        <w:t> </w:t>
      </w:r>
    </w:p>
    <w:tbl>
      <w:tblPr>
        <w:tblW w:w="7440" w:type="dxa"/>
        <w:jc w:val="left"/>
        <w:tblInd w:w="0" w:type="dxa"/>
        <w:tblCellMar>
          <w:top w:w="28" w:type="dxa"/>
          <w:left w:w="28" w:type="dxa"/>
          <w:bottom w:w="28" w:type="dxa"/>
          <w:right w:w="28" w:type="dxa"/>
        </w:tblCellMar>
      </w:tblPr>
      <w:tblGrid>
        <w:gridCol w:w="4861"/>
        <w:gridCol w:w="146"/>
        <w:gridCol w:w="230"/>
        <w:gridCol w:w="625"/>
        <w:gridCol w:w="146"/>
        <w:gridCol w:w="146"/>
        <w:gridCol w:w="294"/>
        <w:gridCol w:w="801"/>
        <w:gridCol w:w="191"/>
      </w:tblGrid>
      <w:tr>
        <w:trPr/>
        <w:tc>
          <w:tcPr>
            <w:tcW w:w="4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 accrued liabilities and deferred revenue</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975</w:t>
            </w:r>
          </w:p>
        </w:tc>
        <w:tc>
          <w:tcPr>
            <w:tcW w:w="191" w:type="dxa"/>
            <w:tcBorders/>
            <w:shd w:fill="auto" w:val="cle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discretionary and incentive compensation</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91" w:type="dxa"/>
            <w:tcBorders/>
            <w:shd w:fill="auto" w:val="cle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vacation</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91" w:type="dxa"/>
            <w:tcBorders/>
            <w:shd w:fill="auto" w:val="cle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employee-related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revenue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current liabilities consist of the following:</w:t>
      </w:r>
    </w:p>
    <w:p>
      <w:pPr>
        <w:pStyle w:val="TextBody"/>
        <w:spacing w:before="0" w:after="0"/>
        <w:jc w:val="left"/>
        <w:rPr/>
      </w:pPr>
      <w:r>
        <w:rPr/>
        <w:t> </w:t>
      </w:r>
    </w:p>
    <w:tbl>
      <w:tblPr>
        <w:tblW w:w="7125" w:type="dxa"/>
        <w:jc w:val="left"/>
        <w:tblInd w:w="0" w:type="dxa"/>
        <w:tblCellMar>
          <w:top w:w="28" w:type="dxa"/>
          <w:left w:w="28" w:type="dxa"/>
          <w:bottom w:w="28" w:type="dxa"/>
          <w:right w:w="28" w:type="dxa"/>
        </w:tblCellMar>
      </w:tblPr>
      <w:tblGrid>
        <w:gridCol w:w="4546"/>
        <w:gridCol w:w="146"/>
        <w:gridCol w:w="285"/>
        <w:gridCol w:w="570"/>
        <w:gridCol w:w="146"/>
        <w:gridCol w:w="146"/>
        <w:gridCol w:w="364"/>
        <w:gridCol w:w="731"/>
        <w:gridCol w:w="191"/>
      </w:tblGrid>
      <w:tr>
        <w:trPr/>
        <w:tc>
          <w:tcPr>
            <w:tcW w:w="4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payable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payable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compensation plan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and deferred consideration on acquisitions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retirement benefits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other benefits-related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Third-party commissions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 for liabilities consists of the following:</w:t>
      </w:r>
    </w:p>
    <w:p>
      <w:pPr>
        <w:pStyle w:val="TextBody"/>
        <w:spacing w:before="0" w:after="0"/>
        <w:jc w:val="left"/>
        <w:rPr/>
      </w:pPr>
      <w:r>
        <w:rPr/>
        <w:t> </w:t>
      </w:r>
    </w:p>
    <w:tbl>
      <w:tblPr>
        <w:tblW w:w="5865" w:type="dxa"/>
        <w:jc w:val="left"/>
        <w:tblInd w:w="0" w:type="dxa"/>
        <w:tblCellMar>
          <w:top w:w="28" w:type="dxa"/>
          <w:left w:w="28" w:type="dxa"/>
          <w:bottom w:w="28" w:type="dxa"/>
          <w:right w:w="28" w:type="dxa"/>
        </w:tblCellMar>
      </w:tblPr>
      <w:tblGrid>
        <w:gridCol w:w="3286"/>
        <w:gridCol w:w="146"/>
        <w:gridCol w:w="285"/>
        <w:gridCol w:w="570"/>
        <w:gridCol w:w="146"/>
        <w:gridCol w:w="146"/>
        <w:gridCol w:w="364"/>
        <w:gridCol w:w="731"/>
        <w:gridCol w:w="1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Claims, lawsuits and other proceedings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provisions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provision for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non-current liabilities consist of the following:</w:t>
      </w:r>
    </w:p>
    <w:p>
      <w:pPr>
        <w:pStyle w:val="TextBody"/>
        <w:spacing w:before="0" w:after="0"/>
        <w:jc w:val="left"/>
        <w:rPr/>
      </w:pPr>
      <w:r>
        <w:rPr/>
        <w:t> </w:t>
      </w:r>
    </w:p>
    <w:tbl>
      <w:tblPr>
        <w:tblW w:w="7125" w:type="dxa"/>
        <w:jc w:val="left"/>
        <w:tblInd w:w="0" w:type="dxa"/>
        <w:tblCellMar>
          <w:top w:w="28" w:type="dxa"/>
          <w:left w:w="28" w:type="dxa"/>
          <w:bottom w:w="28" w:type="dxa"/>
          <w:right w:w="28" w:type="dxa"/>
        </w:tblCellMar>
      </w:tblPr>
      <w:tblGrid>
        <w:gridCol w:w="4546"/>
        <w:gridCol w:w="146"/>
        <w:gridCol w:w="285"/>
        <w:gridCol w:w="570"/>
        <w:gridCol w:w="146"/>
        <w:gridCol w:w="146"/>
        <w:gridCol w:w="364"/>
        <w:gridCol w:w="731"/>
        <w:gridCol w:w="191"/>
      </w:tblGrid>
      <w:tr>
        <w:trPr/>
        <w:tc>
          <w:tcPr>
            <w:tcW w:w="4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compensation plan liability</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and deferred consideration on acquisitions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 for uncertain tax positions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91" w:type="dxa"/>
            <w:tcBorders/>
            <w:shd w:fill="auto" w:val="cle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16 — Other Income, Net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Other income, net consists of the following:</w:t>
      </w:r>
    </w:p>
    <w:p>
      <w:pPr>
        <w:pStyle w:val="TextBody"/>
        <w:spacing w:before="0" w:after="0"/>
        <w:jc w:val="left"/>
        <w:rPr/>
      </w:pPr>
      <w:r>
        <w:rPr/>
        <w:t> </w:t>
      </w:r>
    </w:p>
    <w:tbl>
      <w:tblPr>
        <w:tblW w:w="6582" w:type="dxa"/>
        <w:jc w:val="left"/>
        <w:tblInd w:w="0" w:type="dxa"/>
        <w:tblCellMar>
          <w:top w:w="28" w:type="dxa"/>
          <w:left w:w="28" w:type="dxa"/>
          <w:bottom w:w="28" w:type="dxa"/>
          <w:right w:w="28" w:type="dxa"/>
        </w:tblCellMar>
      </w:tblPr>
      <w:tblGrid>
        <w:gridCol w:w="4576"/>
        <w:gridCol w:w="146"/>
        <w:gridCol w:w="239"/>
        <w:gridCol w:w="392"/>
        <w:gridCol w:w="188"/>
        <w:gridCol w:w="165"/>
        <w:gridCol w:w="239"/>
        <w:gridCol w:w="426"/>
        <w:gridCol w:w="211"/>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disposal of operations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periodic pension and postretirement benefit credits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1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 earnings of associates and other investments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exchange (loss)/gain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Includes the offsetting effects of the Company's foreign currency hedging program. See Note 9 — Derivative Financial Instruments.</w:t>
      </w:r>
    </w:p>
    <w:p>
      <w:pPr>
        <w:pStyle w:val="TextBody"/>
        <w:spacing w:before="0" w:after="0"/>
        <w:jc w:val="left"/>
        <w:rPr/>
      </w:pPr>
      <w:bookmarkStart w:id="37" w:name="wltw_20180630_10q_htm_s7021551ba1a95fa18"/>
      <w:bookmarkEnd w:id="37"/>
      <w:r>
        <w:rPr/>
        <w:t> </w:t>
      </w:r>
    </w:p>
    <w:p>
      <w:pPr>
        <w:pStyle w:val="TextBody"/>
        <w:spacing w:before="0" w:after="0"/>
        <w:jc w:val="left"/>
        <w:rPr>
          <w:rFonts w:ascii="Times New Roman;serif" w:hAnsi="Times New Roman;serif"/>
          <w:b/>
          <w:sz w:val="20"/>
        </w:rPr>
      </w:pPr>
      <w:r>
        <w:rPr>
          <w:rFonts w:ascii="Times New Roman;serif" w:hAnsi="Times New Roman;serif"/>
          <w:b/>
          <w:sz w:val="20"/>
        </w:rPr>
        <w:t>Note 17 — Accumulated Other Comprehensive Loss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Changes in accumulated other comprehensive loss, net of non-controlling interests, and net of tax are provided in the following table for the three months ended March 31, 2023 and 2022. This table excludes amounts attributable to non-controlling interests, which are not material for further disclosure.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28"/>
        <w:gridCol w:w="146"/>
        <w:gridCol w:w="196"/>
        <w:gridCol w:w="436"/>
        <w:gridCol w:w="166"/>
        <w:gridCol w:w="146"/>
        <w:gridCol w:w="196"/>
        <w:gridCol w:w="436"/>
        <w:gridCol w:w="166"/>
        <w:gridCol w:w="146"/>
        <w:gridCol w:w="196"/>
        <w:gridCol w:w="346"/>
        <w:gridCol w:w="146"/>
        <w:gridCol w:w="146"/>
        <w:gridCol w:w="196"/>
        <w:gridCol w:w="286"/>
        <w:gridCol w:w="166"/>
        <w:gridCol w:w="146"/>
        <w:gridCol w:w="196"/>
        <w:gridCol w:w="571"/>
        <w:gridCol w:w="166"/>
        <w:gridCol w:w="146"/>
        <w:gridCol w:w="196"/>
        <w:gridCol w:w="571"/>
        <w:gridCol w:w="166"/>
        <w:gridCol w:w="146"/>
        <w:gridCol w:w="196"/>
        <w:gridCol w:w="571"/>
        <w:gridCol w:w="166"/>
        <w:gridCol w:w="146"/>
        <w:gridCol w:w="196"/>
        <w:gridCol w:w="571"/>
        <w:gridCol w:w="211"/>
      </w:tblGrid>
      <w:tr>
        <w:trPr/>
        <w:tc>
          <w:tcPr>
            <w:tcW w:w="23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Foreign currency</w:t>
              <w:br/>
              <w:t>translation</w:t>
            </w:r>
            <w:r>
              <w:rPr>
                <w:rFonts w:ascii="Times New Roman" w:hAnsi="Times New Roman"/>
                <w:sz w:val="16"/>
              </w:rPr>
              <w:t xml:space="preserve"> </w:t>
            </w:r>
            <w:r>
              <w:rPr>
                <w:rFonts w:ascii="Times New Roman;serif" w:hAnsi="Times New Roman;serif"/>
                <w:b/>
                <w:sz w:val="11"/>
              </w:rPr>
              <w:t>(i)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Derivative </w:t>
              <w:br/>
              <w:t>instruments</w:t>
            </w:r>
            <w:r>
              <w:rPr>
                <w:rFonts w:ascii="Times New Roman" w:hAnsi="Times New Roman"/>
                <w:sz w:val="16"/>
              </w:rPr>
              <w:t xml:space="preserve"> </w:t>
            </w:r>
            <w:r>
              <w:rPr>
                <w:rFonts w:ascii="Times New Roman;serif" w:hAnsi="Times New Roman;serif"/>
                <w:b/>
                <w:sz w:val="11"/>
              </w:rPr>
              <w:t>(i)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Defined pension and</w:t>
              <w:br/>
              <w:t>post-retirement</w:t>
              <w:br/>
              <w:t xml:space="preserve">benefit costs </w:t>
            </w:r>
            <w:r>
              <w:rPr>
                <w:rFonts w:ascii="Times New Roman;serif" w:hAnsi="Times New Roman;serif"/>
                <w:b/>
                <w:sz w:val="11"/>
              </w:rPr>
              <w:t>(ii)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 and 2021,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(2,186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income/(loss) before</w:t>
              <w:br/>
              <w:t>   reclassifications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2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(Gain)/loss reclassified from accumulated other</w:t>
              <w:br/>
              <w:t>   comprehensive loss (net of income tax benefit of</w:t>
              <w:br/>
              <w:t>   $3</w:t>
            </w:r>
            <w:r>
              <w:rPr>
                <w:rFonts w:ascii="Times New Roman" w:hAnsi="Times New Roman"/>
                <w:sz w:val="20"/>
              </w:rPr>
              <w:t> </w:t>
            </w:r>
            <w:r>
              <w:rPr>
                <w:rFonts w:ascii="Times New Roman;serif" w:hAnsi="Times New Roman;serif"/>
                <w:b w:val="false"/>
                <w:sz w:val="16"/>
              </w:rPr>
              <w:t>for both periods)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current-period other comprehensive income/(loss)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2023 and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(2,242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pStyle w:val="TextBody"/>
        <w:spacing w:before="40" w:after="0"/>
        <w:jc w:val="left"/>
        <w:rPr>
          <w:rFonts w:ascii="Times New Roman" w:hAnsi="Times New Roman"/>
          <w:b w:val="false"/>
          <w:sz w:val="16"/>
        </w:rPr>
      </w:pPr>
      <w:r>
        <w:rPr>
          <w:rFonts w:ascii="Times New Roman" w:hAnsi="Times New Roman"/>
          <w:b w:val="false"/>
          <w:sz w:val="16"/>
        </w:rPr>
        <w:t>(ii)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pStyle w:val="TextBody"/>
        <w:spacing w:before="180" w:after="0"/>
        <w:jc w:val="left"/>
        <w:rPr>
          <w:rFonts w:ascii="Times New Roman;serif" w:hAnsi="Times New Roman;serif"/>
          <w:b/>
          <w:sz w:val="20"/>
        </w:rPr>
      </w:pPr>
      <w:bookmarkStart w:id="38" w:name="wltw_20180630_10q_htm_sf18a1f127e09508d9"/>
      <w:bookmarkEnd w:id="38"/>
      <w:r>
        <w:rPr>
          <w:rFonts w:ascii="Times New Roman;serif" w:hAnsi="Times New Roman;serif"/>
          <w:b/>
          <w:sz w:val="20"/>
        </w:rPr>
        <w:t>Note 18 — Earnings Per Share</w:t>
      </w:r>
    </w:p>
    <w:p>
      <w:pPr>
        <w:pStyle w:val="TextBody"/>
        <w:spacing w:before="180" w:after="0"/>
        <w:jc w:val="left"/>
        <w:rPr>
          <w:rFonts w:ascii="Times New Roman" w:hAnsi="Times New Roman"/>
          <w:sz w:val="20"/>
        </w:rPr>
      </w:pPr>
      <w:r>
        <w:rPr>
          <w:rFonts w:ascii="Times New Roman;serif" w:hAnsi="Times New Roman;serif"/>
          <w:b w:val="false"/>
          <w:sz w:val="20"/>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At March 31, 2023 and 2022, there were 0.5</w:t>
      </w:r>
      <w:r>
        <w:rPr>
          <w:rFonts w:ascii="Times New Roman" w:hAnsi="Times New Roman"/>
          <w:sz w:val="20"/>
        </w:rPr>
        <w:t xml:space="preserve"> </w:t>
      </w:r>
      <w:r>
        <w:rPr>
          <w:rFonts w:ascii="Times New Roman;serif" w:hAnsi="Times New Roman;serif"/>
          <w:b w:val="false"/>
          <w:sz w:val="20"/>
        </w:rPr>
        <w:t>million restricted performance-based stock units outstanding at each period presented and 0.4</w:t>
      </w:r>
      <w:r>
        <w:rPr>
          <w:rFonts w:ascii="Times New Roman" w:hAnsi="Times New Roman"/>
          <w:sz w:val="20"/>
        </w:rPr>
        <w:t xml:space="preserve"> </w:t>
      </w:r>
      <w:r>
        <w:rPr>
          <w:rFonts w:ascii="Times New Roman;serif" w:hAnsi="Times New Roman;serif"/>
          <w:b w:val="false"/>
          <w:sz w:val="20"/>
        </w:rPr>
        <w:t>million restricted time-based stock units outstanding at each period presented. The Company’s time-based share options were immaterial at both March 31, 2023 and 2022. The were no</w:t>
      </w:r>
      <w:r>
        <w:rPr>
          <w:rFonts w:ascii="Times New Roman" w:hAnsi="Times New Roman"/>
          <w:sz w:val="20"/>
        </w:rPr>
        <w:t xml:space="preserve"> </w:t>
      </w:r>
      <w:r>
        <w:rPr>
          <w:rFonts w:ascii="Times New Roman;serif" w:hAnsi="Times New Roman;serif"/>
          <w:b w:val="false"/>
          <w:sz w:val="20"/>
        </w:rPr>
        <w:t>performance-based options outstanding at March 31, 2023; there were 0.1</w:t>
      </w:r>
      <w:r>
        <w:rPr>
          <w:rFonts w:ascii="Times New Roman" w:hAnsi="Times New Roman"/>
          <w:sz w:val="20"/>
        </w:rPr>
        <w:t xml:space="preserve"> </w:t>
      </w:r>
      <w:r>
        <w:rPr>
          <w:rFonts w:ascii="Times New Roman;serif" w:hAnsi="Times New Roman;serif"/>
          <w:b w:val="false"/>
          <w:sz w:val="20"/>
        </w:rPr>
        <w:t>million performance-based options outstanding at March 31, 2022.</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Basic and diluted earnings per share are as follows:</w:t>
      </w:r>
      <w:r>
        <w:rPr>
          <w:rFonts w:ascii="Times New Roman" w:hAnsi="Times New Roman"/>
          <w:sz w:val="20"/>
        </w:rPr>
        <w:t xml:space="preserve"> </w:t>
      </w:r>
    </w:p>
    <w:p>
      <w:pPr>
        <w:pStyle w:val="TextBody"/>
        <w:spacing w:before="0" w:after="0"/>
        <w:jc w:val="left"/>
        <w:rPr/>
      </w:pPr>
      <w:r>
        <w:rPr/>
        <w:t> </w:t>
      </w:r>
    </w:p>
    <w:tbl>
      <w:tblPr>
        <w:tblW w:w="9061" w:type="dxa"/>
        <w:jc w:val="left"/>
        <w:tblInd w:w="0" w:type="dxa"/>
        <w:tblCellMar>
          <w:top w:w="28" w:type="dxa"/>
          <w:left w:w="28" w:type="dxa"/>
          <w:bottom w:w="28" w:type="dxa"/>
          <w:right w:w="28" w:type="dxa"/>
        </w:tblCellMar>
      </w:tblPr>
      <w:tblGrid>
        <w:gridCol w:w="6226"/>
        <w:gridCol w:w="146"/>
        <w:gridCol w:w="293"/>
        <w:gridCol w:w="731"/>
        <w:gridCol w:w="230"/>
        <w:gridCol w:w="203"/>
        <w:gridCol w:w="293"/>
        <w:gridCol w:w="648"/>
        <w:gridCol w:w="291"/>
      </w:tblGrid>
      <w:tr>
        <w:trPr/>
        <w:tc>
          <w:tcPr>
            <w:tcW w:w="62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6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230"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291" w:type="dxa"/>
            <w:tcBorders/>
            <w:shd w:fill="auto" w:val="clear"/>
            <w:vAlign w:val="center"/>
          </w:tcPr>
          <w:p>
            <w:pPr>
              <w:pStyle w:val="TableContents"/>
              <w:spacing w:before="0" w:after="0"/>
              <w:ind w:left="0" w:right="0" w:firstLine="100"/>
              <w:jc w:val="left"/>
              <w:rPr/>
            </w:pPr>
            <w:r>
              <w:rPr/>
              <w:t> </w:t>
            </w:r>
          </w:p>
        </w:tc>
      </w:tr>
      <w:tr>
        <w:trPr/>
        <w:tc>
          <w:tcPr>
            <w:tcW w:w="62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income attributable to non-controllable interests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attributable to WTW</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average number of shares outstanding</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30"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9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Dilutive effect of potentially issuable shares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average number of shares outstanding</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 from continuing operations attributable to WTW</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230"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29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Dilutive effect of potentially issuable shares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from continuing operations attributable to WTW</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4" w:type="dxa"/>
            <w:gridSpan w:val="2"/>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941"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share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pPr>
            <w:r>
              <w:rPr/>
              <w:t>—</w:t>
            </w:r>
          </w:p>
        </w:tc>
        <w:tc>
          <w:tcPr>
            <w:tcW w:w="230"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91" w:type="dxa"/>
            <w:tcBorders/>
            <w:shd w:fill="auto" w:val="cle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Dilutive effect of potentially issuable shares</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anti-dilutive restricted stock units for the three months ended March 31, 2023; for the three months ended March 31, 2022, 0.1</w:t>
      </w:r>
      <w:r>
        <w:rPr>
          <w:rFonts w:ascii="Times New Roman" w:hAnsi="Times New Roman"/>
          <w:sz w:val="20"/>
        </w:rPr>
        <w:t xml:space="preserve"> </w:t>
      </w:r>
      <w:r>
        <w:rPr>
          <w:rFonts w:ascii="Times New Roman;serif" w:hAnsi="Times New Roman;serif"/>
          <w:b w:val="false"/>
          <w:sz w:val="20"/>
        </w:rPr>
        <w:t>million restricted stock units were not included in the computation of the dilutive effect of potentially issuable shares because their effect was anti-dilutive. There were no</w:t>
      </w:r>
      <w:r>
        <w:rPr>
          <w:rFonts w:ascii="Times New Roman" w:hAnsi="Times New Roman"/>
          <w:sz w:val="20"/>
        </w:rPr>
        <w:t xml:space="preserve"> </w:t>
      </w:r>
      <w:r>
        <w:rPr>
          <w:rFonts w:ascii="Times New Roman;serif" w:hAnsi="Times New Roman;serif"/>
          <w:b w:val="false"/>
          <w:sz w:val="20"/>
        </w:rPr>
        <w:t>anti-dilutive options for the three months ended March 31, 2023</w:t>
      </w:r>
      <w:r>
        <w:rPr>
          <w:rFonts w:ascii="Times New Roman" w:hAnsi="Times New Roman"/>
          <w:sz w:val="20"/>
        </w:rPr>
        <w:t xml:space="preserve"> </w:t>
      </w:r>
      <w:r>
        <w:rPr>
          <w:rFonts w:ascii="Times New Roman;serif" w:hAnsi="Times New Roman;serif"/>
          <w:b w:val="false"/>
          <w:sz w:val="20"/>
        </w:rPr>
        <w:t>and 2022.</w:t>
      </w:r>
    </w:p>
    <w:p>
      <w:pPr>
        <w:pStyle w:val="TextBody"/>
        <w:spacing w:before="180" w:after="0"/>
        <w:jc w:val="left"/>
        <w:rPr>
          <w:rFonts w:ascii="Times New Roman;serif" w:hAnsi="Times New Roman;serif"/>
          <w:b/>
          <w:sz w:val="20"/>
        </w:rPr>
      </w:pPr>
      <w:r>
        <w:rPr>
          <w:rFonts w:ascii="Times New Roman;serif" w:hAnsi="Times New Roman;serif"/>
          <w:b/>
          <w:sz w:val="20"/>
        </w:rPr>
        <w:t>Note 19 — Supplemental Disclosures of Cash Flow Information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Supplemental disclosures regarding cash flow information are as follows:</w:t>
      </w:r>
    </w:p>
    <w:p>
      <w:pPr>
        <w:pStyle w:val="TextBody"/>
        <w:spacing w:before="0" w:after="0"/>
        <w:jc w:val="left"/>
        <w:rPr/>
      </w:pPr>
      <w:r>
        <w:rPr/>
        <w:t> </w:t>
      </w:r>
    </w:p>
    <w:tbl>
      <w:tblPr>
        <w:tblW w:w="9405" w:type="dxa"/>
        <w:jc w:val="left"/>
        <w:tblInd w:w="0" w:type="dxa"/>
        <w:tblCellMar>
          <w:top w:w="28" w:type="dxa"/>
          <w:left w:w="28" w:type="dxa"/>
          <w:bottom w:w="28" w:type="dxa"/>
          <w:right w:w="28" w:type="dxa"/>
        </w:tblCellMar>
      </w:tblPr>
      <w:tblGrid>
        <w:gridCol w:w="6496"/>
        <w:gridCol w:w="146"/>
        <w:gridCol w:w="256"/>
        <w:gridCol w:w="694"/>
        <w:gridCol w:w="202"/>
        <w:gridCol w:w="177"/>
        <w:gridCol w:w="256"/>
        <w:gridCol w:w="767"/>
        <w:gridCol w:w="411"/>
      </w:tblGrid>
      <w:tr>
        <w:trPr/>
        <w:tc>
          <w:tcPr>
            <w:tcW w:w="6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50" w:type="dxa"/>
            <w:gridSpan w:val="2"/>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02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w:t>
            </w:r>
          </w:p>
        </w:tc>
        <w:tc>
          <w:tcPr>
            <w:tcW w:w="202"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2,198</w:t>
            </w:r>
          </w:p>
        </w:tc>
        <w:tc>
          <w:tcPr>
            <w:tcW w:w="411" w:type="dxa"/>
            <w:tcBorders/>
            <w:shd w:fill="auto" w:val="cle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Fiduciary funds (included in fiduciary assets)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3,227</w:t>
            </w:r>
          </w:p>
        </w:tc>
        <w:tc>
          <w:tcPr>
            <w:tcW w:w="202"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2,967</w:t>
            </w:r>
          </w:p>
        </w:tc>
        <w:tc>
          <w:tcPr>
            <w:tcW w:w="411" w:type="dxa"/>
            <w:tcBorders/>
            <w:shd w:fill="auto" w:val="cle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Cash and cash equivalents and fiduciary funds (included in current assets held </w:t>
              <w:br/>
              <w:t>   for sale)</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4,362</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9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0" w:type="dxa"/>
            <w:gridSpan w:val="2"/>
            <w:tcBorders/>
            <w:shd w:fill="auto" w:val="clear"/>
            <w:vAlign w:val="center"/>
          </w:tcPr>
          <w:p>
            <w:pPr>
              <w:pStyle w:val="TableContents"/>
              <w:spacing w:before="0" w:after="0"/>
              <w:ind w:left="0" w:right="0" w:hanging="0"/>
              <w:jc w:val="right"/>
              <w:rPr/>
            </w:pPr>
            <w:r>
              <w:rPr/>
              <w:t> </w:t>
            </w:r>
          </w:p>
        </w:tc>
        <w:tc>
          <w:tcPr>
            <w:tcW w:w="202" w:type="dxa"/>
            <w:tcBorders/>
            <w:shd w:fill="auto" w:val="clear"/>
            <w:vAlign w:val="center"/>
          </w:tcPr>
          <w:p>
            <w:pPr>
              <w:pStyle w:val="TableContents"/>
              <w:spacing w:before="0" w:after="0"/>
              <w:ind w:left="0" w:right="0" w:hanging="0"/>
              <w:jc w:val="righ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023"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cash, cash equivalents and other restricted cash</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in fiduciary funds</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39" w:name="item_2_managements_discussion_analysis_f"/>
      <w:bookmarkEnd w:id="3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See ‘Non-GAAP Financial Measures’ below for further discussion of our adjusted, constant currency and organic non-GAAP financial measures.</w:t>
      </w:r>
    </w:p>
    <w:p>
      <w:pPr>
        <w:pStyle w:val="TextBody"/>
        <w:spacing w:before="180" w:after="0"/>
        <w:jc w:val="left"/>
        <w:rPr>
          <w:rFonts w:ascii="Times New Roman;serif" w:hAnsi="Times New Roman;serif"/>
          <w:b/>
          <w:sz w:val="20"/>
        </w:rPr>
      </w:pPr>
      <w:r>
        <w:rPr>
          <w:rFonts w:ascii="Times New Roman;serif" w:hAnsi="Times New Roman;serif"/>
          <w:b/>
          <w:sz w:val="20"/>
        </w:rPr>
        <w:t>Executive Overview</w:t>
      </w:r>
    </w:p>
    <w:p>
      <w:pPr>
        <w:pStyle w:val="TextBody"/>
        <w:spacing w:before="180" w:after="0"/>
        <w:jc w:val="left"/>
        <w:rPr>
          <w:rFonts w:ascii="Times New Roman;serif" w:hAnsi="Times New Roman;serif"/>
          <w:b/>
          <w:i/>
          <w:sz w:val="20"/>
        </w:rPr>
      </w:pPr>
      <w:r>
        <w:rPr>
          <w:rFonts w:ascii="Times New Roman;serif" w:hAnsi="Times New Roman;serif"/>
          <w:b/>
          <w:i/>
          <w:sz w:val="20"/>
        </w:rPr>
        <w:t>Market Conditions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pStyle w:val="TextBody"/>
        <w:spacing w:before="180" w:after="0"/>
        <w:jc w:val="left"/>
        <w:rPr>
          <w:rFonts w:ascii="Times New Roman" w:hAnsi="Times New Roman"/>
          <w:sz w:val="20"/>
        </w:rPr>
      </w:pPr>
      <w:r>
        <w:rPr>
          <w:rFonts w:ascii="Times New Roman;serif" w:hAnsi="Times New Roman;serif"/>
          <w:b w:val="false"/>
          <w:sz w:val="20"/>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pStyle w:val="TextBody"/>
        <w:spacing w:before="180" w:after="0"/>
        <w:jc w:val="left"/>
        <w:rPr>
          <w:rFonts w:ascii="Times New Roman" w:hAnsi="Times New Roman"/>
          <w:sz w:val="20"/>
        </w:rPr>
      </w:pPr>
      <w:r>
        <w:rPr>
          <w:rFonts w:ascii="Times New Roman;serif" w:hAnsi="Times New Roman;serif"/>
          <w:b/>
          <w:i/>
          <w:sz w:val="20"/>
        </w:rPr>
        <w:t>Risks and Uncertainties of the Economic Environment</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U.S. and global markets are continuing to experience volatility and disruption as a result of the war between Russia and Ukraine. Although the length and impact of the ongoing situation is highly unpredictable, as the war in Ukraine continues, it has and could continue to lead to further market disruptions. The war in Ukraine has contributed to negative impacts on the global economy and capital markets including significant inflation in many of the markets in which we operate. This impacts not only the cost of and access to liquidity, but also other costs to run and invest in our business.</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Other global economic events, such as accommodative monetary and fiscal policy and geopolitical tensions beyond the war in Ukraine,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operating and general and administrative expenses, and we have no control or limited ability to control such factors.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2022, our financial results were negatively impacted by adverse workforce factors in a number of businesses, particularly commercial risk broking and health and benefits broking. Additionally, our 2022 performance benefited from revenue from book sales, which is non-repeatable revenue. The net impact of these factors, which caused our growth in 2022 to be meaningfully slower than other competitors, may affect the comparability of our 2022 results against the same period (or periods) in 2023 or other future periods. See Part I, Item 1A ‘Risk Factors’ in our Annual Report on Form 10-K, filed with the SEC on February 24, 2023, for a discussion of risks that may affect our growth relative to expectation and our ability to compete.</w:t>
      </w:r>
    </w:p>
    <w:p>
      <w:pPr>
        <w:pStyle w:val="TextBody"/>
        <w:spacing w:before="180" w:after="0"/>
        <w:jc w:val="left"/>
        <w:rPr>
          <w:rFonts w:ascii="Times New Roman" w:hAnsi="Times New Roman"/>
          <w:sz w:val="20"/>
        </w:rPr>
      </w:pPr>
      <w:r>
        <w:rPr>
          <w:rFonts w:ascii="Times New Roman;serif" w:hAnsi="Times New Roman;serif"/>
          <w:b/>
          <w:sz w:val="20"/>
        </w:rPr>
        <w:t>Transformation Program</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the fourth quarter of 2021, the Company initiated a three-year ‘Transformation program’ designed to enhance operations, optimize technology and align its real estate footprint to its new ways of working. During the third quarter of 2022, we revised the expected costs and savings under the program and we now expect the program to generate annual cost savings in excess of $360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Real estate rationalization — includes costs to align the real estate footprint to the new ways of working (hybrid work) and includes breakage fees and the impairment of right-of-use assets and other related leasehold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Other — other costs not included above including fees for professional services, other contract terminations not related to the above categories and supplier migration costs.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Certain costs under the Transformation program are accounted for under ASC 420, </w:t>
      </w:r>
      <w:r>
        <w:rPr>
          <w:rFonts w:ascii="Times New Roman;serif" w:hAnsi="Times New Roman;serif"/>
          <w:b w:val="false"/>
          <w:i/>
          <w:sz w:val="20"/>
        </w:rPr>
        <w:t>Exit or Disposal Cost Obligation</w:t>
      </w:r>
      <w:r>
        <w:rPr>
          <w:rFonts w:ascii="Times New Roman;serif" w:hAnsi="Times New Roman;serif"/>
          <w:b w:val="false"/>
          <w:sz w:val="20"/>
        </w:rPr>
        <w:t>, and are included as restructuring costs in the condensed consolidated statements of comprehensive income. For the three months ended March 31, 2023 and 2022, restructuring charges under our Transformation program totaled $3 million and $6 million, respectively. Other costs incurred under the Transformation program are included in transaction and transformation and were $45 million and $5 million for the three months ended March 31, 2023 and 2022, respectively. From the actions taken during the first quarter of 2023, we have identified an additional $75 million of annualized run-rate savings during the year due to newly-realized opportunities and incremental sources of value. Since the inception of the program, we have identified $224 million of cumulative annualized run-rate savings, which overall are primarily</w:t>
      </w:r>
      <w:r>
        <w:rPr>
          <w:rFonts w:ascii="Times New Roman" w:hAnsi="Times New Roman"/>
          <w:sz w:val="20"/>
        </w:rPr>
        <w:t xml:space="preserve"> </w:t>
      </w:r>
      <w:r>
        <w:rPr>
          <w:rFonts w:ascii="Times New Roman;serif" w:hAnsi="Times New Roman;serif"/>
          <w:b w:val="false"/>
          <w:sz w:val="20"/>
        </w:rPr>
        <w:t>attributable to the reduction of real estate and technology costs. The benefits</w:t>
      </w:r>
      <w:r>
        <w:rPr>
          <w:rFonts w:ascii="Times New Roman" w:hAnsi="Times New Roman"/>
          <w:sz w:val="20"/>
        </w:rPr>
        <w:t xml:space="preserve"> </w:t>
      </w:r>
      <w:r>
        <w:rPr>
          <w:rFonts w:ascii="Times New Roman;serif" w:hAnsi="Times New Roman;serif"/>
          <w:b w:val="false"/>
          <w:sz w:val="20"/>
        </w:rPr>
        <w:t>from the program began to be recognized during 2022.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a discussion of some of the risks associated with the Transformation program, see Part I, Item 1A ‘Risk Factors’ in our Annual Report on Form 10-K, filed with the SEC on February 24, 2023.</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Financial Statement Overview</w:t>
      </w:r>
    </w:p>
    <w:p>
      <w:pPr>
        <w:pStyle w:val="TextBody"/>
        <w:spacing w:before="180" w:after="0"/>
        <w:jc w:val="left"/>
        <w:rPr>
          <w:rFonts w:ascii="Times New Roman" w:hAnsi="Times New Roman"/>
          <w:sz w:val="20"/>
        </w:rPr>
      </w:pPr>
      <w:r>
        <w:rPr>
          <w:rFonts w:ascii="Times New Roman;serif" w:hAnsi="Times New Roman;serif"/>
          <w:b w:val="false"/>
          <w:sz w:val="20"/>
        </w:rPr>
        <w:t>The table below sets forth our summarized condensed consolidated statements of comprehensive income and data as a percentage of revenue for the periods indicated.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749"/>
        <w:gridCol w:w="146"/>
        <w:gridCol w:w="211"/>
        <w:gridCol w:w="571"/>
        <w:gridCol w:w="166"/>
        <w:gridCol w:w="146"/>
        <w:gridCol w:w="146"/>
        <w:gridCol w:w="421"/>
        <w:gridCol w:w="325"/>
        <w:gridCol w:w="146"/>
        <w:gridCol w:w="211"/>
        <w:gridCol w:w="571"/>
        <w:gridCol w:w="166"/>
        <w:gridCol w:w="146"/>
        <w:gridCol w:w="146"/>
        <w:gridCol w:w="421"/>
        <w:gridCol w:w="517"/>
      </w:tblGrid>
      <w:tr>
        <w:trPr/>
        <w:tc>
          <w:tcPr>
            <w:tcW w:w="57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r>
      <w:tr>
        <w:trPr/>
        <w:tc>
          <w:tcPr>
            <w:tcW w:w="574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93"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 except per share data)</w:t>
            </w:r>
          </w:p>
        </w:tc>
        <w:tc>
          <w:tcPr>
            <w:tcW w:w="517" w:type="dxa"/>
            <w:tcBorders/>
            <w:shd w:fill="auto" w:val="clear"/>
            <w:vAlign w:val="center"/>
          </w:tcPr>
          <w:p>
            <w:pPr>
              <w:pStyle w:val="TableContents"/>
              <w:spacing w:before="0" w:after="0"/>
              <w:ind w:left="0" w:right="0" w:hanging="0"/>
              <w:jc w:val="center"/>
              <w:rPr/>
            </w:pPr>
            <w:r>
              <w:rPr/>
              <w:t> </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517" w:type="dxa"/>
            <w:tcBorders/>
            <w:shd w:fill="auto" w:val="clear"/>
            <w:vAlign w:val="center"/>
          </w:tcPr>
          <w:p>
            <w:pPr>
              <w:pStyle w:val="TableContents"/>
              <w:spacing w:before="0" w:after="0"/>
              <w:ind w:left="0" w:right="0" w:firstLine="200"/>
              <w:jc w:val="right"/>
              <w:rPr/>
            </w:pPr>
            <w:r>
              <w:rPr/>
              <w:t> </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Salaries and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5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5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5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of providing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517" w:type="dxa"/>
            <w:tcBorders/>
            <w:shd w:fill="auto" w:val="clear"/>
            <w:vAlign w:val="center"/>
          </w:tcPr>
          <w:p>
            <w:pPr>
              <w:pStyle w:val="TableContents"/>
              <w:spacing w:before="0" w:after="0"/>
              <w:ind w:left="0" w:right="0" w:hanging="0"/>
              <w:jc w:val="right"/>
              <w:rPr/>
            </w:pPr>
            <w:r>
              <w:rPr/>
              <w:t> </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WTW</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 from continuing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517"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Consolidated Revenue (Continuing Operations)</w:t>
      </w:r>
    </w:p>
    <w:p>
      <w:pPr>
        <w:pStyle w:val="TextBody"/>
        <w:spacing w:before="180" w:after="0"/>
        <w:jc w:val="left"/>
        <w:rPr>
          <w:rFonts w:ascii="Times New Roman" w:hAnsi="Times New Roman"/>
          <w:sz w:val="20"/>
        </w:rPr>
      </w:pPr>
      <w:r>
        <w:rPr>
          <w:rFonts w:ascii="Times New Roman;serif" w:hAnsi="Times New Roman;serif"/>
          <w:b w:val="false"/>
          <w:sz w:val="20"/>
        </w:rPr>
        <w:t>Revenue for both the three months ended March 31, 2023 and 2022 was $2.2 billion, an increase of $84 million, or 4%, on an as-reported basis. Adjusting for the impacts of foreign currency and acquisitions and disposals, our organic revenue growth was 8% for the three months ended March 31, 2023. The increases in both as-reported and organic revenue were driven by strong performances in both segments.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Our revenue can be materially impacted by changes in currency conversions, which can fluctuate significantly over the course of a calendar year. For the three months ended March 31, 2023, currency translation decreased our consolidated revenue by $63 million. The primary currencies driving this change were the Pound sterling and Euro.</w:t>
      </w:r>
    </w:p>
    <w:p>
      <w:pPr>
        <w:pStyle w:val="TextBody"/>
        <w:spacing w:before="180" w:after="0"/>
        <w:jc w:val="left"/>
        <w:rPr>
          <w:rFonts w:ascii="Times New Roman" w:hAnsi="Times New Roman"/>
          <w:sz w:val="20"/>
        </w:rPr>
      </w:pPr>
      <w:r>
        <w:rPr>
          <w:rFonts w:ascii="Times New Roman;serif" w:hAnsi="Times New Roman;serif"/>
          <w:b w:val="false"/>
          <w:sz w:val="20"/>
        </w:rPr>
        <w:t>The following table details our top five markets based on the percentage of consolidated revenue (in U.S. dollars) from the countries where work was performed for the three months ended March 31, 2023. These figures do not represent the currency of the related revenue, which is presented in the next table.</w:t>
      </w:r>
      <w:r>
        <w:rPr>
          <w:rFonts w:ascii="Times New Roman" w:hAnsi="Times New Roman"/>
          <w:sz w:val="20"/>
        </w:rPr>
        <w:t xml:space="preserve"> </w:t>
      </w:r>
    </w:p>
    <w:p>
      <w:pPr>
        <w:pStyle w:val="TextBody"/>
        <w:spacing w:before="0" w:after="0"/>
        <w:jc w:val="left"/>
        <w:rPr/>
      </w:pPr>
      <w:r>
        <w:rPr/>
        <w:t> </w:t>
      </w:r>
    </w:p>
    <w:tbl>
      <w:tblPr>
        <w:tblW w:w="3118" w:type="dxa"/>
        <w:jc w:val="left"/>
        <w:tblInd w:w="0" w:type="dxa"/>
        <w:tblCellMar>
          <w:top w:w="28" w:type="dxa"/>
          <w:left w:w="28" w:type="dxa"/>
          <w:bottom w:w="28" w:type="dxa"/>
          <w:right w:w="28" w:type="dxa"/>
        </w:tblCellMar>
      </w:tblPr>
      <w:tblGrid>
        <w:gridCol w:w="1531"/>
        <w:gridCol w:w="146"/>
        <w:gridCol w:w="354"/>
        <w:gridCol w:w="771"/>
        <w:gridCol w:w="316"/>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Geographic Region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France</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Germany</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table below details the approximate percentage of our revenue and expenses from continuing operations by transactional currency for the three months ended March 31, 2023.</w:t>
      </w:r>
      <w:r>
        <w:rPr>
          <w:rFonts w:ascii="Times New Roman" w:hAnsi="Times New Roman"/>
          <w:sz w:val="20"/>
        </w:rPr>
        <w:t xml:space="preserve"> </w:t>
      </w:r>
    </w:p>
    <w:p>
      <w:pPr>
        <w:pStyle w:val="TextBody"/>
        <w:spacing w:before="0" w:after="0"/>
        <w:jc w:val="left"/>
        <w:rPr/>
      </w:pPr>
      <w:r>
        <w:rPr/>
        <w:t> </w:t>
      </w:r>
    </w:p>
    <w:tbl>
      <w:tblPr>
        <w:tblW w:w="4346" w:type="dxa"/>
        <w:jc w:val="left"/>
        <w:tblInd w:w="0" w:type="dxa"/>
        <w:tblCellMar>
          <w:top w:w="28" w:type="dxa"/>
          <w:left w:w="28" w:type="dxa"/>
          <w:bottom w:w="28" w:type="dxa"/>
          <w:right w:w="28" w:type="dxa"/>
        </w:tblCellMar>
      </w:tblPr>
      <w:tblGrid>
        <w:gridCol w:w="1861"/>
        <w:gridCol w:w="146"/>
        <w:gridCol w:w="227"/>
        <w:gridCol w:w="494"/>
        <w:gridCol w:w="271"/>
        <w:gridCol w:w="146"/>
        <w:gridCol w:w="279"/>
        <w:gridCol w:w="606"/>
        <w:gridCol w:w="316"/>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Transactional Currency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Expenses </w:t>
            </w:r>
            <w:r>
              <w:rPr>
                <w:rFonts w:ascii="Times New Roman;serif" w:hAnsi="Times New Roman;serif"/>
                <w:b/>
                <w:sz w:val="11"/>
              </w:rPr>
              <w:t>(i)</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dollars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Pounds sterling</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currencies</w:t>
            </w:r>
          </w:p>
        </w:tc>
        <w:tc>
          <w:tcPr>
            <w:tcW w:w="1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4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9"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The following table sets forth the total revenue for the three months ended March 31, 2023 and 2022 and the components of the change in total revenue for the three months ended March 31, 2023, as compared to the prior year period. The components of the revenue change may not add due to rounding.</w:t>
      </w:r>
      <w:r>
        <w:rPr>
          <w:rFonts w:ascii="Times New Roman" w:hAnsi="Times New Roman"/>
          <w:sz w:val="20"/>
        </w:rPr>
        <w:t xml:space="preserve"> </w:t>
      </w:r>
    </w:p>
    <w:p>
      <w:pPr>
        <w:pStyle w:val="TextBody"/>
        <w:spacing w:before="0" w:after="0"/>
        <w:jc w:val="left"/>
        <w:rPr/>
      </w:pPr>
      <w:r>
        <w:rPr/>
        <w:t> </w:t>
      </w:r>
    </w:p>
    <w:tbl>
      <w:tblPr>
        <w:tblW w:w="8404" w:type="dxa"/>
        <w:jc w:val="left"/>
        <w:tblInd w:w="0" w:type="dxa"/>
        <w:tblCellMar>
          <w:top w:w="28" w:type="dxa"/>
          <w:left w:w="28" w:type="dxa"/>
          <w:bottom w:w="28" w:type="dxa"/>
          <w:right w:w="28" w:type="dxa"/>
        </w:tblCellMar>
      </w:tblPr>
      <w:tblGrid>
        <w:gridCol w:w="841"/>
        <w:gridCol w:w="146"/>
        <w:gridCol w:w="272"/>
        <w:gridCol w:w="738"/>
        <w:gridCol w:w="188"/>
        <w:gridCol w:w="188"/>
        <w:gridCol w:w="272"/>
        <w:gridCol w:w="738"/>
        <w:gridCol w:w="146"/>
        <w:gridCol w:w="146"/>
        <w:gridCol w:w="781"/>
        <w:gridCol w:w="146"/>
        <w:gridCol w:w="796"/>
        <w:gridCol w:w="146"/>
        <w:gridCol w:w="796"/>
        <w:gridCol w:w="146"/>
        <w:gridCol w:w="1021"/>
        <w:gridCol w:w="146"/>
        <w:gridCol w:w="751"/>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Components of Revenue Change</w:t>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Constant</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Reported</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Acquisitions/</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Organic</w:t>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Divestitures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8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Definitions of Constant Currency Change and Organic Change are included under the section entitled ‘Non-GAAP Financial Measures’ elsewhere within Item 2 of this Form 10-Q.</w:t>
      </w:r>
    </w:p>
    <w:p>
      <w:pPr>
        <w:pStyle w:val="TextBody"/>
        <w:spacing w:before="180" w:after="0"/>
        <w:jc w:val="left"/>
        <w:rPr>
          <w:rFonts w:ascii="Times New Roman;serif" w:hAnsi="Times New Roman;serif"/>
          <w:b/>
          <w:sz w:val="20"/>
        </w:rPr>
      </w:pPr>
      <w:r>
        <w:rPr>
          <w:rFonts w:ascii="Times New Roman;serif" w:hAnsi="Times New Roman;serif"/>
          <w:b/>
          <w:sz w:val="20"/>
        </w:rPr>
        <w:t>Segment Revenue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segment descriptions below should be read in conjunction with the full descriptions of our businesses contained in Part I, Item 1. ‘Business’, within our Annual Report on Form 10-K, filed with the SEC on February 24, 2023.</w:t>
      </w:r>
    </w:p>
    <w:p>
      <w:pPr>
        <w:pStyle w:val="TextBody"/>
        <w:spacing w:before="180" w:after="0"/>
        <w:jc w:val="left"/>
        <w:rPr>
          <w:rFonts w:ascii="Times New Roman" w:hAnsi="Times New Roman"/>
          <w:sz w:val="20"/>
        </w:rPr>
      </w:pPr>
      <w:r>
        <w:rPr>
          <w:rFonts w:ascii="Times New Roman;serif" w:hAnsi="Times New Roman;serif"/>
          <w:b w:val="false"/>
          <w:sz w:val="20"/>
        </w:rPr>
        <w:t>Segment revenue excludes amounts that were directly incurred on behalf of our clients and reimbursed by them (reimbursed expenses); however, these amounts are included in consolidated revenue, as permitted by applicable accounting standards and SEC rules.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experiences seasonal fluctuations in its revenue. Revenue is typically higher during the Company’s first and fourth quarters due primarily to the timing of broking-related activities.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For each table presented below, the components of the revenue change may not add due to rounding.</w:t>
      </w:r>
    </w:p>
    <w:p>
      <w:pPr>
        <w:pStyle w:val="TextBody"/>
        <w:spacing w:before="180" w:after="0"/>
        <w:jc w:val="left"/>
        <w:rPr>
          <w:rFonts w:ascii="Times New Roman" w:hAnsi="Times New Roman"/>
          <w:sz w:val="20"/>
        </w:rPr>
      </w:pPr>
      <w:r>
        <w:rPr>
          <w:rFonts w:ascii="Times New Roman;serif" w:hAnsi="Times New Roman;serif"/>
          <w:b/>
          <w:i/>
          <w:sz w:val="20"/>
        </w:rPr>
        <w:t>Health, Wealth &amp; Career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HWC is the larger of the two segments of the Company. Addressing four key areas, Health, Wealth, Career and Benefits Delivery &amp; Outsourcing, the segment is focused on addressing our clients’ people and risk needs to help them succeed in a global marketplace.</w:t>
      </w:r>
    </w:p>
    <w:p>
      <w:pPr>
        <w:pStyle w:val="TextBody"/>
        <w:spacing w:before="180" w:after="0"/>
        <w:jc w:val="left"/>
        <w:rPr>
          <w:rFonts w:ascii="Times New Roman" w:hAnsi="Times New Roman"/>
          <w:sz w:val="20"/>
        </w:rPr>
      </w:pPr>
      <w:r>
        <w:rPr>
          <w:rFonts w:ascii="Times New Roman;serif" w:hAnsi="Times New Roman;serif"/>
          <w:b w:val="false"/>
          <w:sz w:val="20"/>
        </w:rPr>
        <w:t>The following table sets forth HWC revenue for the three months ended March 31, 2023 and 2022 and the components of the change in revenue for the three months ended March 31, 2023 from the three months ended March 31, 2022.</w:t>
      </w:r>
      <w:r>
        <w:rPr>
          <w:rFonts w:ascii="Times New Roman" w:hAnsi="Times New Roman"/>
          <w:sz w:val="20"/>
        </w:rPr>
        <w:t xml:space="preserve"> </w:t>
      </w:r>
    </w:p>
    <w:p>
      <w:pPr>
        <w:pStyle w:val="TextBody"/>
        <w:spacing w:before="0" w:after="0"/>
        <w:jc w:val="left"/>
        <w:rPr/>
      </w:pPr>
      <w:r>
        <w:rPr/>
        <w:t> </w:t>
      </w:r>
    </w:p>
    <w:tbl>
      <w:tblPr>
        <w:tblW w:w="9079" w:type="dxa"/>
        <w:jc w:val="left"/>
        <w:tblInd w:w="0" w:type="dxa"/>
        <w:tblCellMar>
          <w:top w:w="28" w:type="dxa"/>
          <w:left w:w="28" w:type="dxa"/>
          <w:bottom w:w="28" w:type="dxa"/>
          <w:right w:w="28" w:type="dxa"/>
        </w:tblCellMar>
      </w:tblPr>
      <w:tblGrid>
        <w:gridCol w:w="1516"/>
        <w:gridCol w:w="146"/>
        <w:gridCol w:w="272"/>
        <w:gridCol w:w="738"/>
        <w:gridCol w:w="188"/>
        <w:gridCol w:w="188"/>
        <w:gridCol w:w="272"/>
        <w:gridCol w:w="738"/>
        <w:gridCol w:w="146"/>
        <w:gridCol w:w="146"/>
        <w:gridCol w:w="781"/>
        <w:gridCol w:w="146"/>
        <w:gridCol w:w="796"/>
        <w:gridCol w:w="146"/>
        <w:gridCol w:w="796"/>
        <w:gridCol w:w="146"/>
        <w:gridCol w:w="1021"/>
        <w:gridCol w:w="146"/>
        <w:gridCol w:w="75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Components of Revenue Change</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Constant</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Reported</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Acquisitions/</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Organic</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Divestitures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1,287</w:t>
            </w:r>
          </w:p>
        </w:tc>
        <w:tc>
          <w:tcPr>
            <w:tcW w:w="1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7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r>
    </w:tbl>
    <w:p>
      <w:pPr>
        <w:pStyle w:val="TextBody"/>
        <w:spacing w:before="4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HWC segment revenue for the three months ended March 31, 2023 and 2022 was $1.3 billion and $1.2 billion, respectively. Organic growth was led by Health, driven by increased project activity in North America and the continued expansion of our client portfolio in International. Benefits Delivery &amp; Outsourcing generated organic revenue growth through new clients and compliance project work in Outsourcing and higher volumes and placements of Medicare Advantage and Life policies in Individual Marketplace. Our Wealth businesses generated organic revenue growth from higher levels of Retirement work in Europe and North America, including compliance and de-risking projects along with new client acquisitions. Our Career businesses grew revenue organically through increased demand for Advisory services and increases in data and software license sales.</w:t>
      </w:r>
    </w:p>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Risk &amp; Broking</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pStyle w:val="TextBody"/>
        <w:spacing w:before="180" w:after="0"/>
        <w:jc w:val="left"/>
        <w:rPr>
          <w:rFonts w:ascii="Times New Roman" w:hAnsi="Times New Roman"/>
          <w:sz w:val="20"/>
        </w:rPr>
      </w:pPr>
      <w:r>
        <w:rPr>
          <w:rFonts w:ascii="Times New Roman;serif" w:hAnsi="Times New Roman;serif"/>
          <w:b w:val="false"/>
          <w:sz w:val="20"/>
        </w:rPr>
        <w:t>The following table sets forth R&amp;B revenue for the three months ended March 31, 2023 and 2022 and the components of the change in revenue for the three months ended March 31, 2023 from the three months ended March 31, 2022.</w:t>
      </w:r>
      <w:r>
        <w:rPr>
          <w:rFonts w:ascii="Times New Roman" w:hAnsi="Times New Roman"/>
          <w:sz w:val="20"/>
        </w:rPr>
        <w:t xml:space="preserve"> </w:t>
      </w:r>
    </w:p>
    <w:p>
      <w:pPr>
        <w:pStyle w:val="TextBody"/>
        <w:spacing w:before="0" w:after="0"/>
        <w:jc w:val="left"/>
        <w:rPr/>
      </w:pPr>
      <w:r>
        <w:rPr/>
        <w:t> </w:t>
      </w:r>
    </w:p>
    <w:tbl>
      <w:tblPr>
        <w:tblW w:w="9081" w:type="dxa"/>
        <w:jc w:val="left"/>
        <w:tblInd w:w="0" w:type="dxa"/>
        <w:tblCellMar>
          <w:top w:w="28" w:type="dxa"/>
          <w:left w:w="28" w:type="dxa"/>
          <w:bottom w:w="28" w:type="dxa"/>
          <w:right w:w="28" w:type="dxa"/>
        </w:tblCellMar>
      </w:tblPr>
      <w:tblGrid>
        <w:gridCol w:w="1516"/>
        <w:gridCol w:w="146"/>
        <w:gridCol w:w="325"/>
        <w:gridCol w:w="649"/>
        <w:gridCol w:w="225"/>
        <w:gridCol w:w="225"/>
        <w:gridCol w:w="325"/>
        <w:gridCol w:w="649"/>
        <w:gridCol w:w="146"/>
        <w:gridCol w:w="146"/>
        <w:gridCol w:w="781"/>
        <w:gridCol w:w="146"/>
        <w:gridCol w:w="796"/>
        <w:gridCol w:w="146"/>
        <w:gridCol w:w="796"/>
        <w:gridCol w:w="146"/>
        <w:gridCol w:w="1021"/>
        <w:gridCol w:w="146"/>
        <w:gridCol w:w="75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Components of Revenue Change</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Constant</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Reported</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Acquisitions/</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Organic</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Divestitures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Segment revenue</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R&amp;B segment revenue for the three months ended March 31, 2023 and 2022 was $904 million and $891 million, respectively. On an organic basis, Corporate Risk &amp; Broking generated organic revenue growth across all geographies, primarily driven by new business and increased retention in our global lines of business, most notably in Aerospace, Financial Solutions and Natural Resources. Insurance Consulting and Technology had organic revenue growth primarily from software sales.</w:t>
      </w:r>
    </w:p>
    <w:p>
      <w:pPr>
        <w:pStyle w:val="TextBody"/>
        <w:spacing w:before="180" w:after="0"/>
        <w:jc w:val="left"/>
        <w:rPr>
          <w:rFonts w:ascii="Times New Roman;serif" w:hAnsi="Times New Roman;serif"/>
          <w:b/>
          <w:sz w:val="20"/>
        </w:rPr>
      </w:pPr>
      <w:r>
        <w:rPr>
          <w:rFonts w:ascii="Times New Roman;serif" w:hAnsi="Times New Roman;serif"/>
          <w:b/>
          <w:sz w:val="20"/>
        </w:rPr>
        <w:t>Costs of Providing Services (Continuing Operations)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Total costs of providing services for both the three months ended March 31, 2023 and 2022 were $2.0 billion, a decrease of $22 million, or 1%. See the following discussion for further details.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Salaries and Benefits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Salaries and benefits for both the three months ended March 31, 2023 and 2022 were $1.3 billion, a decrease of $5 million. The decrease in the current year is primarily due to lower incentive and benefit costs for the period, partially offset by higher salary expense. Salaries and benefits, as a percentage of revenue, represented 59% and 61% for the three months ended March 31, 2023 and 2022, respectively.</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Other Operating Expenses</w:t>
      </w:r>
    </w:p>
    <w:p>
      <w:pPr>
        <w:pStyle w:val="TextBody"/>
        <w:spacing w:before="180" w:after="0"/>
        <w:jc w:val="left"/>
        <w:rPr>
          <w:rFonts w:ascii="Times New Roman" w:hAnsi="Times New Roman"/>
          <w:sz w:val="20"/>
        </w:rPr>
      </w:pPr>
      <w:r>
        <w:rPr>
          <w:rFonts w:ascii="Times New Roman;serif" w:hAnsi="Times New Roman;serif"/>
          <w:b w:val="false"/>
          <w:sz w:val="20"/>
        </w:rPr>
        <w:t>Other operating expenses for the three months ended March 31, 2023 were $453 million, compared to $486 million for the three months ended March 31, 2022, a decrease of $33 million, or 7%. The decrease was primarily due to the absence of the prior-year asset impairments incurred, mostly accounts receivables, related to Russian insurance contracts placed by U.K. brokers in the London market (see Note 3 — Acquisitions and Divestitures within Part I, Item 1 ‘Financial Statements’ in this Form 10-Q for additional information), partially offset by higher travel and entertainment costs as post-pandemic activity increased, and increased marketing-related and professional service expenses for the current year as compared to the prior year.</w:t>
      </w:r>
      <w:r>
        <w:rPr>
          <w:rFonts w:ascii="Times New Roman" w:hAnsi="Times New Roman"/>
          <w:sz w:val="20"/>
        </w:rPr>
        <w:t xml:space="preserve"> </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Depreciation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Depreciation for the three months ended March 31, 2023 was $60 million, compared to $66 million for the three months ended March 31, 2022, a decrease of $6 million, or 9%. The year-over-year decrease was primarily due to a lower depreciable base of assets resulting from business disposals over the last two years and a lower dollar value of assets placed in service during the past few years.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Amortization</w:t>
      </w:r>
    </w:p>
    <w:p>
      <w:pPr>
        <w:pStyle w:val="TextBody"/>
        <w:spacing w:before="180" w:after="0"/>
        <w:jc w:val="left"/>
        <w:rPr>
          <w:rFonts w:ascii="Times New Roman" w:hAnsi="Times New Roman"/>
          <w:sz w:val="20"/>
        </w:rPr>
      </w:pPr>
      <w:r>
        <w:rPr>
          <w:rFonts w:ascii="Times New Roman;serif" w:hAnsi="Times New Roman;serif"/>
          <w:b w:val="false"/>
          <w:sz w:val="20"/>
        </w:rPr>
        <w:t>Amortization for the three months ended March 31, 2023 was $71 million, compared to $85 million for the three months ended March 31, 2022, a decrease of $14 million, or 16%. Our intangible amortization is generally more heavily weighted to the initial years of the useful lives of the related intangibles, and therefore amortization related to intangible assets will continue to decrease over time.</w:t>
      </w:r>
      <w:r>
        <w:rPr>
          <w:rFonts w:ascii="Times New Roman" w:hAnsi="Times New Roman"/>
          <w:sz w:val="20"/>
        </w:rPr>
        <w:t xml:space="preserve"> </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Restructuring Costs</w:t>
      </w:r>
    </w:p>
    <w:p>
      <w:pPr>
        <w:pStyle w:val="TextBody"/>
        <w:spacing w:before="180" w:after="0"/>
        <w:jc w:val="left"/>
        <w:rPr>
          <w:rFonts w:ascii="Times New Roman" w:hAnsi="Times New Roman"/>
          <w:sz w:val="20"/>
        </w:rPr>
      </w:pPr>
      <w:r>
        <w:rPr>
          <w:rFonts w:ascii="Times New Roman;serif" w:hAnsi="Times New Roman;serif"/>
          <w:b w:val="false"/>
          <w:sz w:val="20"/>
        </w:rPr>
        <w:t>Restructuring costs for the three months ended March 31, 2023 were $3 million, compared to $6 million for the three months ended March 31, 2022. Restructuring costs in both the current-year and prior-year periods primarily related to the real estate rationalization component of the Transformation program commenced by the Company during the fourth quarter of 2021 (see ‘Transformation</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Program’ within this Part I, Item 2 and Note 6 — Restructuring Costs within Part I, Item 1 ‘Financial Statements’ of this Quarterly Report on Form 10-Q).</w:t>
      </w:r>
      <w:r>
        <w:rPr>
          <w:rFonts w:ascii="Times New Roman" w:hAnsi="Times New Roman"/>
          <w:sz w:val="20"/>
        </w:rPr>
        <w:t xml:space="preserve"> </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Transaction and Transformation</w:t>
      </w:r>
    </w:p>
    <w:p>
      <w:pPr>
        <w:pStyle w:val="TextBody"/>
        <w:spacing w:before="180" w:after="0"/>
        <w:jc w:val="left"/>
        <w:rPr>
          <w:rFonts w:ascii="Times New Roman" w:hAnsi="Times New Roman"/>
          <w:sz w:val="20"/>
        </w:rPr>
      </w:pPr>
      <w:r>
        <w:rPr>
          <w:rFonts w:ascii="Times New Roman;serif" w:hAnsi="Times New Roman;serif"/>
          <w:b w:val="false"/>
          <w:sz w:val="20"/>
        </w:rPr>
        <w:t>Transaction and transformation for the three months ended March 31, 2023 were $59 million, compared to $20 million for the three months ended March 31, 2022, an increase of $39 million. Transaction and transformation costs for the current year were higher primarily due to increased consulting and compensation costs related to our Transformation program (see ‘Transformation Program’ within this Part I, Item 2) incurred in the current period as compared to the prior-year comparable period.</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Income from Operations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Income from operations for the three months ended March 31, 2023 was $285 million, compared to $179 million for the three months ended March 31, 2022, an increase of $106 million. This increase resulted primarily from the absence of the prior-year’s asset impairment expense discussed above and higher revenue, partially offset by higher travel and entertainment costs and increased marketing-related and professional service expenses in the current-year period.</w:t>
      </w:r>
    </w:p>
    <w:p>
      <w:pPr>
        <w:pStyle w:val="TextBody"/>
        <w:spacing w:before="180" w:after="0"/>
        <w:jc w:val="left"/>
        <w:rPr>
          <w:rFonts w:ascii="Times New Roman;serif" w:hAnsi="Times New Roman;serif"/>
          <w:b/>
          <w:sz w:val="20"/>
        </w:rPr>
      </w:pPr>
      <w:r>
        <w:rPr>
          <w:rFonts w:ascii="Times New Roman;serif" w:hAnsi="Times New Roman;serif"/>
          <w:b/>
          <w:sz w:val="20"/>
        </w:rPr>
        <w:t>Interest Expense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Interest expense for the three months ended March 31, 2023 was $54 million, compared to $49 million for the three months ended March 31, 2022, an increase of $5 million, or 10%. This increase was primarily the result of higher levels of indebtedness in the current year.</w:t>
      </w:r>
    </w:p>
    <w:p>
      <w:pPr>
        <w:pStyle w:val="TextBody"/>
        <w:spacing w:before="180" w:after="0"/>
        <w:jc w:val="left"/>
        <w:rPr>
          <w:rFonts w:ascii="Times New Roman;serif" w:hAnsi="Times New Roman;serif"/>
          <w:b/>
          <w:sz w:val="20"/>
        </w:rPr>
      </w:pPr>
      <w:r>
        <w:rPr>
          <w:rFonts w:ascii="Times New Roman;serif" w:hAnsi="Times New Roman;serif"/>
          <w:b/>
          <w:sz w:val="20"/>
        </w:rPr>
        <w:t>Other Income, Net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Other income, net for the three months ended March 31, 2023 was $25 million, compared to $27 million for the three months ended March 31, 2022, a decrease of $2 million. The decrease was due primarily to lower pension income, which was mostly attributable to higher interest costs resulting from higher assumed discount rates in the current year, and unfavorable foreign currency movement in the current-year period, partially offset by the prior-year loss on the Russian deconsolidation.</w:t>
      </w:r>
    </w:p>
    <w:p>
      <w:pPr>
        <w:pStyle w:val="TextBody"/>
        <w:spacing w:before="180" w:after="0"/>
        <w:jc w:val="left"/>
        <w:rPr>
          <w:rFonts w:ascii="Times New Roman;serif" w:hAnsi="Times New Roman;serif"/>
          <w:b/>
          <w:sz w:val="20"/>
        </w:rPr>
      </w:pPr>
      <w:r>
        <w:rPr>
          <w:rFonts w:ascii="Times New Roman;serif" w:hAnsi="Times New Roman;serif"/>
          <w:b/>
          <w:sz w:val="20"/>
        </w:rPr>
        <w:t>Provision for Income Taxes</w:t>
      </w:r>
    </w:p>
    <w:p>
      <w:pPr>
        <w:pStyle w:val="TextBody"/>
        <w:spacing w:before="180" w:after="0"/>
        <w:jc w:val="left"/>
        <w:rPr>
          <w:rFonts w:ascii="Times New Roman" w:hAnsi="Times New Roman"/>
          <w:sz w:val="20"/>
        </w:rPr>
      </w:pPr>
      <w:r>
        <w:rPr>
          <w:rFonts w:ascii="Times New Roman;serif" w:hAnsi="Times New Roman;serif"/>
          <w:b w:val="false"/>
          <w:sz w:val="20"/>
        </w:rPr>
        <w:t>Provision for income taxes for the three months ended March 31, 2023 was $50 million, compared to $43 million for the three months ended March 31, 2022, an increase of $7 million. The effective tax rate was 19.5% for the three months ended March 31, 2023, and 27.5% for the three months ended March 31, 2022. These effective tax rates are calculated using extended values from our condensed consolidated statements of comprehensive income and are therefore more precise tax rates than can be calculated from rounded values. The prior-year quarter’s effective tax rate was higher due to the tax effect of the divestment of our Russia business.</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Income from Discontinued Operations, Net of Tax</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Income from discontinued operations, net of tax for the three months ended March 31, 2022 was $11 million, which was attributable to the operations of the deferred closing entities and run-off activity associated with the divested Willis Re business (see Note 3 – Acquisitions and Divestitures in Part I, Item 1 ‘Financial Statements’ in this Form 10-Q).</w:t>
      </w:r>
    </w:p>
    <w:p>
      <w:pPr>
        <w:pStyle w:val="TextBody"/>
        <w:spacing w:before="180" w:after="0"/>
        <w:jc w:val="left"/>
        <w:rPr>
          <w:rFonts w:ascii="Times New Roman;serif" w:hAnsi="Times New Roman;serif"/>
          <w:b/>
          <w:sz w:val="20"/>
        </w:rPr>
      </w:pPr>
      <w:r>
        <w:rPr>
          <w:rFonts w:ascii="Times New Roman;serif" w:hAnsi="Times New Roman;serif"/>
          <w:b/>
          <w:sz w:val="20"/>
        </w:rPr>
        <w:t>Net Income Attributable to WTW</w:t>
      </w:r>
    </w:p>
    <w:p>
      <w:pPr>
        <w:pStyle w:val="TextBody"/>
        <w:spacing w:before="180" w:after="0"/>
        <w:jc w:val="left"/>
        <w:rPr>
          <w:rFonts w:ascii="Times New Roman" w:hAnsi="Times New Roman"/>
          <w:sz w:val="20"/>
        </w:rPr>
      </w:pPr>
      <w:r>
        <w:rPr>
          <w:rFonts w:ascii="Times New Roman;serif" w:hAnsi="Times New Roman;serif"/>
          <w:b w:val="false"/>
          <w:sz w:val="20"/>
        </w:rPr>
        <w:t>Net income attributable to WTW for the three months ended March 31, 2023 was $203 million, compared to $122 million for the three months ended March 31, 2022, an increase of $81 million, or 66%. This increase resulted primarily from the absence of the prior-year’s asset impairment expense discussed above and higher revenue, partially offset by higher travel and entertainment costs and increased marketing-related and professional service expenses in the current-year period.</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80" w:after="0"/>
        <w:jc w:val="left"/>
        <w:rPr>
          <w:rFonts w:ascii="Times New Roman;serif" w:hAnsi="Times New Roman;serif"/>
          <w:b/>
          <w:i/>
          <w:sz w:val="20"/>
        </w:rPr>
      </w:pPr>
      <w:r>
        <w:rPr>
          <w:rFonts w:ascii="Times New Roman;serif" w:hAnsi="Times New Roman;serif"/>
          <w:b/>
          <w:i/>
          <w:sz w:val="20"/>
        </w:rPr>
        <w:t>Executive Summary</w:t>
      </w:r>
    </w:p>
    <w:p>
      <w:pPr>
        <w:pStyle w:val="TextBody"/>
        <w:spacing w:before="180" w:after="0"/>
        <w:jc w:val="left"/>
        <w:rPr>
          <w:rFonts w:ascii="Times New Roman" w:hAnsi="Times New Roman"/>
          <w:sz w:val="20"/>
        </w:rPr>
      </w:pPr>
      <w:r>
        <w:rPr>
          <w:rFonts w:ascii="Times New Roman;serif" w:hAnsi="Times New Roman;serif"/>
          <w:b w:val="false"/>
          <w:sz w:val="20"/>
        </w:rPr>
        <w:t>Our principal sources of liquidity are funds generated by operating activities, available cash and cash equivalents and amounts available under our revolving credit facilities and any new debt offerings.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There has been significant volatility in financial markets, including occasional declines in equity markets, inflation and changes in interest rates and reduced liquidity on a global basis. Specific to WTW, following the reduced spending driven by the COVID-19 pandemic, spending on travel and associated expenses began to increase in 2022 and this trend has continued in 2023 following the return to office for many companies, which have increased in-person interactions.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three months ended March 31, 2023, we repurchased $104 million of shares, and have authorization to repurchase an additional $1.2 billion. Additionally, we intend to repay in full our $250 million of 4.625% senior notes, which mature during the third quarter of 2023.</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Undistributed Earnings of Foreign Subsidiaries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recognizes deferred tax balances related to the undistributed earnings of subsidiaries when it expects that it will recover those undistributed earnings in a taxable manner, such as through receipt of dividends or sale of the investments.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pStyle w:val="TextBody"/>
        <w:spacing w:before="180" w:after="0"/>
        <w:jc w:val="left"/>
        <w:rPr>
          <w:rFonts w:ascii="Times New Roman;serif" w:hAnsi="Times New Roman;serif"/>
          <w:b/>
          <w:i/>
          <w:sz w:val="20"/>
        </w:rPr>
      </w:pPr>
      <w:r>
        <w:rPr>
          <w:rFonts w:ascii="Times New Roman;serif" w:hAnsi="Times New Roman;serif"/>
          <w:b/>
          <w:i/>
          <w:sz w:val="20"/>
        </w:rPr>
        <w:t>Cash and Cash Equivalents</w:t>
      </w:r>
    </w:p>
    <w:p>
      <w:pPr>
        <w:pStyle w:val="TextBody"/>
        <w:spacing w:before="180" w:after="0"/>
        <w:jc w:val="left"/>
        <w:rPr>
          <w:rFonts w:ascii="Times New Roman" w:hAnsi="Times New Roman"/>
          <w:sz w:val="20"/>
        </w:rPr>
      </w:pPr>
      <w:r>
        <w:rPr>
          <w:rFonts w:ascii="Times New Roman;serif" w:hAnsi="Times New Roman;serif"/>
          <w:b w:val="false"/>
          <w:sz w:val="20"/>
        </w:rPr>
        <w:t>Our cash and cash equivalents at March 31, 2023 totaled $1.1 billion, compared to $1.3 billion at December 31, 2022. The decrease in cash from December 31, 2022 to March 31, 2023 was due primarily to financing activity including $104 million of share repurchases and $87 million of dividend payments.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Additionally, we had all of the borrowing capacity available to draw against our $1.5 billion revolving credit facility at both March 31, 2023 and December 31, 2022.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Included within cash and cash equivalents at March 31, 2023 and December 31, 2022 are amounts held for regulatory capital adequacy requirements, including $100 million and $99 million, respectively, held within our regulated U.K. entities.</w:t>
      </w:r>
    </w:p>
    <w:p>
      <w:pPr>
        <w:pStyle w:val="TextBody"/>
        <w:spacing w:before="180" w:after="0"/>
        <w:jc w:val="left"/>
        <w:rPr>
          <w:rFonts w:ascii="Times New Roman;serif" w:hAnsi="Times New Roman;serif"/>
          <w:b/>
          <w:i/>
          <w:sz w:val="20"/>
        </w:rPr>
      </w:pPr>
      <w:r>
        <w:rPr>
          <w:rFonts w:ascii="Times New Roman;serif" w:hAnsi="Times New Roman;serif"/>
          <w:b/>
          <w:i/>
          <w:sz w:val="20"/>
        </w:rPr>
        <w:t>Summarized Condensed Consolidated Cash Flows</w:t>
      </w:r>
    </w:p>
    <w:p>
      <w:pPr>
        <w:pStyle w:val="TextBody"/>
        <w:spacing w:before="180" w:after="0"/>
        <w:jc w:val="left"/>
        <w:rPr>
          <w:rFonts w:ascii="Times New Roman" w:hAnsi="Times New Roman"/>
          <w:sz w:val="20"/>
        </w:rPr>
      </w:pPr>
      <w:r>
        <w:rPr>
          <w:rFonts w:ascii="Times New Roman;serif" w:hAnsi="Times New Roman;serif"/>
          <w:b w:val="false"/>
          <w:sz w:val="20"/>
        </w:rPr>
        <w:t>The following table presents the summarized condensed consolidated cash flow information for the three months ended March 31, 2023 and 2022:</w:t>
      </w:r>
      <w:r>
        <w:rPr>
          <w:rFonts w:ascii="Times New Roman" w:hAnsi="Times New Roman"/>
          <w:sz w:val="20"/>
        </w:rPr>
        <w:t xml:space="preserve"> </w:t>
      </w:r>
    </w:p>
    <w:p>
      <w:pPr>
        <w:pStyle w:val="TextBody"/>
        <w:spacing w:before="0" w:after="0"/>
        <w:jc w:val="left"/>
        <w:rPr/>
      </w:pPr>
      <w:r>
        <w:rPr/>
        <w:t> </w:t>
      </w:r>
    </w:p>
    <w:tbl>
      <w:tblPr>
        <w:tblW w:w="10106" w:type="dxa"/>
        <w:jc w:val="left"/>
        <w:tblInd w:w="0" w:type="dxa"/>
        <w:tblCellMar>
          <w:top w:w="28" w:type="dxa"/>
          <w:left w:w="28" w:type="dxa"/>
          <w:bottom w:w="28" w:type="dxa"/>
          <w:right w:w="28" w:type="dxa"/>
        </w:tblCellMar>
      </w:tblPr>
      <w:tblGrid>
        <w:gridCol w:w="7171"/>
        <w:gridCol w:w="146"/>
        <w:gridCol w:w="261"/>
        <w:gridCol w:w="708"/>
        <w:gridCol w:w="205"/>
        <w:gridCol w:w="181"/>
        <w:gridCol w:w="261"/>
        <w:gridCol w:w="782"/>
        <w:gridCol w:w="391"/>
      </w:tblGrid>
      <w:tr>
        <w:trPr/>
        <w:tc>
          <w:tcPr>
            <w:tcW w:w="7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7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7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from/(used in):</w:t>
            </w:r>
          </w:p>
        </w:tc>
        <w:tc>
          <w:tcPr>
            <w:tcW w:w="146" w:type="dxa"/>
            <w:tcBorders/>
            <w:shd w:fill="auto" w:val="clear"/>
            <w:vAlign w:val="center"/>
          </w:tcPr>
          <w:p>
            <w:pPr>
              <w:pStyle w:val="TableContents"/>
              <w:spacing w:before="0" w:after="0"/>
              <w:ind w:left="0" w:right="0" w:hanging="0"/>
              <w:jc w:val="left"/>
              <w:rPr/>
            </w:pPr>
            <w:r>
              <w:rPr/>
              <w:t> </w:t>
            </w:r>
          </w:p>
        </w:tc>
        <w:tc>
          <w:tcPr>
            <w:tcW w:w="969" w:type="dxa"/>
            <w:gridSpan w:val="2"/>
            <w:tcBorders/>
            <w:shd w:fill="auto" w:val="clear"/>
            <w:vAlign w:val="center"/>
          </w:tcPr>
          <w:p>
            <w:pPr>
              <w:pStyle w:val="TableContents"/>
              <w:spacing w:before="0" w:after="0"/>
              <w:ind w:left="0" w:right="0" w:hanging="0"/>
              <w:jc w:val="right"/>
              <w:rPr/>
            </w:pPr>
            <w:r>
              <w:rPr/>
              <w:t> </w:t>
            </w:r>
          </w:p>
        </w:tc>
        <w:tc>
          <w:tcPr>
            <w:tcW w:w="205"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1043"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7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05"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91" w:type="dxa"/>
            <w:tcBorders/>
            <w:shd w:fill="auto" w:val="clear"/>
            <w:vAlign w:val="center"/>
          </w:tcPr>
          <w:p>
            <w:pPr>
              <w:pStyle w:val="TableContents"/>
              <w:spacing w:before="0" w:after="0"/>
              <w:ind w:left="0" w:right="0" w:firstLine="200"/>
              <w:jc w:val="left"/>
              <w:rPr/>
            </w:pPr>
            <w:r>
              <w:rPr/>
              <w:t> </w:t>
            </w:r>
          </w:p>
        </w:tc>
      </w:tr>
      <w:tr>
        <w:trPr/>
        <w:tc>
          <w:tcPr>
            <w:tcW w:w="7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91" w:type="dxa"/>
            <w:tcBorders/>
            <w:shd w:fill="auto" w:val="clear"/>
            <w:vAlign w:val="center"/>
          </w:tcPr>
          <w:p>
            <w:pPr>
              <w:pStyle w:val="TableContents"/>
              <w:spacing w:before="0" w:after="0"/>
              <w:ind w:left="0" w:right="0" w:firstLine="200"/>
              <w:jc w:val="left"/>
              <w:rPr/>
            </w:pPr>
            <w:r>
              <w:rPr/>
              <w:t> </w:t>
            </w:r>
          </w:p>
        </w:tc>
      </w:tr>
      <w:tr>
        <w:trPr/>
        <w:tc>
          <w:tcPr>
            <w:tcW w:w="7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DECREASE IN CASH, CASH EQUIVALENTS AND RESTRICTED CASH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2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05"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CASH, CASH EQUIVALENTS AND RESTRICTED CASH, BEGINNING OF PERIOD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4,721</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CASH, CASH EQUIVALENTS AND RESTRICTED CASH, END OF PERIOD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4,362</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pPr>
      <w:r>
        <w:rPr>
          <w:rFonts w:ascii="Times New Roman;serif" w:hAnsi="Times New Roman;serif"/>
          <w:b w:val="false"/>
          <w:sz w:val="16"/>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t xml:space="preserve">— </w:t>
      </w:r>
      <w:r>
        <w:rPr>
          <w:rFonts w:ascii="Times New Roman;serif" w:hAnsi="Times New Roman;serif"/>
          <w:b w:val="false"/>
          <w:sz w:val="16"/>
        </w:rPr>
        <w:t>Supplemental Disclosures of Cash Flow Information within Part I, Item I ‘Financial Statements’ within this Quarterly Report on Form 10-Q.</w:t>
      </w:r>
    </w:p>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Cash Flows From Operating Activities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Cash flows from operating activities were $134 million for the three months ended March 31, 2023, compared to $21 million for the three months ended March 31, 2022. The $134 million of net cash from operating activities for the three months ended March 31, 2023 included net income of $206 million and $191 million of favorable non-cash adjustments, partially offset by unfavorable changes in operating assets and liabilities of $263 million. This increase in cash flows from operations as compared to the prior year was primarily due to more favorable working capital movements resulting mostly from higher cash collections and lower discretionary compensation payments made in the current-year quarter as compared to the prior-year quarter.</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$21 million of net cash from operating activities for the three months ended March 31, 2022 included net income of $125 million and $281 million of favorable non-cash adjustments, partially offset by unfavorable changes in operating assets and liabilities of $385 million.</w:t>
      </w:r>
    </w:p>
    <w:p>
      <w:pPr>
        <w:pStyle w:val="TextBody"/>
        <w:spacing w:before="180" w:after="0"/>
        <w:jc w:val="left"/>
        <w:rPr>
          <w:rFonts w:ascii="Times New Roman;serif" w:hAnsi="Times New Roman;serif"/>
          <w:b/>
          <w:i/>
          <w:sz w:val="20"/>
        </w:rPr>
      </w:pPr>
      <w:r>
        <w:rPr>
          <w:rFonts w:ascii="Times New Roman;serif" w:hAnsi="Times New Roman;serif"/>
          <w:b/>
          <w:i/>
          <w:sz w:val="20"/>
        </w:rPr>
        <w:t>Cash Flows (Used In)/From Investing Activities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Cash flows used in investing activities for the three months ended March 31, 2023 were $61 million as compared to cash flows from investing activities of $74 million for the three months ended March 31, 2022. The cash flows used in investing activities for the three months ended March 31, 2023 consists primarily of capital expenditures and capitalized software additions. The cash flows from investing activities in the prior-year period primarily include sales of investments of $200 million, partially offset by capital expenditures and capitalized software additions of $46 million and an acquisition of $68 million made during the first quarter of 2022.</w:t>
      </w:r>
    </w:p>
    <w:p>
      <w:pPr>
        <w:pStyle w:val="TextBody"/>
        <w:spacing w:before="180" w:after="0"/>
        <w:jc w:val="left"/>
        <w:rPr>
          <w:rFonts w:ascii="Times New Roman;serif" w:hAnsi="Times New Roman;serif"/>
          <w:b/>
          <w:i/>
          <w:sz w:val="20"/>
        </w:rPr>
      </w:pPr>
      <w:r>
        <w:rPr>
          <w:rFonts w:ascii="Times New Roman;serif" w:hAnsi="Times New Roman;serif"/>
          <w:b/>
          <w:i/>
          <w:sz w:val="20"/>
        </w:rPr>
        <w:t>Cash Flows Used In Financing Activities</w:t>
      </w:r>
    </w:p>
    <w:p>
      <w:pPr>
        <w:pStyle w:val="TextBody"/>
        <w:spacing w:before="180" w:after="0"/>
        <w:jc w:val="left"/>
        <w:rPr>
          <w:rFonts w:ascii="Times New Roman" w:hAnsi="Times New Roman"/>
          <w:sz w:val="20"/>
        </w:rPr>
      </w:pPr>
      <w:r>
        <w:rPr>
          <w:rFonts w:ascii="Times New Roman;serif" w:hAnsi="Times New Roman;serif"/>
          <w:b w:val="false"/>
          <w:sz w:val="20"/>
        </w:rPr>
        <w:t>Cash flows used in financing activities for the three months ended March 31, 2023 were $453 million. The significant financing activities included net payments from fiduciary funds held for clients of $250 million, share repurchases of $104 million, and dividend payments of $87 million.</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Cash flows used in financing activities for the three months ended March 31, 2022 were $2.6 billion. The significant financing activities included share repurchases of $2.3 billion, $211 million of net payments from fiduciary funds held for clients and dividend payments of $98 million.</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Indebtedness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Total debt, total equity, and the capitalization ratios at March 31, 2023 and December 31, 2022 were as follows:</w:t>
      </w:r>
    </w:p>
    <w:p>
      <w:pPr>
        <w:pStyle w:val="TextBody"/>
        <w:spacing w:before="0" w:after="0"/>
        <w:jc w:val="left"/>
        <w:rPr/>
      </w:pPr>
      <w:r>
        <w:rPr/>
        <w:t> </w:t>
      </w:r>
    </w:p>
    <w:tbl>
      <w:tblPr>
        <w:tblW w:w="5695" w:type="dxa"/>
        <w:jc w:val="left"/>
        <w:tblInd w:w="0" w:type="dxa"/>
        <w:tblCellMar>
          <w:top w:w="28" w:type="dxa"/>
          <w:left w:w="28" w:type="dxa"/>
          <w:bottom w:w="28" w:type="dxa"/>
          <w:right w:w="28" w:type="dxa"/>
        </w:tblCellMar>
      </w:tblPr>
      <w:tblGrid>
        <w:gridCol w:w="2776"/>
        <w:gridCol w:w="146"/>
        <w:gridCol w:w="214"/>
        <w:gridCol w:w="686"/>
        <w:gridCol w:w="271"/>
        <w:gridCol w:w="146"/>
        <w:gridCol w:w="271"/>
        <w:gridCol w:w="869"/>
        <w:gridCol w:w="316"/>
      </w:tblGrid>
      <w:tr>
        <w:trPr/>
        <w:tc>
          <w:tcPr>
            <w:tcW w:w="2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March 31, </w:t>
              <w:b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December 31, </w:t>
              <w:b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316" w:type="dxa"/>
            <w:tcBorders/>
            <w:shd w:fill="auto" w:val="clear"/>
            <w:vAlign w:val="center"/>
          </w:tcPr>
          <w:p>
            <w:pPr>
              <w:pStyle w:val="TableContents"/>
              <w:spacing w:before="0" w:after="0"/>
              <w:ind w:left="0" w:right="0" w:hanging="0"/>
              <w:jc w:val="center"/>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4,471</w:t>
            </w:r>
          </w:p>
        </w:tc>
        <w:tc>
          <w:tcPr>
            <w:tcW w:w="316" w:type="dxa"/>
            <w:tcBorders/>
            <w:shd w:fill="auto" w:val="cle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debt</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4,721</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WTW shareholders’ equity</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10,096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10,016</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Capitalization ratio</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At March 31, 2023, our mandatory debt repayments over the next twelve months include $250 million outstanding on our 4.625% senior notes due 2023. For more information regarding our current and long-term debt, please see ‘Supplemental Guarantor Financial Information’ elsewhere within this Item 2 Management's Discussion and Analysis of Financial Condition and Results of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 March 31, 2023 and December 31, 2022, we were in compliance with all financial covenants.</w:t>
      </w:r>
    </w:p>
    <w:p>
      <w:pPr>
        <w:pStyle w:val="TextBody"/>
        <w:spacing w:before="180" w:after="0"/>
        <w:jc w:val="left"/>
        <w:rPr>
          <w:rFonts w:ascii="Times New Roman;serif" w:hAnsi="Times New Roman;serif"/>
          <w:b/>
          <w:sz w:val="20"/>
        </w:rPr>
      </w:pPr>
      <w:r>
        <w:rPr>
          <w:rFonts w:ascii="Times New Roman;serif" w:hAnsi="Times New Roman;serif"/>
          <w:b/>
          <w:sz w:val="20"/>
        </w:rPr>
        <w:t>Fiduciary Funds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pStyle w:val="TextBody"/>
        <w:spacing w:before="180" w:after="0"/>
        <w:jc w:val="left"/>
        <w:rPr>
          <w:rFonts w:ascii="Times New Roman" w:hAnsi="Times New Roman"/>
          <w:sz w:val="20"/>
        </w:rPr>
      </w:pPr>
      <w:r>
        <w:rPr>
          <w:rFonts w:ascii="Times New Roman;serif" w:hAnsi="Times New Roman;serif"/>
          <w:b w:val="false"/>
          <w:sz w:val="20"/>
        </w:rPr>
        <w:t>Fiduciary funds are generally required to be kept in regulated bank accounts subject to guidelines which emphasize capital preservation and liquidity; such funds are not available to service the Company’s debt or for other corporate purposes.</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At March 31, 2023 and December 31, 2022, we had fiduciary funds of $3.4 billion and $3.6 billion, respectively, of which $749 million and $945 million, respectively, are attributable to the divested Willis Re business.</w:t>
      </w:r>
    </w:p>
    <w:p>
      <w:pPr>
        <w:pStyle w:val="TextBody"/>
        <w:spacing w:before="180" w:after="0"/>
        <w:jc w:val="left"/>
        <w:rPr>
          <w:rFonts w:ascii="Times New Roman;serif" w:hAnsi="Times New Roman;serif"/>
          <w:b/>
          <w:sz w:val="20"/>
        </w:rPr>
      </w:pPr>
      <w:r>
        <w:rPr>
          <w:rFonts w:ascii="Times New Roman;serif" w:hAnsi="Times New Roman;serif"/>
          <w:b/>
          <w:sz w:val="20"/>
        </w:rPr>
        <w:t>Share Repurchase Program</w:t>
      </w:r>
    </w:p>
    <w:p>
      <w:pPr>
        <w:pStyle w:val="TextBody"/>
        <w:spacing w:before="180" w:after="0"/>
        <w:jc w:val="left"/>
        <w:rPr>
          <w:rFonts w:ascii="Times New Roman" w:hAnsi="Times New Roman"/>
          <w:sz w:val="20"/>
        </w:rPr>
      </w:pPr>
      <w:r>
        <w:rPr>
          <w:rFonts w:ascii="Times New Roman;serif" w:hAnsi="Times New Roman;serif"/>
          <w:b w:val="false"/>
          <w:sz w:val="20"/>
        </w:rPr>
        <w:t>The Company is authorized to repurchase shares, by way of redemption or otherwise, and will consider whether to do so from time to time, based on many factors, including market conditions. There are no expiration dates for our repurchase plans or programs.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At March 31, 2023, approximately $1.2 billion remained on the current repurchase authority. The maximum number of shares that could be repurchased based on the closing price of our ordinary shares on March 31, 2023 of $232.38 was 5,329,663.</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During the three months ended March 31, 2023, the Company had the following share repurchase activity:</w:t>
      </w:r>
    </w:p>
    <w:p>
      <w:pPr>
        <w:pStyle w:val="TextBody"/>
        <w:spacing w:before="0" w:after="0"/>
        <w:jc w:val="left"/>
        <w:rPr/>
      </w:pPr>
      <w:r>
        <w:rPr/>
        <w:t> </w:t>
      </w:r>
    </w:p>
    <w:tbl>
      <w:tblPr>
        <w:tblW w:w="6204" w:type="dxa"/>
        <w:jc w:val="left"/>
        <w:tblInd w:w="0" w:type="dxa"/>
        <w:tblCellMar>
          <w:top w:w="28" w:type="dxa"/>
          <w:left w:w="28" w:type="dxa"/>
          <w:bottom w:w="28" w:type="dxa"/>
          <w:right w:w="28" w:type="dxa"/>
        </w:tblCellMar>
      </w:tblPr>
      <w:tblGrid>
        <w:gridCol w:w="4261"/>
        <w:gridCol w:w="146"/>
        <w:gridCol w:w="146"/>
        <w:gridCol w:w="165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 2023</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repurchased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432,140</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price 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$241.00</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Aggregate repurchase cost (excluding broker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 million</w:t>
            </w:r>
          </w:p>
        </w:tc>
      </w:tr>
    </w:tbl>
    <w:p>
      <w:pPr>
        <w:pStyle w:val="TextBody"/>
        <w:spacing w:before="18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Capital Commitments</w:t>
      </w:r>
    </w:p>
    <w:p>
      <w:pPr>
        <w:pStyle w:val="TextBody"/>
        <w:spacing w:before="180" w:after="0"/>
        <w:jc w:val="left"/>
        <w:rPr>
          <w:rFonts w:ascii="Times New Roman" w:hAnsi="Times New Roman"/>
          <w:sz w:val="20"/>
        </w:rPr>
      </w:pPr>
      <w:r>
        <w:rPr>
          <w:rFonts w:ascii="Times New Roman;serif" w:hAnsi="Times New Roman;serif"/>
          <w:b w:val="false"/>
          <w:sz w:val="20"/>
        </w:rPr>
        <w:t>The Company’s capital expenditures for fixed assets and software for internal use were $42 million during the three months ended March 31, 2023. The Company estimates that there will be additional such expenditures, which include those incurred under its Transformation program, in the range of $180 million - $210 million during the remainder of 2023. We currently expect cash from operations to adequately provide for these cash needs. There have been no material changes to our capital commitments since December 31, 2022.</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Dividends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Total cash dividends of $87 million were paid during the three months ended March 31, 2023. In February 2023, the board of directors approved a quarterly cash dividend of $0.84 per share ($3.36 per share annualized rate), which was paid on April 17, 2023 to shareholders of record as of March 31, 2023.</w:t>
      </w:r>
    </w:p>
    <w:p>
      <w:pPr>
        <w:pStyle w:val="TextBody"/>
        <w:spacing w:before="180" w:after="0"/>
        <w:jc w:val="left"/>
        <w:rPr>
          <w:rFonts w:ascii="Times New Roman;serif" w:hAnsi="Times New Roman;serif"/>
          <w:b/>
          <w:sz w:val="20"/>
        </w:rPr>
      </w:pPr>
      <w:r>
        <w:rPr>
          <w:rFonts w:ascii="Times New Roman;serif" w:hAnsi="Times New Roman;serif"/>
          <w:b/>
          <w:sz w:val="20"/>
        </w:rPr>
        <w:t>Supplemental Guarantor Financial Information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As of March 31, 2023, WTW has issued the following debt securities (the ‘notes’):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Willis North America Inc. (‘Willis North America’) has approximately $3.7 billion senior notes outstanding, of which $650 million were issued on May 16, 2017, $1.0 billion were issued on September 10, 2018, $1.0 billion were issued on September 10, 2019, $275 million were issued on May 29, 2020, and $750 million were issued on May 19, 2022;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Trinity Acquisition plc has approximately $1.1 billion senior notes outstanding, of which $525 million were issued on August 15, 2013 and $550 million were issued on March 22, 2016, and a $1.5 billion revolving credit facility, on which no balance was outstanding at March 31, 2023.</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table presents a summary of the entities that issue each note and those wholly-owned subsidiaries of the Company that guarantee each respective note on a joint and several basis as of March 31, 2023. These subsidiaries are all consolidated by Willis Towers Watson plc (the ‘parent company’) and together with the parent company comprise the ‘Obligor group’.</w:t>
      </w:r>
    </w:p>
    <w:p>
      <w:pPr>
        <w:pStyle w:val="TextBody"/>
        <w:spacing w:before="0" w:after="0"/>
        <w:jc w:val="left"/>
        <w:rPr/>
      </w:pPr>
      <w:r>
        <w:rPr/>
        <w:t> </w:t>
      </w:r>
    </w:p>
    <w:tbl>
      <w:tblPr>
        <w:tblW w:w="9700" w:type="dxa"/>
        <w:jc w:val="left"/>
        <w:tblInd w:w="0" w:type="dxa"/>
        <w:tblCellMar>
          <w:top w:w="28" w:type="dxa"/>
          <w:left w:w="28" w:type="dxa"/>
          <w:bottom w:w="28" w:type="dxa"/>
          <w:right w:w="28" w:type="dxa"/>
        </w:tblCellMar>
      </w:tblPr>
      <w:tblGrid>
        <w:gridCol w:w="4771"/>
        <w:gridCol w:w="146"/>
        <w:gridCol w:w="2176"/>
        <w:gridCol w:w="146"/>
        <w:gridCol w:w="2461"/>
      </w:tblGrid>
      <w:tr>
        <w:trPr/>
        <w:tc>
          <w:tcPr>
            <w:tcW w:w="4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r>
      <w:tr>
        <w:trPr/>
        <w:tc>
          <w:tcPr>
            <w:tcW w:w="4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Entity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Trinity Acquisition plc Notes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Willis North America Inc. Notes</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Towers Watson plc</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Trinity Acquisition plc</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Issuer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North America Inc.</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Issuer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Netherlands Holdings B.V.</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Investment UK Holdings Limited</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 I Limited</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Group Limited</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Towers Watson Sub Holdings Unlimited Company</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r>
        <w:trPr/>
        <w:tc>
          <w:tcPr>
            <w:tcW w:w="4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Willis Towers Watson UK Holdings Limited</w:t>
            </w:r>
          </w:p>
        </w:tc>
        <w:tc>
          <w:tcPr>
            <w:tcW w:w="146" w:type="dxa"/>
            <w:tcBorders/>
            <w:shd w:fill="auto" w:val="clear"/>
            <w:vAlign w:val="center"/>
          </w:tcPr>
          <w:p>
            <w:pPr>
              <w:pStyle w:val="TableContents"/>
              <w:spacing w:before="0" w:after="0"/>
              <w:ind w:left="0" w:right="0" w:hanging="0"/>
              <w:jc w:val="left"/>
              <w:rPr/>
            </w:pPr>
            <w:r>
              <w:rPr/>
              <w:t> </w:t>
            </w:r>
          </w:p>
        </w:tc>
        <w:tc>
          <w:tcPr>
            <w:tcW w:w="217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c>
          <w:tcPr>
            <w:tcW w:w="146" w:type="dxa"/>
            <w:tcBorders/>
            <w:shd w:fill="auto" w:val="clear"/>
            <w:vAlign w:val="center"/>
          </w:tcPr>
          <w:p>
            <w:pPr>
              <w:pStyle w:val="TableContents"/>
              <w:spacing w:before="0" w:after="0"/>
              <w:ind w:left="0" w:right="0" w:hanging="0"/>
              <w:jc w:val="left"/>
              <w:rPr/>
            </w:pPr>
            <w:r>
              <w:rPr/>
              <w:t> </w:t>
            </w:r>
          </w:p>
        </w:tc>
        <w:tc>
          <w:tcPr>
            <w:tcW w:w="246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Guarantor</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The notes issued by Willis North America and Trinity Acquisition plc:</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rank equally with all of the issuer’s existing and future unsubordinated and unsecured debt;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rank equally with the issuer’s guarantee of all of the existing senior debt of the Company and the other guarantors, including any debt under the Revolving Credit Facility;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are senior in right of payment to all of the issuer’s future subordinated debt;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are effectively subordinated to all of the issuer’s secured debt to the extent of the value of the assets securing such debt.</w:t>
      </w:r>
    </w:p>
    <w:p>
      <w:pPr>
        <w:pStyle w:val="TextBody"/>
        <w:spacing w:before="180" w:after="0"/>
        <w:jc w:val="left"/>
        <w:rPr>
          <w:rFonts w:ascii="Times New Roman" w:hAnsi="Times New Roman"/>
          <w:sz w:val="20"/>
        </w:rPr>
      </w:pPr>
      <w:r>
        <w:rPr>
          <w:rFonts w:ascii="Times New Roman;serif" w:hAnsi="Times New Roman;serif"/>
          <w:b w:val="false"/>
          <w:sz w:val="20"/>
        </w:rPr>
        <w:t>All other subsidiaries of the parent company are non-guarantor subsidiaries (‘the non-guarantor subsidiaries’).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March 31, 2023 and December 31, 2022,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March 31, 2023 and December 31, 2022, the intercompany balances of the Obligor group with non-guarantor subsidiaries were net receivables of $200 million and $600 million, respectively, and net payables of $9.9 billion and $10.2 billion, respectively.</w:t>
      </w:r>
    </w:p>
    <w:p>
      <w:pPr>
        <w:pStyle w:val="TextBody"/>
        <w:spacing w:before="180" w:after="0"/>
        <w:jc w:val="left"/>
        <w:rPr>
          <w:rFonts w:ascii="Times New Roman" w:hAnsi="Times New Roman"/>
          <w:sz w:val="20"/>
        </w:rPr>
      </w:pPr>
      <w:r>
        <w:rPr>
          <w:rFonts w:ascii="Times New Roman;serif" w:hAnsi="Times New Roman;serif"/>
          <w:b w:val="false"/>
          <w:sz w:val="20"/>
        </w:rPr>
        <w:t>No balances or transactions of non-guarantor subsidiaries are presented in the disclosures other than the intercompany items noted above.</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Presented below is certain summarized financial information for the Obligor group.</w:t>
      </w:r>
    </w:p>
    <w:p>
      <w:pPr>
        <w:pStyle w:val="TextBody"/>
        <w:spacing w:before="0" w:after="0"/>
        <w:jc w:val="left"/>
        <w:rPr/>
      </w:pPr>
      <w:r>
        <w:rPr/>
        <w:t> </w:t>
      </w:r>
    </w:p>
    <w:tbl>
      <w:tblPr>
        <w:tblW w:w="5760" w:type="dxa"/>
        <w:jc w:val="left"/>
        <w:tblInd w:w="0" w:type="dxa"/>
        <w:tblCellMar>
          <w:top w:w="28" w:type="dxa"/>
          <w:left w:w="28" w:type="dxa"/>
          <w:bottom w:w="28" w:type="dxa"/>
          <w:right w:w="28" w:type="dxa"/>
        </w:tblCellMar>
      </w:tblPr>
      <w:tblGrid>
        <w:gridCol w:w="2371"/>
        <w:gridCol w:w="146"/>
        <w:gridCol w:w="340"/>
        <w:gridCol w:w="920"/>
        <w:gridCol w:w="146"/>
        <w:gridCol w:w="146"/>
        <w:gridCol w:w="403"/>
        <w:gridCol w:w="1097"/>
        <w:gridCol w:w="191"/>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assets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6,916</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5783" w:type="dxa"/>
        <w:jc w:val="left"/>
        <w:tblInd w:w="0" w:type="dxa"/>
        <w:tblCellMar>
          <w:top w:w="28" w:type="dxa"/>
          <w:left w:w="28" w:type="dxa"/>
          <w:bottom w:w="28" w:type="dxa"/>
          <w:right w:w="28" w:type="dxa"/>
        </w:tblCellMar>
      </w:tblPr>
      <w:tblGrid>
        <w:gridCol w:w="3886"/>
        <w:gridCol w:w="146"/>
        <w:gridCol w:w="521"/>
        <w:gridCol w:w="1039"/>
        <w:gridCol w:w="191"/>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9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9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Income from operations before income taxes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w:t>
            </w:r>
          </w:p>
        </w:tc>
        <w:tc>
          <w:tcPr>
            <w:tcW w:w="19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9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WTW</w:t>
            </w:r>
          </w:p>
        </w:tc>
        <w:tc>
          <w:tcPr>
            <w:tcW w:w="146" w:type="dxa"/>
            <w:tcBorders/>
            <w:shd w:fill="auto" w:val="clear"/>
            <w:vAlign w:val="center"/>
          </w:tcPr>
          <w:p>
            <w:pPr>
              <w:pStyle w:val="TableContents"/>
              <w:spacing w:before="0" w:after="0"/>
              <w:ind w:left="0" w:right="0" w:hanging="0"/>
              <w:jc w:val="left"/>
              <w:rPr/>
            </w:pPr>
            <w:r>
              <w:rPr/>
              <w:t> </w:t>
            </w:r>
          </w:p>
        </w:tc>
        <w:tc>
          <w:tcPr>
            <w:tcW w:w="521"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Includes intercompany expense, net of the Obligor group from non-guarantor subsidiaries of $88 million for the three months ended March 31, 2023.</w:t>
      </w:r>
    </w:p>
    <w:p>
      <w:pPr>
        <w:pStyle w:val="TextBody"/>
        <w:spacing w:before="180" w:after="0"/>
        <w:jc w:val="left"/>
        <w:rPr>
          <w:rFonts w:ascii="Times New Roman;serif" w:hAnsi="Times New Roman;serif"/>
          <w:b/>
          <w:sz w:val="20"/>
        </w:rPr>
      </w:pPr>
      <w:r>
        <w:rPr>
          <w:rFonts w:ascii="Times New Roman;serif" w:hAnsi="Times New Roman;serif"/>
          <w:b/>
          <w:sz w:val="20"/>
        </w:rPr>
        <w:t>Non-GAAP Financial Measures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pStyle w:val="TextBody"/>
        <w:spacing w:before="0" w:after="0"/>
        <w:jc w:val="left"/>
        <w:rPr/>
      </w:pPr>
      <w:r>
        <w:rPr/>
        <w:t> </w:t>
      </w:r>
    </w:p>
    <w:tbl>
      <w:tblPr>
        <w:tblW w:w="7813" w:type="dxa"/>
        <w:jc w:val="left"/>
        <w:tblInd w:w="0" w:type="dxa"/>
        <w:tblCellMar>
          <w:top w:w="28" w:type="dxa"/>
          <w:left w:w="28" w:type="dxa"/>
          <w:bottom w:w="28" w:type="dxa"/>
          <w:right w:w="28" w:type="dxa"/>
        </w:tblCellMar>
      </w:tblPr>
      <w:tblGrid>
        <w:gridCol w:w="4651"/>
        <w:gridCol w:w="146"/>
        <w:gridCol w:w="3016"/>
      </w:tblGrid>
      <w:tr>
        <w:trPr/>
        <w:tc>
          <w:tcPr>
            <w:tcW w:w="4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Most Directly Comparable U.S. GAAP Measure</w:t>
            </w:r>
          </w:p>
        </w:tc>
        <w:tc>
          <w:tcPr>
            <w:tcW w:w="146" w:type="dxa"/>
            <w:tcBorders/>
            <w:shd w:fill="auto" w:val="clear"/>
            <w:vAlign w:val="center"/>
          </w:tcPr>
          <w:p>
            <w:pPr>
              <w:pStyle w:val="TableContents"/>
              <w:spacing w:before="0" w:after="0"/>
              <w:ind w:left="0" w:right="0" w:hanging="0"/>
              <w:jc w:val="lef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Non-GAAP Measure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 reported change</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Constant currency change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 reported change</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Organic change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operations/margin</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operating income/margin</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income/margin</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EBITDA/margin</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WTW</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net income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diluted earnings per share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income before taxes</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taxes/U.S. GAAP tax rate</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income taxes/tax rate</w:t>
            </w:r>
          </w:p>
        </w:tc>
      </w:tr>
      <w:tr>
        <w:trPr/>
        <w:tc>
          <w:tcPr>
            <w:tcW w:w="46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from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Income from discontinued operations, net of tax – Adjustment to remove the after-tax income from discontinued operations and the after-tax gain attributable to the divested Willis Re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Impairment – Adjustment to remove the impairment related to the net assets of our Russian business that are held outside of our Russian entities.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Gains and losses on disposals of operations – Adjustment to remove the gains or losses resulting from disposed operations that have not been classified as discontinued operations.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Tax effect of the Coronavirus Aid, Relief, and Economic Security (‘CARES’) Act – Relates to the incremental tax expense or benefit, primarily from the Base Erosion and Anti-Abuse Tax (‘BEAT’), generated from electing or changing elections of certain income tax provisions available under the CARES Act.</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Tax effect of internal reorganizations – Relates to the U.S. income tax expense resulting from the completion of internal reorganizations of the ownership of certain businesses that reduced the investments held by our U.S.-controlled subsidiaries.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pStyle w:val="TextBody"/>
        <w:spacing w:before="180" w:after="0"/>
        <w:jc w:val="left"/>
        <w:rPr>
          <w:rFonts w:ascii="Times New Roman;serif" w:hAnsi="Times New Roman;serif"/>
          <w:b/>
          <w:i/>
          <w:sz w:val="20"/>
        </w:rPr>
      </w:pPr>
      <w:r>
        <w:rPr>
          <w:rFonts w:ascii="Times New Roman;serif" w:hAnsi="Times New Roman;serif"/>
          <w:b/>
          <w:i/>
          <w:sz w:val="20"/>
        </w:rPr>
        <w:t>Constant Currency Change and Organic Change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Constant currency change -</w:t>
      </w:r>
      <w:r>
        <w:rPr/>
        <w:t xml:space="preserve"> </w:t>
      </w:r>
      <w:r>
        <w:rPr>
          <w:rFonts w:ascii="Times New Roman;serif" w:hAnsi="Times New Roman;serif"/>
          <w:b w:val="false"/>
          <w:sz w:val="20"/>
        </w:rPr>
        <w:t>Represents the year-over-year change in revenue excluding the impact of foreign currency fluctuations. To calculate 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Organic change -</w:t>
      </w:r>
      <w:r>
        <w:rPr/>
        <w:t xml:space="preserve"> </w:t>
      </w:r>
      <w:r>
        <w:rPr>
          <w:rFonts w:ascii="Times New Roman;serif" w:hAnsi="Times New Roman;serif"/>
          <w:b w:val="false"/>
          <w:sz w:val="20"/>
        </w:rPr>
        <w:t>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pStyle w:val="TextBody"/>
        <w:spacing w:before="180" w:after="0"/>
        <w:jc w:val="left"/>
        <w:rPr>
          <w:rFonts w:ascii="Times New Roman" w:hAnsi="Times New Roman"/>
          <w:sz w:val="20"/>
        </w:rPr>
      </w:pPr>
      <w:r>
        <w:rPr>
          <w:rFonts w:ascii="Times New Roman;serif" w:hAnsi="Times New Roman;serif"/>
          <w:b w:val="false"/>
          <w:sz w:val="20"/>
        </w:rPr>
        <w:t>A reconciliation of the as-reported change to the constant currency and organic changes for the three months ended March 31, 2023 from the three months ended March 31, 2022 is as follows. The components of revenue change may not add due to rounding.</w:t>
      </w:r>
      <w:r>
        <w:rPr>
          <w:rFonts w:ascii="Times New Roman" w:hAnsi="Times New Roman"/>
          <w:sz w:val="20"/>
        </w:rPr>
        <w:t xml:space="preserve"> </w:t>
      </w:r>
    </w:p>
    <w:p>
      <w:pPr>
        <w:pStyle w:val="TextBody"/>
        <w:spacing w:before="0" w:after="0"/>
        <w:jc w:val="left"/>
        <w:rPr/>
      </w:pPr>
      <w:r>
        <w:rPr/>
        <w:t> </w:t>
      </w:r>
    </w:p>
    <w:tbl>
      <w:tblPr>
        <w:tblW w:w="8404" w:type="dxa"/>
        <w:jc w:val="left"/>
        <w:tblInd w:w="0" w:type="dxa"/>
        <w:tblCellMar>
          <w:top w:w="28" w:type="dxa"/>
          <w:left w:w="28" w:type="dxa"/>
          <w:bottom w:w="28" w:type="dxa"/>
          <w:right w:w="28" w:type="dxa"/>
        </w:tblCellMar>
      </w:tblPr>
      <w:tblGrid>
        <w:gridCol w:w="841"/>
        <w:gridCol w:w="146"/>
        <w:gridCol w:w="272"/>
        <w:gridCol w:w="738"/>
        <w:gridCol w:w="188"/>
        <w:gridCol w:w="188"/>
        <w:gridCol w:w="272"/>
        <w:gridCol w:w="738"/>
        <w:gridCol w:w="146"/>
        <w:gridCol w:w="146"/>
        <w:gridCol w:w="781"/>
        <w:gridCol w:w="146"/>
        <w:gridCol w:w="796"/>
        <w:gridCol w:w="146"/>
        <w:gridCol w:w="796"/>
        <w:gridCol w:w="146"/>
        <w:gridCol w:w="1021"/>
        <w:gridCol w:w="146"/>
        <w:gridCol w:w="751"/>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0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Components of Revenue Change</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Constant</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Reported</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Acquisitions/</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Organic</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Divestitures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center"/>
              <w:rPr/>
            </w:pPr>
            <w:r>
              <w:rPr/>
              <w:t> </w:t>
            </w:r>
          </w:p>
        </w:tc>
        <w:tc>
          <w:tcPr>
            <w:tcW w:w="7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For the three months ended March 31, 2023, our as-reported revenue increased by 4% and our organic revenue grew by 8% for the three months ended March 31, 2023. The increases in both as-reported and organic revenue were driven by strong performances in both segments.</w:t>
      </w:r>
    </w:p>
    <w:p>
      <w:pPr>
        <w:pStyle w:val="TextBody"/>
        <w:spacing w:before="180" w:after="0"/>
        <w:jc w:val="left"/>
        <w:rPr>
          <w:rFonts w:ascii="Times New Roman;serif" w:hAnsi="Times New Roman;serif"/>
          <w:b/>
          <w:i/>
          <w:sz w:val="20"/>
        </w:rPr>
      </w:pPr>
      <w:r>
        <w:rPr>
          <w:rFonts w:ascii="Times New Roman;serif" w:hAnsi="Times New Roman;serif"/>
          <w:b/>
          <w:i/>
          <w:sz w:val="20"/>
        </w:rPr>
        <w:t>Adjusted Operating Income/Margin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consider adjusted operating income/margin to be important financial measures, which are used internally to evaluate and assess our core operations and to benchmark our operating results against our competitors.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Reconciliations of income from operations to adjusted operating income for the three months ended March 31, 2023 and 2022 are as follows:</w:t>
      </w:r>
    </w:p>
    <w:p>
      <w:pPr>
        <w:pStyle w:val="TextBody"/>
        <w:spacing w:before="0" w:after="0"/>
        <w:jc w:val="left"/>
        <w:rPr/>
      </w:pPr>
      <w:r>
        <w:rPr/>
        <w:t> </w:t>
      </w:r>
    </w:p>
    <w:tbl>
      <w:tblPr>
        <w:tblW w:w="5730" w:type="dxa"/>
        <w:jc w:val="left"/>
        <w:tblInd w:w="0" w:type="dxa"/>
        <w:tblCellMar>
          <w:top w:w="28" w:type="dxa"/>
          <w:left w:w="28" w:type="dxa"/>
          <w:bottom w:w="28" w:type="dxa"/>
          <w:right w:w="28" w:type="dxa"/>
        </w:tblCellMar>
      </w:tblPr>
      <w:tblGrid>
        <w:gridCol w:w="2941"/>
        <w:gridCol w:w="286"/>
        <w:gridCol w:w="631"/>
        <w:gridCol w:w="367"/>
        <w:gridCol w:w="197"/>
        <w:gridCol w:w="286"/>
        <w:gridCol w:w="631"/>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for certain items:</w:t>
            </w:r>
          </w:p>
        </w:tc>
        <w:tc>
          <w:tcPr>
            <w:tcW w:w="917" w:type="dxa"/>
            <w:gridSpan w:val="2"/>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operating income</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operations margin</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operating income margin</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Adjusted operating income increased for the three months ended March 31, 2023 to $418 million, from $371 million for the three months ended March 31, 2022. This increase was due primarily to higher revenue, partially offset by higher travel and entertainment costs and increased marketing-related and professional service expenses in the current-year period.</w:t>
      </w:r>
    </w:p>
    <w:p>
      <w:pPr>
        <w:pStyle w:val="TextBody"/>
        <w:spacing w:before="180" w:after="0"/>
        <w:jc w:val="left"/>
        <w:rPr>
          <w:rFonts w:ascii="Times New Roman;serif" w:hAnsi="Times New Roman;serif"/>
          <w:b/>
          <w:i/>
          <w:sz w:val="20"/>
        </w:rPr>
      </w:pPr>
      <w:r>
        <w:rPr>
          <w:rFonts w:ascii="Times New Roman;serif" w:hAnsi="Times New Roman;serif"/>
          <w:b/>
          <w:i/>
          <w:sz w:val="20"/>
        </w:rPr>
        <w:t>Adjusted EBITDA/Margin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Adjusted EBITDA is defined as net income adjusted for income from discontinued operations, net of tax,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pStyle w:val="TextBody"/>
        <w:spacing w:before="180" w:after="0"/>
        <w:jc w:val="left"/>
        <w:rPr>
          <w:rFonts w:ascii="Times New Roman" w:hAnsi="Times New Roman"/>
          <w:sz w:val="20"/>
        </w:rPr>
      </w:pPr>
      <w:r>
        <w:rPr>
          <w:rFonts w:ascii="Times New Roman;serif" w:hAnsi="Times New Roman;serif"/>
          <w:b w:val="false"/>
          <w:sz w:val="20"/>
        </w:rPr>
        <w:t>Reconciliations of net income to adjusted EBITDA for the three months ended March 31, 2023 and 2022 are as follows:</w:t>
      </w:r>
      <w:r>
        <w:rPr>
          <w:rFonts w:ascii="Times New Roman" w:hAnsi="Times New Roman"/>
          <w:sz w:val="20"/>
        </w:rPr>
        <w:t xml:space="preserve"> </w:t>
      </w:r>
    </w:p>
    <w:p>
      <w:pPr>
        <w:pStyle w:val="TextBody"/>
        <w:spacing w:before="0" w:after="0"/>
        <w:jc w:val="left"/>
        <w:rPr/>
      </w:pPr>
      <w:r>
        <w:rPr/>
        <w:t> </w:t>
      </w:r>
    </w:p>
    <w:tbl>
      <w:tblPr>
        <w:tblW w:w="6961" w:type="dxa"/>
        <w:jc w:val="left"/>
        <w:tblInd w:w="0" w:type="dxa"/>
        <w:tblCellMar>
          <w:top w:w="28" w:type="dxa"/>
          <w:left w:w="28" w:type="dxa"/>
          <w:bottom w:w="28" w:type="dxa"/>
          <w:right w:w="28" w:type="dxa"/>
        </w:tblCellMar>
      </w:tblPr>
      <w:tblGrid>
        <w:gridCol w:w="4006"/>
        <w:gridCol w:w="146"/>
        <w:gridCol w:w="286"/>
        <w:gridCol w:w="631"/>
        <w:gridCol w:w="367"/>
        <w:gridCol w:w="197"/>
        <w:gridCol w:w="286"/>
        <w:gridCol w:w="631"/>
        <w:gridCol w:w="411"/>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operations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91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margin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margin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Adjusted EBITDA for the three months ended March 31, 2023 was $503 million, compared to $518 million for the three months ended March 31, 2022. This decrease resulted primarily from higher travel and entertainment costs, increased professional services and marketing-related costs and lower pension income in the current-year period, partially offset by higher revenue.</w:t>
      </w:r>
    </w:p>
    <w:p>
      <w:pPr>
        <w:pStyle w:val="TextBody"/>
        <w:spacing w:before="180" w:after="0"/>
        <w:jc w:val="left"/>
        <w:rPr>
          <w:rFonts w:ascii="Times New Roman;serif" w:hAnsi="Times New Roman;serif"/>
          <w:b/>
          <w:i/>
          <w:sz w:val="20"/>
        </w:rPr>
      </w:pPr>
      <w:r>
        <w:rPr>
          <w:rFonts w:ascii="Times New Roman;serif" w:hAnsi="Times New Roman;serif"/>
          <w:b/>
          <w:i/>
          <w:sz w:val="20"/>
        </w:rPr>
        <w:t>Adjusted Net Income and Adjusted Diluted Earnings Per Share</w:t>
      </w:r>
    </w:p>
    <w:p>
      <w:pPr>
        <w:pStyle w:val="TextBody"/>
        <w:spacing w:before="180" w:after="0"/>
        <w:jc w:val="left"/>
        <w:rPr>
          <w:rFonts w:ascii="Times New Roman" w:hAnsi="Times New Roman"/>
          <w:sz w:val="20"/>
        </w:rPr>
      </w:pPr>
      <w:r>
        <w:rPr>
          <w:rFonts w:ascii="Times New Roman;serif" w:hAnsi="Times New Roman;serif"/>
          <w:b w:val="false"/>
          <w:sz w:val="20"/>
        </w:rPr>
        <w:t>Adjusted net income is defined as net income attributable to WTW adjusted for income from discontinued operations, net of tax, impairment, amortization, restructuring costs, transaction and transformation, gains and losses on disposals of operations and non-recurring items that, in management’s judgment, significantly affect the period-over-period assessment of operating results and the</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related tax effect of those adjustments and the tax effects of internal reorganizations. This measure is used solely for the purpose of calculating adjusted diluted earnings per share.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pStyle w:val="TextBody"/>
        <w:spacing w:before="180" w:after="0"/>
        <w:jc w:val="left"/>
        <w:rPr>
          <w:rFonts w:ascii="Times New Roman" w:hAnsi="Times New Roman"/>
          <w:sz w:val="20"/>
        </w:rPr>
      </w:pPr>
      <w:r>
        <w:rPr>
          <w:rFonts w:ascii="Times New Roman;serif" w:hAnsi="Times New Roman;serif"/>
          <w:b w:val="false"/>
          <w:sz w:val="20"/>
        </w:rPr>
        <w:t>Reconciliations of net income attributable to WTW to adjusted diluted earnings per share for the</w:t>
      </w:r>
      <w:r>
        <w:rPr>
          <w:rFonts w:ascii="Times New Roman" w:hAnsi="Times New Roman"/>
          <w:sz w:val="20"/>
        </w:rPr>
        <w:t xml:space="preserve"> </w:t>
      </w:r>
      <w:r>
        <w:rPr>
          <w:rFonts w:ascii="Times New Roman;serif" w:hAnsi="Times New Roman;serif"/>
          <w:b w:val="false"/>
          <w:sz w:val="20"/>
        </w:rPr>
        <w:t>three months ended March 31, 2023 and 2022 are as follows:</w:t>
      </w:r>
      <w:r>
        <w:rPr>
          <w:rFonts w:ascii="Times New Roman" w:hAnsi="Times New Roman"/>
          <w:sz w:val="20"/>
        </w:rPr>
        <w:t xml:space="preserve"> </w:t>
      </w:r>
    </w:p>
    <w:p>
      <w:pPr>
        <w:pStyle w:val="TextBody"/>
        <w:spacing w:before="0" w:after="0"/>
        <w:jc w:val="left"/>
        <w:rPr/>
      </w:pPr>
      <w:r>
        <w:rPr/>
        <w:t> </w:t>
      </w:r>
    </w:p>
    <w:tbl>
      <w:tblPr>
        <w:tblW w:w="6962" w:type="dxa"/>
        <w:jc w:val="left"/>
        <w:tblInd w:w="0" w:type="dxa"/>
        <w:tblCellMar>
          <w:top w:w="28" w:type="dxa"/>
          <w:left w:w="28" w:type="dxa"/>
          <w:bottom w:w="28" w:type="dxa"/>
          <w:right w:w="28" w:type="dxa"/>
        </w:tblCellMar>
      </w:tblPr>
      <w:tblGrid>
        <w:gridCol w:w="4006"/>
        <w:gridCol w:w="146"/>
        <w:gridCol w:w="283"/>
        <w:gridCol w:w="707"/>
        <w:gridCol w:w="223"/>
        <w:gridCol w:w="196"/>
        <w:gridCol w:w="283"/>
        <w:gridCol w:w="707"/>
        <w:gridCol w:w="411"/>
      </w:tblGrid>
      <w:tr>
        <w:trPr/>
        <w:tc>
          <w:tcPr>
            <w:tcW w:w="4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WTW</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41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for certain items:</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operations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Tax effect on certain items listed above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effect of internal reorganizations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net income</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ordinary shares — diluted</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41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share</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411" w:type="dxa"/>
            <w:tcBorders/>
            <w:shd w:fill="auto" w:val="cle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Adjusted for certain items </w:t>
            </w:r>
            <w:r>
              <w:rPr>
                <w:rFonts w:ascii="Times New Roman;serif" w:hAnsi="Times New Roman;serif"/>
                <w:b w:val="false"/>
                <w:sz w:val="13"/>
              </w:rPr>
              <w:t>(ii)</w:t>
            </w:r>
            <w:r>
              <w:rPr>
                <w:rFonts w:ascii="Times New Roman" w:hAnsi="Times New Roman"/>
                <w:sz w:val="20"/>
              </w:rPr>
              <w:t> </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from discontinued operations, net of tax</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0.68</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operations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0.46</w:t>
            </w:r>
          </w:p>
        </w:tc>
        <w:tc>
          <w:tcPr>
            <w:tcW w:w="411" w:type="dxa"/>
            <w:tcBorders/>
            <w:shd w:fill="auto" w:val="clear"/>
            <w:vAlign w:val="center"/>
          </w:tcPr>
          <w:p>
            <w:pPr>
              <w:pStyle w:val="TableContents"/>
              <w:spacing w:before="0" w:after="0"/>
              <w:ind w:left="0" w:right="0" w:firstLine="200"/>
              <w:jc w:val="left"/>
              <w:rPr/>
            </w:pPr>
            <w:r>
              <w:rPr/>
              <w:t> </w:t>
            </w:r>
          </w:p>
        </w:tc>
      </w:tr>
      <w:tr>
        <w:trPr/>
        <w:tc>
          <w:tcPr>
            <w:tcW w:w="400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Tax effect on certain items listed above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 w:type="dxa"/>
            <w:tcBorders/>
            <w:shd w:fill="auto" w:val="clear"/>
            <w:vAlign w:val="center"/>
          </w:tcPr>
          <w:p>
            <w:pPr>
              <w:pStyle w:val="TableContents"/>
              <w:spacing w:before="0" w:after="0"/>
              <w:ind w:left="0" w:right="0" w:hanging="0"/>
              <w:jc w:val="righ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effect of internal reorganizations</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diluted earnings per share</w:t>
            </w:r>
          </w:p>
        </w:tc>
        <w:tc>
          <w:tcPr>
            <w:tcW w:w="146" w:type="dxa"/>
            <w:tcBorders/>
            <w:shd w:fill="auto" w:val="clear"/>
            <w:vAlign w:val="center"/>
          </w:tcPr>
          <w:p>
            <w:pPr>
              <w:pStyle w:val="TableContents"/>
              <w:spacing w:before="0" w:after="0"/>
              <w:ind w:left="0" w:right="0" w:hanging="0"/>
              <w:jc w:val="righ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The tax effect was calculated using an effective tax rate for each item.</w:t>
      </w:r>
    </w:p>
    <w:p>
      <w:pPr>
        <w:pStyle w:val="TextBody"/>
        <w:spacing w:before="40" w:after="0"/>
        <w:jc w:val="left"/>
        <w:rPr>
          <w:rFonts w:ascii="Times New Roman" w:hAnsi="Times New Roman"/>
          <w:b w:val="false"/>
          <w:sz w:val="16"/>
        </w:rPr>
      </w:pPr>
      <w:r>
        <w:rPr>
          <w:rFonts w:ascii="Times New Roman" w:hAnsi="Times New Roman"/>
          <w:b w:val="false"/>
          <w:sz w:val="16"/>
        </w:rPr>
        <w:t>(ii)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Per share values and totals may differ due to rounding.</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Our adjusted diluted earnings per share increased for the three months ended March 31, 2023 as compared to the prior year primarily due to a lower weighted-average outstanding share count due to our share repurchase activity over the last year.</w:t>
      </w:r>
    </w:p>
    <w:p>
      <w:pPr>
        <w:pStyle w:val="TextBody"/>
        <w:spacing w:before="180" w:after="0"/>
        <w:jc w:val="left"/>
        <w:rPr>
          <w:rFonts w:ascii="Times New Roman;serif" w:hAnsi="Times New Roman;serif"/>
          <w:b/>
          <w:i/>
          <w:sz w:val="20"/>
        </w:rPr>
      </w:pPr>
      <w:r>
        <w:rPr>
          <w:rFonts w:ascii="Times New Roman;serif" w:hAnsi="Times New Roman;serif"/>
          <w:b/>
          <w:i/>
          <w:sz w:val="20"/>
        </w:rPr>
        <w:t>Adjusted Income Before Taxes and Adjusted Income Taxes/Tax Rate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Adjusted income taxes/tax rate is defined as the provision for income taxes adjusted for taxes on certain items of impairment, amortization, restructuring costs, transaction and transformation,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val="false"/>
          <w:sz w:val="20"/>
        </w:rPr>
        <w:t>Reconciliations of income from operations before income taxes to adjusted income before taxes and provision for income taxes to adjusted income taxes for the three months ended March 31, 2023 and 2022 are as follows:</w:t>
      </w:r>
      <w:r>
        <w:rPr>
          <w:rFonts w:ascii="Times New Roman" w:hAnsi="Times New Roman"/>
          <w:sz w:val="20"/>
        </w:rPr>
        <w:t xml:space="preserve"> </w:t>
      </w:r>
    </w:p>
    <w:p>
      <w:pPr>
        <w:pStyle w:val="TextBody"/>
        <w:spacing w:before="0" w:after="0"/>
        <w:jc w:val="left"/>
        <w:rPr/>
      </w:pPr>
      <w:r>
        <w:rPr/>
        <w:t> </w:t>
      </w:r>
    </w:p>
    <w:tbl>
      <w:tblPr>
        <w:tblW w:w="9271" w:type="dxa"/>
        <w:jc w:val="left"/>
        <w:tblInd w:w="0" w:type="dxa"/>
        <w:tblCellMar>
          <w:top w:w="28" w:type="dxa"/>
          <w:left w:w="28" w:type="dxa"/>
          <w:bottom w:w="28" w:type="dxa"/>
          <w:right w:w="28" w:type="dxa"/>
        </w:tblCellMar>
      </w:tblPr>
      <w:tblGrid>
        <w:gridCol w:w="6211"/>
        <w:gridCol w:w="146"/>
        <w:gridCol w:w="286"/>
        <w:gridCol w:w="631"/>
        <w:gridCol w:w="367"/>
        <w:gridCol w:w="197"/>
        <w:gridCol w:w="286"/>
        <w:gridCol w:w="631"/>
        <w:gridCol w:w="516"/>
      </w:tblGrid>
      <w:tr>
        <w:trPr/>
        <w:tc>
          <w:tcPr>
            <w:tcW w:w="6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516" w:type="dxa"/>
            <w:tcBorders/>
            <w:shd w:fill="auto" w:val="cle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FROM CONTINUING OPERATIONS BEFORE INCOME TAXES</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516"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for certain items:</w:t>
            </w:r>
          </w:p>
        </w:tc>
        <w:tc>
          <w:tcPr>
            <w:tcW w:w="146"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costs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Transaction and transformation</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disposal of operations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income before taxes</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hanging="0"/>
              <w:jc w:val="righ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Tax effect on certain items listed above </w:t>
            </w:r>
            <w:r>
              <w:rPr>
                <w:rFonts w:ascii="Times New Roman;serif" w:hAnsi="Times New Roman;serif"/>
                <w:b w:val="false"/>
                <w:sz w:val="13"/>
              </w:rPr>
              <w:t>(i)</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6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16"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effect of internal reorganizations</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income taxes</w:t>
            </w:r>
          </w:p>
        </w:tc>
        <w:tc>
          <w:tcPr>
            <w:tcW w:w="146" w:type="dxa"/>
            <w:tcBorders/>
            <w:shd w:fill="auto" w:val="clear"/>
            <w:vAlign w:val="center"/>
          </w:tcPr>
          <w:p>
            <w:pPr>
              <w:pStyle w:val="TableContents"/>
              <w:spacing w:before="0" w:after="0"/>
              <w:ind w:left="0" w:right="0" w:hanging="0"/>
              <w:jc w:val="righ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right"/>
              <w:rPr/>
            </w:pPr>
            <w:r>
              <w:rPr/>
              <w:t> </w:t>
            </w:r>
          </w:p>
        </w:tc>
        <w:tc>
          <w:tcPr>
            <w:tcW w:w="917"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GAAP tax rate</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Adjusted income tax rate</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6" w:space="1" w:color="000000"/>
        </w:pBdr>
        <w:spacing w:before="0" w:after="0"/>
        <w:jc w:val="left"/>
        <w:rPr/>
      </w:pPr>
      <w:r>
        <w:rPr/>
        <w:t> </w:t>
      </w:r>
    </w:p>
    <w:p>
      <w:pPr>
        <w:pStyle w:val="TextBody"/>
        <w:spacing w:before="40" w:after="0"/>
        <w:jc w:val="left"/>
        <w:rPr>
          <w:rFonts w:ascii="Times New Roman" w:hAnsi="Times New Roman"/>
          <w:b w:val="false"/>
          <w:sz w:val="16"/>
        </w:rPr>
      </w:pPr>
      <w:r>
        <w:rPr>
          <w:rFonts w:ascii="Times New Roman" w:hAnsi="Times New Roman"/>
          <w:b w:val="false"/>
          <w:sz w:val="16"/>
        </w:rPr>
        <w:t>(i)</w:t>
      </w:r>
    </w:p>
    <w:p>
      <w:pPr>
        <w:pStyle w:val="TextBody"/>
        <w:spacing w:before="40" w:after="283"/>
        <w:jc w:val="left"/>
        <w:rPr>
          <w:rFonts w:ascii="Times New Roman;serif" w:hAnsi="Times New Roman;serif"/>
          <w:b w:val="false"/>
          <w:sz w:val="16"/>
        </w:rPr>
      </w:pPr>
      <w:r>
        <w:rPr>
          <w:rFonts w:ascii="Times New Roman;serif" w:hAnsi="Times New Roman;serif"/>
          <w:b w:val="false"/>
          <w:sz w:val="16"/>
        </w:rPr>
        <w:t>The tax effect was calculated using an effective tax rate for each item.</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Our U.S. GAAP tax rates were 19.5% and 27.5% for the three months ended March 31, 2023 and 2022, respectively. The prior-year quarter’s effective tax rate was higher due to the tax effect of the divestment of our Russian business.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Our adjusted income tax rates were 20.5% and 21.1% for the three months ended March 31, 2023 and 2022, respectively. The current- quarter adjusted tax rate is lower due to the distribution of geographical income.</w:t>
      </w:r>
    </w:p>
    <w:p>
      <w:pPr>
        <w:pStyle w:val="TextBody"/>
        <w:spacing w:before="180" w:after="0"/>
        <w:jc w:val="left"/>
        <w:rPr>
          <w:rFonts w:ascii="Times New Roman;serif" w:hAnsi="Times New Roman;serif"/>
          <w:b/>
          <w:i/>
          <w:sz w:val="20"/>
        </w:rPr>
      </w:pPr>
      <w:r>
        <w:rPr>
          <w:rFonts w:ascii="Times New Roman;serif" w:hAnsi="Times New Roman;serif"/>
          <w:b/>
          <w:i/>
          <w:sz w:val="20"/>
        </w:rPr>
        <w:t>Free Cash Flow</w:t>
      </w:r>
    </w:p>
    <w:p>
      <w:pPr>
        <w:pStyle w:val="TextBody"/>
        <w:spacing w:before="180" w:after="0"/>
        <w:jc w:val="left"/>
        <w:rPr>
          <w:rFonts w:ascii="Times New Roman" w:hAnsi="Times New Roman"/>
          <w:sz w:val="20"/>
        </w:rPr>
      </w:pPr>
      <w:r>
        <w:rPr>
          <w:rFonts w:ascii="Times New Roman;serif" w:hAnsi="Times New Roman;serif"/>
          <w:b w:val="false"/>
          <w:sz w:val="20"/>
        </w:rPr>
        <w:t>Free cash flow is defined as cash flows from operating activities less cash used to purchase fixed assets and software for internal use. Free cash flow is a liquidity measure and is not meant to represent residual cash flow available for discretionary expenditures.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Management believes that free cash flow presents the core operating performance and cash generating capabilities of our business operations.</w:t>
      </w:r>
    </w:p>
    <w:p>
      <w:pPr>
        <w:pStyle w:val="TextBody"/>
        <w:spacing w:before="180" w:after="0"/>
        <w:jc w:val="left"/>
        <w:rPr>
          <w:rFonts w:ascii="Times New Roman" w:hAnsi="Times New Roman"/>
          <w:sz w:val="20"/>
        </w:rPr>
      </w:pPr>
      <w:r>
        <w:rPr>
          <w:rFonts w:ascii="Times New Roman;serif" w:hAnsi="Times New Roman;serif"/>
          <w:b w:val="false"/>
          <w:sz w:val="20"/>
        </w:rPr>
        <w:t>Reconciliations of cash flows from operating activities to free cash flow for the three months ended March 31, 2023 and 2022 are as follows:</w:t>
      </w:r>
      <w:r>
        <w:rPr>
          <w:rFonts w:ascii="Times New Roman" w:hAnsi="Times New Roman"/>
          <w:sz w:val="20"/>
        </w:rPr>
        <w:t xml:space="preserve"> </w:t>
      </w:r>
    </w:p>
    <w:p>
      <w:pPr>
        <w:pStyle w:val="TextBody"/>
        <w:spacing w:before="0" w:after="0"/>
        <w:jc w:val="left"/>
        <w:rPr/>
      </w:pPr>
      <w:r>
        <w:rPr/>
        <w:t> </w:t>
      </w:r>
    </w:p>
    <w:tbl>
      <w:tblPr>
        <w:tblW w:w="7660" w:type="dxa"/>
        <w:jc w:val="left"/>
        <w:tblInd w:w="0" w:type="dxa"/>
        <w:tblCellMar>
          <w:top w:w="28" w:type="dxa"/>
          <w:left w:w="28" w:type="dxa"/>
          <w:bottom w:w="28" w:type="dxa"/>
          <w:right w:w="28" w:type="dxa"/>
        </w:tblCellMar>
      </w:tblPr>
      <w:tblGrid>
        <w:gridCol w:w="4906"/>
        <w:gridCol w:w="146"/>
        <w:gridCol w:w="330"/>
        <w:gridCol w:w="660"/>
        <w:gridCol w:w="260"/>
        <w:gridCol w:w="228"/>
        <w:gridCol w:w="330"/>
        <w:gridCol w:w="589"/>
        <w:gridCol w:w="211"/>
      </w:tblGrid>
      <w:tr>
        <w:trPr/>
        <w:tc>
          <w:tcPr>
            <w:tcW w:w="49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60"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shd w:fill="auto" w:val="clear"/>
            <w:vAlign w:val="center"/>
          </w:tcPr>
          <w:p>
            <w:pPr>
              <w:pStyle w:val="TableContents"/>
              <w:spacing w:before="0" w:after="0"/>
              <w:ind w:left="0" w:right="0" w:hanging="0"/>
              <w:jc w:val="left"/>
              <w:rPr/>
            </w:pPr>
            <w:r>
              <w:rPr/>
              <w:t> </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Additions to fixed assets and software for internal use</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increase in free cash flow during the current-year period was primarily due to more favorable working capital movements resulting mostly from higher cash collections and lower discretionary compensation payments made in the current-year quarter as compared to the prior-year quarter.</w:t>
      </w:r>
    </w:p>
    <w:p>
      <w:pPr>
        <w:pStyle w:val="TextBody"/>
        <w:spacing w:before="180" w:after="0"/>
        <w:jc w:val="left"/>
        <w:rPr>
          <w:rFonts w:ascii="Times New Roman;serif" w:hAnsi="Times New Roman;serif"/>
          <w:b/>
          <w:sz w:val="20"/>
        </w:rPr>
      </w:pPr>
      <w:r>
        <w:rPr>
          <w:rFonts w:ascii="Times New Roman;serif" w:hAnsi="Times New Roman;serif"/>
          <w:b/>
          <w:sz w:val="20"/>
        </w:rPr>
        <w:t>Critical Accounting Estimates</w:t>
      </w:r>
    </w:p>
    <w:p>
      <w:pPr>
        <w:pStyle w:val="TextBody"/>
        <w:spacing w:before="180" w:after="0"/>
        <w:jc w:val="left"/>
        <w:rPr>
          <w:rFonts w:ascii="Times New Roman" w:hAnsi="Times New Roman"/>
          <w:sz w:val="20"/>
        </w:rPr>
      </w:pPr>
      <w:r>
        <w:rPr>
          <w:rFonts w:ascii="Times New Roman;serif" w:hAnsi="Times New Roman;serif"/>
          <w:b w:val="false"/>
          <w:sz w:val="20"/>
        </w:rPr>
        <w:t>There were no material changes from the Critical Accounting Estimates disclosed in our Annual Report on Form 10-K for the year ended December 31, 2022, filed with the SEC on February 24, 2023.</w:t>
      </w:r>
      <w:r>
        <w:rPr>
          <w:rFonts w:ascii="Times New Roman" w:hAnsi="Times New Roman"/>
          <w:sz w:val="20"/>
        </w:rPr>
        <w:t xml:space="preserve">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40" w:name="wltw_20180630_10q_htm_s53da4f2070345152b"/>
      <w:bookmarkStart w:id="41" w:name="fis_market_risk"/>
      <w:bookmarkEnd w:id="40"/>
      <w:bookmarkEnd w:id="41"/>
      <w:r>
        <w:rPr>
          <w:rFonts w:ascii="Times New Roman;serif" w:hAnsi="Times New Roman;serif"/>
          <w:b/>
          <w:sz w:val="20"/>
        </w:rPr>
        <w:t>ITEM 3. QUANTITATIVE AND QUALITATI</w:t>
      </w:r>
      <w:bookmarkStart w:id="42" w:name="item_3_quantitative_qualitative_disclosu"/>
      <w:bookmarkEnd w:id="42"/>
      <w:r>
        <w:rPr>
          <w:rFonts w:ascii="Times New Roman;serif" w:hAnsi="Times New Roman;serif"/>
          <w:b/>
          <w:sz w:val="20"/>
        </w:rPr>
        <w:t>VE DISCLOSURES ABOUT MARKET RISK</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We have considered changes in our exposure to market risks during the three months ended March 31, 2023 and have determined that there have been no material changes to our exposure to market risks from those described in the Company’s Annual Report on Form 10-K for the year ended December 31, 2022, filed with the SEC on February 24, 2023. However, we have provided the following information to supplement or update our disclosures on our Form 10-K.</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has a global investment policy which is designed to ensure that we maintain diversification of our cash investments throughout the world in order to minimize the risk of loss due to a counterparty failure.</w:t>
      </w:r>
    </w:p>
    <w:p>
      <w:pPr>
        <w:pStyle w:val="TextBody"/>
        <w:spacing w:before="180" w:after="0"/>
        <w:jc w:val="left"/>
        <w:rPr>
          <w:rFonts w:ascii="Times New Roman;serif" w:hAnsi="Times New Roman;serif"/>
          <w:b/>
          <w:i/>
          <w:sz w:val="20"/>
        </w:rPr>
      </w:pPr>
      <w:r>
        <w:rPr>
          <w:rFonts w:ascii="Times New Roman;serif" w:hAnsi="Times New Roman;serif"/>
          <w:b/>
          <w:i/>
          <w:sz w:val="20"/>
        </w:rPr>
        <w:t>Interest Income on Fiduciary Funds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As described in our Annual Report on Form 10-K, we are exposed to interest rate risk. Specifically, as a result of our operating activities, we receive cash for premiums and claims which we deposit in high-quality bank term deposit and money market funds where permitted. We earn interest on these funds, which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$32 million and $4 million for the three months ended March 31, 2023 and 2022, respectively. At March 31, 2023, we held $1.9 billion of fiduciary funds invested in interest-bearing accounts. If short-term interest rates increased or decreased by 25 basis points, interest earned on these invested fiduciary funds, and therefore our interest income recognized, would increase or decrease by approximately $5 million on an annualized basis.</w:t>
      </w:r>
    </w:p>
    <w:p>
      <w:pPr>
        <w:pStyle w:val="TextBody"/>
        <w:spacing w:before="180" w:after="0"/>
        <w:jc w:val="left"/>
        <w:rPr>
          <w:rFonts w:ascii="Times New Roman" w:hAnsi="Times New Roman"/>
          <w:sz w:val="20"/>
        </w:rPr>
      </w:pPr>
      <w:bookmarkStart w:id="43" w:name="item_4_controls_procedures"/>
      <w:bookmarkEnd w:id="4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8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80" w:after="0"/>
        <w:jc w:val="left"/>
        <w:rPr>
          <w:rFonts w:ascii="Times New Roman" w:hAnsi="Times New Roman"/>
          <w:sz w:val="20"/>
        </w:rPr>
      </w:pPr>
      <w:r>
        <w:rPr>
          <w:rFonts w:ascii="Times New Roman;serif" w:hAnsi="Times New Roman;serif"/>
          <w:b w:val="false"/>
          <w:sz w:val="20"/>
        </w:rPr>
        <w:t>As of March 31, 2023,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identified in connection with the evaluation required by Rules 13a-15(d) or 15d-15(d) under the Exchange Act during the quarter ended March 31, 2023 that materially affected, or are reasonably likely to materially affect, our internal control over financial reporting.</w:t>
      </w:r>
    </w:p>
    <w:p>
      <w:pPr>
        <w:pStyle w:val="TextBody"/>
        <w:spacing w:before="180" w:after="0"/>
        <w:jc w:val="left"/>
        <w:rPr>
          <w:rFonts w:ascii="Times New Roman;serif" w:hAnsi="Times New Roman;serif"/>
          <w:b/>
          <w:sz w:val="20"/>
        </w:rPr>
      </w:pPr>
      <w:r>
        <w:rPr>
          <w:rFonts w:ascii="Times New Roman;serif" w:hAnsi="Times New Roman;serif"/>
          <w:b/>
          <w:sz w:val="20"/>
        </w:rPr>
        <w:t>Limitations on the Effectiveness of Controls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44" w:name="fis_part_ii"/>
      <w:bookmarkStart w:id="45" w:name="wltw_20180630_10q_htm_sb72dfa60265e5e508"/>
      <w:bookmarkEnd w:id="44"/>
      <w:bookmarkEnd w:id="45"/>
      <w:r>
        <w:rPr>
          <w:rFonts w:ascii="Times New Roman;serif" w:hAnsi="Times New Roman;serif"/>
          <w:b/>
          <w:sz w:val="20"/>
        </w:rPr>
        <w:t>PART II. OTHER</w:t>
      </w:r>
      <w:bookmarkStart w:id="46" w:name="part_ii_or_information"/>
      <w:bookmarkEnd w:id="46"/>
      <w:r>
        <w:rPr>
          <w:rFonts w:ascii="Times New Roman" w:hAnsi="Times New Roman"/>
          <w:sz w:val="20"/>
        </w:rPr>
        <w:t xml:space="preserve"> </w:t>
      </w:r>
      <w:r>
        <w:rPr>
          <w:rFonts w:ascii="Times New Roman;serif" w:hAnsi="Times New Roman;serif"/>
          <w:b/>
          <w:sz w:val="20"/>
        </w:rPr>
        <w:t>INFORMATION</w:t>
      </w:r>
    </w:p>
    <w:p>
      <w:pPr>
        <w:pStyle w:val="TextBody"/>
        <w:spacing w:before="180" w:after="0"/>
        <w:jc w:val="left"/>
        <w:rPr>
          <w:rFonts w:ascii="Times New Roman" w:hAnsi="Times New Roman"/>
          <w:sz w:val="20"/>
        </w:rPr>
      </w:pPr>
      <w:bookmarkStart w:id="47" w:name="item_1_legal_proceedings"/>
      <w:bookmarkEnd w:id="47"/>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March 31, 2023.</w:t>
      </w:r>
    </w:p>
    <w:p>
      <w:pPr>
        <w:pStyle w:val="TextBody"/>
        <w:spacing w:before="180" w:after="0"/>
        <w:jc w:val="left"/>
        <w:rPr>
          <w:rFonts w:ascii="Times New Roman" w:hAnsi="Times New Roman"/>
          <w:sz w:val="20"/>
        </w:rPr>
      </w:pPr>
      <w:bookmarkStart w:id="48" w:name="item_1a_risk_factors"/>
      <w:bookmarkEnd w:id="48"/>
      <w:r>
        <w:rPr>
          <w:rFonts w:ascii="Times New Roman;serif" w:hAnsi="Times New Roman;serif"/>
          <w:b/>
          <w:sz w:val="20"/>
        </w:rPr>
        <w:t>ITEM 1A. RISK FACTORS</w:t>
      </w:r>
      <w:r>
        <w:rPr>
          <w:rFonts w:ascii="Times New Roman" w:hAnsi="Times New Roman"/>
          <w:sz w:val="20"/>
        </w:rPr>
        <w:t xml:space="preserve">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Except as described below, there are no material changes from risk factors as previously disclosed in our Annual Report on Form 10-K, filed with the SEC on February 24, 2023. We urge you to read the risk factors contained therein.</w:t>
      </w:r>
    </w:p>
    <w:p>
      <w:pPr>
        <w:pStyle w:val="TextBody"/>
        <w:spacing w:before="180" w:after="0"/>
        <w:jc w:val="left"/>
        <w:rPr>
          <w:rFonts w:ascii="Times New Roman;serif" w:hAnsi="Times New Roman;serif"/>
          <w:b/>
          <w:i/>
          <w:sz w:val="20"/>
        </w:rPr>
      </w:pPr>
      <w:r>
        <w:rPr>
          <w:rFonts w:ascii="Times New Roman;serif" w:hAnsi="Times New Roman;serif"/>
          <w:b/>
          <w:i/>
          <w:sz w:val="20"/>
        </w:rPr>
        <w:t>Macroeconomic trends, including inflation, increased interest rates and trade policies could continue to adversely affect our business, results of operations or financial condition.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Global economic events and other factors, such as accommodative monetary and fiscal policy and the impacts of the COVID-19 pandemic, have contributed to significant inflation in many of the markets in which we operate. In particular, inflation in the United States, Europe and other geographies has risen to levels not experienced in recent decades and we are seeing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are expected to keep increasing interest rates in 2023. Increased inflation and interest rates may hinder the economic growth in a number of markets where we do business, and has had, and may continue to have, far reaching effects on the global economy. This weakness in the economy and the possibility of a global recession has had, and may continue to have, a negative effect on our business and financial condition, including on the value of our ordinary shares.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although we do not have any direct exposure to any of the banks affected by the recent banking crisis (such as the recent closure of Silicon Valley Bank and receivership of Signature Bank), we could experience losses on our holdings of cash and investments due to failures of other financial institutions and other parties.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substantially and negatively impact our ability to do business as well as our financial condition. Furthermore, a continued deterioration or prolonged period of negative or stagnant macroeconomic conditions in the U.S. and globally could adversely affect our business, results of operations or financial condition.</w:t>
      </w:r>
    </w:p>
    <w:p>
      <w:pPr>
        <w:pStyle w:val="TextBody"/>
        <w:spacing w:before="180" w:after="0"/>
        <w:jc w:val="left"/>
        <w:rPr>
          <w:rFonts w:ascii="Times New Roman;serif" w:hAnsi="Times New Roman;serif"/>
          <w:b/>
          <w:sz w:val="20"/>
        </w:rPr>
      </w:pPr>
      <w:bookmarkStart w:id="49" w:name="item_2_unregistered_sales_equity_securit"/>
      <w:bookmarkEnd w:id="49"/>
      <w:r>
        <w:rPr>
          <w:rFonts w:ascii="Times New Roman;serif" w:hAnsi="Times New Roman;serif"/>
          <w:b/>
          <w:sz w:val="20"/>
        </w:rPr>
        <w:t>ITEM 2. UNREGISTERED SALES OF EQUITY SECURITIES AND USE OF PROCEEDS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During the three months ended March 31, 2023, no shares were issued by the Company without registration under the Securities Act of 1933, as amended.</w:t>
      </w:r>
    </w:p>
    <w:p>
      <w:pPr>
        <w:pStyle w:val="TextBody"/>
        <w:spacing w:before="180" w:after="0"/>
        <w:jc w:val="left"/>
        <w:rPr>
          <w:rFonts w:ascii="Times New Roman;serif" w:hAnsi="Times New Roman;serif"/>
          <w:b/>
          <w:sz w:val="20"/>
        </w:rPr>
      </w:pPr>
      <w:r>
        <w:rPr>
          <w:rFonts w:ascii="Times New Roman;serif" w:hAnsi="Times New Roman;serif"/>
          <w:b/>
          <w:sz w:val="20"/>
        </w:rPr>
        <w:t>(c) Issuer Purchases of Equity Securities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Company is authorized to repurchase shares, by way of redemption or otherwise, and will consider whether to do so from time to time, based on many factors, including market conditions. There are no expiration dates for these repurchase plans or programs.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The following table presents specified information about the Company’s repurchases of its shares in the first quarter of 2023 and the Company’s remaining repurchase authority.</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61"/>
        <w:gridCol w:w="146"/>
        <w:gridCol w:w="221"/>
        <w:gridCol w:w="1183"/>
        <w:gridCol w:w="146"/>
        <w:gridCol w:w="146"/>
        <w:gridCol w:w="228"/>
        <w:gridCol w:w="732"/>
        <w:gridCol w:w="146"/>
        <w:gridCol w:w="146"/>
        <w:gridCol w:w="389"/>
        <w:gridCol w:w="2082"/>
        <w:gridCol w:w="146"/>
        <w:gridCol w:w="146"/>
        <w:gridCol w:w="351"/>
        <w:gridCol w:w="2241"/>
        <w:gridCol w:w="195"/>
      </w:tblGrid>
      <w:tr>
        <w:trPr/>
        <w:tc>
          <w:tcPr>
            <w:tcW w:w="1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Period</w:t>
            </w:r>
          </w:p>
        </w:tc>
        <w:tc>
          <w:tcPr>
            <w:tcW w:w="146" w:type="dxa"/>
            <w:tcBorders/>
            <w:shd w:fill="auto" w:val="clear"/>
            <w:vAlign w:val="center"/>
          </w:tcPr>
          <w:p>
            <w:pPr>
              <w:pStyle w:val="TableContents"/>
              <w:spacing w:before="0" w:after="0"/>
              <w:ind w:left="0" w:right="0" w:hanging="0"/>
              <w:jc w:val="center"/>
              <w:rPr/>
            </w:pPr>
            <w:r>
              <w:rPr/>
              <w:t> </w:t>
            </w:r>
          </w:p>
        </w:tc>
        <w:tc>
          <w:tcPr>
            <w:tcW w:w="14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Average price</w:t>
              <w:br/>
              <w:t> 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Total number of shares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Maximum number of shares that may yet be purchased under the plans or programs</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January 1, 2023 through January 31,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1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20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2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5,610,897</w:t>
            </w:r>
          </w:p>
        </w:tc>
        <w:tc>
          <w:tcPr>
            <w:tcW w:w="195"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February 1, 2023 through February 28,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11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pPr>
            <w:r>
              <w:rPr/>
              <w:t> </w:t>
            </w:r>
          </w:p>
        </w:tc>
        <w:tc>
          <w:tcPr>
            <w:tcW w:w="20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2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5,546,569</w:t>
            </w:r>
          </w:p>
        </w:tc>
        <w:tc>
          <w:tcPr>
            <w:tcW w:w="195"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1, 2023 through March 31, 2023</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216,906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216,906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22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5,329,663</w:t>
            </w:r>
          </w:p>
        </w:tc>
        <w:tc>
          <w:tcPr>
            <w:tcW w:w="195" w:type="dxa"/>
            <w:tcBorders/>
            <w:shd w:fill="auto" w:val="clear"/>
            <w:vAlign w:val="center"/>
          </w:tcPr>
          <w:p>
            <w:pPr>
              <w:pStyle w:val="TableContents"/>
              <w:spacing w:before="0" w:after="0"/>
              <w:ind w:left="0" w:right="0" w:hanging="0"/>
              <w:jc w:val="left"/>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432,140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432,140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92" w:type="dxa"/>
            <w:gridSpan w:val="2"/>
            <w:tcBorders/>
            <w:shd w:fill="auto" w:val="clear"/>
            <w:vAlign w:val="center"/>
          </w:tcPr>
          <w:p>
            <w:pPr>
              <w:pStyle w:val="TableContents"/>
              <w:spacing w:before="0" w:after="0"/>
              <w:ind w:left="0" w:right="0" w:hanging="0"/>
              <w:jc w:val="right"/>
              <w:rPr/>
            </w:pPr>
            <w:r>
              <w:rPr/>
              <w:t> </w:t>
            </w:r>
          </w:p>
        </w:tc>
        <w:tc>
          <w:tcPr>
            <w:tcW w:w="195" w:type="dxa"/>
            <w:tcBorders/>
            <w:shd w:fill="auto" w:val="clear"/>
            <w:vAlign w:val="center"/>
          </w:tcPr>
          <w:p>
            <w:pPr>
              <w:pStyle w:val="TableContents"/>
              <w:spacing w:before="0" w:after="0"/>
              <w:ind w:left="0" w:right="0" w:hanging="0"/>
              <w:jc w:val="right"/>
              <w:rPr/>
            </w:pPr>
            <w:r>
              <w:rPr/>
              <w:t> </w:t>
            </w:r>
          </w:p>
        </w:tc>
      </w:tr>
    </w:tbl>
    <w:p>
      <w:pPr>
        <w:pStyle w:val="TextBody"/>
        <w:spacing w:before="180" w:after="0"/>
        <w:jc w:val="left"/>
        <w:rPr>
          <w:rFonts w:ascii="Times New Roman" w:hAnsi="Times New Roman"/>
          <w:sz w:val="20"/>
        </w:rPr>
      </w:pPr>
      <w:r>
        <w:rPr>
          <w:rFonts w:ascii="Times New Roman;serif" w:hAnsi="Times New Roman;serif"/>
          <w:b w:val="false"/>
          <w:sz w:val="20"/>
        </w:rPr>
        <w:t>At March 31, 2023 the maximum number of shares that may yet be purchased under the existing share repurchase plan is 5,329,663, with approximately $1.2 billion remaining on the current open-ended repurchase authority granted by the board. An estimate of the maximum number of shares under the existing authorities was determined using the closing price of our ordinary shares on March 31, 2023 of $232.38.</w:t>
      </w:r>
      <w:r>
        <w:rPr>
          <w:rFonts w:ascii="Times New Roman" w:hAnsi="Times New Roman"/>
          <w:sz w:val="20"/>
        </w:rPr>
        <w:t xml:space="preserve"> </w:t>
      </w:r>
    </w:p>
    <w:p>
      <w:pPr>
        <w:pStyle w:val="TextBody"/>
        <w:spacing w:before="180" w:after="0"/>
        <w:jc w:val="left"/>
        <w:rPr>
          <w:rFonts w:ascii="Times New Roman;serif" w:hAnsi="Times New Roman;serif"/>
          <w:b/>
          <w:sz w:val="20"/>
        </w:rPr>
      </w:pPr>
      <w:bookmarkStart w:id="50" w:name="item_3_defaults_upon_senior_securities"/>
      <w:bookmarkEnd w:id="50"/>
      <w:r>
        <w:rPr>
          <w:rFonts w:ascii="Times New Roman;serif" w:hAnsi="Times New Roman;serif"/>
          <w:b/>
          <w:sz w:val="20"/>
        </w:rPr>
        <w:t>ITEM 3. DEFAULTS UPON SENIOR SECURITIES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80" w:after="0"/>
        <w:jc w:val="left"/>
        <w:rPr>
          <w:rFonts w:ascii="Times New Roman;serif" w:hAnsi="Times New Roman;serif"/>
          <w:b/>
          <w:sz w:val="20"/>
        </w:rPr>
      </w:pPr>
      <w:bookmarkStart w:id="51" w:name="item_4_mine_safety_disclosures"/>
      <w:bookmarkEnd w:id="51"/>
      <w:r>
        <w:rPr>
          <w:rFonts w:ascii="Times New Roman;serif" w:hAnsi="Times New Roman;serif"/>
          <w:b/>
          <w:sz w:val="20"/>
        </w:rPr>
        <w:t>ITEM 4. MINE SAFETY DISCLOSURES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180" w:after="0"/>
        <w:jc w:val="left"/>
        <w:rPr>
          <w:rFonts w:ascii="Times New Roman" w:hAnsi="Times New Roman"/>
          <w:sz w:val="20"/>
        </w:rPr>
      </w:pPr>
      <w:bookmarkStart w:id="52" w:name="item_5_or_information"/>
      <w:bookmarkEnd w:id="52"/>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53" w:name="wltw_20180630_10q_htm_s7e2441f0858e50b68"/>
      <w:bookmarkStart w:id="54" w:name="fis_exhibits_reports"/>
      <w:bookmarkEnd w:id="53"/>
      <w:bookmarkEnd w:id="54"/>
      <w:r>
        <w:rPr>
          <w:rFonts w:ascii="Times New Roman;serif" w:hAnsi="Times New Roman;serif"/>
          <w:b/>
          <w:sz w:val="20"/>
        </w:rPr>
        <w:t xml:space="preserve">ITEM 6. </w:t>
      </w:r>
      <w:bookmarkStart w:id="55" w:name="item_6_exhibits"/>
      <w:bookmarkEnd w:id="55"/>
      <w:r>
        <w:rPr>
          <w:rFonts w:ascii="Times New Roman;serif" w:hAnsi="Times New Roman;serif"/>
          <w:b/>
          <w:sz w:val="20"/>
        </w:rPr>
        <w:t>EXHIBITS</w:t>
      </w:r>
    </w:p>
    <w:p>
      <w:pPr>
        <w:pStyle w:val="TextBody"/>
        <w:spacing w:before="180" w:after="0"/>
        <w:jc w:val="center"/>
        <w:rPr>
          <w:rFonts w:ascii="Times New Roman;serif" w:hAnsi="Times New Roman;serif"/>
          <w:b/>
          <w:sz w:val="20"/>
        </w:rPr>
      </w:pPr>
      <w:r>
        <w:rPr>
          <w:rFonts w:ascii="Times New Roman;serif" w:hAnsi="Times New Roman;serif"/>
          <w:b/>
          <w:sz w:val="20"/>
        </w:rPr>
        <w:t>EXHIBIT INDEX</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6"/>
        <w:gridCol w:w="146"/>
        <w:gridCol w:w="5781"/>
        <w:gridCol w:w="146"/>
        <w:gridCol w:w="747"/>
        <w:gridCol w:w="146"/>
        <w:gridCol w:w="631"/>
        <w:gridCol w:w="146"/>
        <w:gridCol w:w="622"/>
        <w:gridCol w:w="146"/>
        <w:gridCol w:w="948"/>
      </w:tblGrid>
      <w:tr>
        <w:trPr/>
        <w:tc>
          <w:tcPr>
            <w:tcW w:w="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r>
      <w:tr>
        <w:trPr/>
        <w:tc>
          <w:tcPr>
            <w:tcW w:w="7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292"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094" w:type="dxa"/>
            <w:gridSpan w:val="2"/>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7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pBdr>
                <w:bottom w:val="single" w:sz="8"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pBdr>
                <w:bottom w:val="single" w:sz="8"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Description of Exhibit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Schedule/</w:t>
            </w:r>
          </w:p>
          <w:p>
            <w:pPr>
              <w:pStyle w:val="TableContents"/>
              <w:pBdr>
                <w:bottom w:val="single" w:sz="8"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pBdr>
                <w:bottom w:val="single" w:sz="8"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pBdr>
                <w:bottom w:val="single" w:sz="8"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pBdr>
                <w:bottom w:val="single" w:sz="8" w:space="1" w:color="000000"/>
              </w:pBdr>
              <w:spacing w:before="0" w:after="0"/>
              <w:ind w:left="0" w:right="0" w:hanging="0"/>
              <w:jc w:val="center"/>
              <w:rPr/>
            </w:pPr>
            <w:r>
              <w:rPr/>
              <w:t>  </w:t>
            </w:r>
            <w:r>
              <w:rPr>
                <w:rFonts w:ascii="Times New Roman;serif" w:hAnsi="Times New Roman;serif"/>
                <w:b/>
                <w:sz w:val="16"/>
              </w:rPr>
              <w:t>Herewith</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5781" w:type="dxa"/>
            <w:tcBorders/>
            <w:shd w:fill="auto" w:val="clear"/>
            <w:vAlign w:val="center"/>
          </w:tcPr>
          <w:p>
            <w:pPr>
              <w:pStyle w:val="TableContents"/>
              <w:spacing w:before="0" w:after="0"/>
              <w:ind w:left="0" w:right="0" w:hanging="0"/>
              <w:jc w:val="left"/>
              <w:rPr/>
            </w:pPr>
            <w:hyperlink w:anchor="wtw-ex10_1.htm">
              <w:r>
                <w:rPr>
                  <w:rStyle w:val="InternetLink"/>
                  <w:rFonts w:ascii="Times New Roman;serif" w:hAnsi="Times New Roman;serif"/>
                  <w:b w:val="false"/>
                  <w:sz w:val="20"/>
                  <w:u w:val="single"/>
                </w:rPr>
                <w:t>Form of 2023 Time-Based Restricted Share Unit Award Agreement for Executive Officers under the Willis Towers Watson Amended and Restated 2012 Equity Incentive Plan.</w:t>
              </w:r>
            </w:hyperlink>
          </w:p>
        </w:tc>
        <w:tc>
          <w:tcPr>
            <w:tcW w:w="146"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5781" w:type="dxa"/>
            <w:tcBorders/>
            <w:shd w:fill="auto" w:val="clear"/>
            <w:vAlign w:val="center"/>
          </w:tcPr>
          <w:p>
            <w:pPr>
              <w:pStyle w:val="TableContents"/>
              <w:spacing w:before="0" w:after="0"/>
              <w:ind w:left="0" w:right="0" w:hanging="0"/>
              <w:jc w:val="left"/>
              <w:rPr/>
            </w:pPr>
            <w:hyperlink w:anchor="wtw-ex10_2.htm">
              <w:r>
                <w:rPr>
                  <w:rStyle w:val="InternetLink"/>
                  <w:rFonts w:ascii="Times New Roman;serif" w:hAnsi="Times New Roman;serif"/>
                  <w:b w:val="false"/>
                  <w:sz w:val="20"/>
                  <w:u w:val="single"/>
                </w:rPr>
                <w:t>Form of 2023 Performance-Based Restricted Share Unit Award Agreement for Executive Officers under the Willis Towers Watson Amended and Restated 2012 Equity Incentive Plan.</w:t>
              </w:r>
            </w:hyperlink>
          </w:p>
        </w:tc>
        <w:tc>
          <w:tcPr>
            <w:tcW w:w="146"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pPr>
            <w:hyperlink w:anchor="wtw-ex22_1.htm">
              <w:r>
                <w:rPr>
                  <w:rStyle w:val="InternetLink"/>
                  <w:rFonts w:ascii="Times New Roman;serif" w:hAnsi="Times New Roman;serif"/>
                  <w:b w:val="false"/>
                  <w:sz w:val="20"/>
                  <w:u w:val="single"/>
                </w:rPr>
                <w:t>List of Issuers and Guarantor Subsidiaries.</w:t>
              </w:r>
            </w:hyperlink>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X</w:t>
            </w:r>
            <w:r>
              <w:rPr>
                <w:rFonts w:ascii="Times New Roman" w:hAnsi="Times New Roman"/>
                <w:sz w:val="20"/>
              </w:rPr>
              <w:t xml:space="preserve"> </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pPr>
            <w:hyperlink w:anchor="wtw-ex31_1.htm">
              <w:r>
                <w:rPr>
                  <w:rStyle w:val="InternetLink"/>
                  <w:rFonts w:ascii="Times New Roman;serif" w:hAnsi="Times New Roman;serif"/>
                  <w:b w:val="false"/>
                  <w:sz w:val="20"/>
                  <w:u w:val="single"/>
                </w:rPr>
                <w:t>Certification of the Registrant’s Chief Executive Officer, Carl A. Hess, pursuant to Rule 13a-14 of the Securities Exchange Act of 1934.</w:t>
              </w:r>
            </w:hyperlink>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pPr>
            <w:hyperlink w:anchor="wtw-ex31_2.htm">
              <w:r>
                <w:rPr>
                  <w:rStyle w:val="InternetLink"/>
                  <w:rFonts w:ascii="Times New Roman;serif" w:hAnsi="Times New Roman;serif"/>
                  <w:b w:val="false"/>
                  <w:sz w:val="20"/>
                  <w:u w:val="single"/>
                </w:rPr>
                <w:t>Certification of the Registrant’s Chief Financial Officer, Andrew J. Krasner, pursuant to Rule 13a-14 of the Securities Exchange Act of 1934.</w:t>
              </w:r>
            </w:hyperlink>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pPr>
            <w:hyperlink w:anchor="wtw-ex32_1.htm">
              <w:r>
                <w:rPr>
                  <w:rStyle w:val="InternetLink"/>
                  <w:rFonts w:ascii="Times New Roman;serif" w:hAnsi="Times New Roman;serif"/>
                  <w:b w:val="false"/>
                  <w:sz w:val="20"/>
                  <w:u w:val="single"/>
                </w:rPr>
                <w:t>Certification of the Registrant’s Chief Executive Officer, Carl A. Hess, and Chief Financial Officer, Andrew J. Krasner, pursuant to 18 U.S.C. Section 1350, as adopted pursuant to Section 906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283"/>
              <w:ind w:left="0" w:right="0" w:hanging="0"/>
              <w:rPr>
                <w:sz w:val="4"/>
                <w:szCs w:val="4"/>
              </w:rPr>
            </w:pPr>
            <w:r>
              <w:rPr>
                <w:sz w:val="4"/>
                <w:szCs w:val="4"/>
              </w:rPr>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4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2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4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pPr>
      <w:r>
        <w:rPr/>
        <w:t> </w:t>
      </w:r>
    </w:p>
    <w:p>
      <w:pPr>
        <w:pStyle w:val="TextBody"/>
        <w:pBdr>
          <w:bottom w:val="single" w:sz="4" w:space="1" w:color="000000"/>
        </w:pBdr>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56" w:name="signatures"/>
      <w:bookmarkEnd w:id="56"/>
      <w:r>
        <w:rPr>
          <w:rFonts w:ascii="Times New Roman;serif" w:hAnsi="Times New Roman;serif"/>
          <w:b/>
          <w:sz w:val="20"/>
        </w:rPr>
        <w:t>SIGNATURES</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980" w:type="dxa"/>
        <w:jc w:val="left"/>
        <w:tblInd w:w="0" w:type="dxa"/>
        <w:tblCellMar>
          <w:top w:w="28" w:type="dxa"/>
          <w:left w:w="28" w:type="dxa"/>
          <w:bottom w:w="28" w:type="dxa"/>
          <w:right w:w="28" w:type="dxa"/>
        </w:tblCellMar>
      </w:tblPr>
      <w:tblGrid>
        <w:gridCol w:w="676"/>
        <w:gridCol w:w="116"/>
        <w:gridCol w:w="3706"/>
        <w:gridCol w:w="116"/>
        <w:gridCol w:w="1366"/>
      </w:tblGrid>
      <w:tr>
        <w:trPr/>
        <w:tc>
          <w:tcPr>
            <w:tcW w:w="67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70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Willis Towers Watson Public Limited Company</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(Registrant)</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shd w:fill="auto" w:val="clear"/>
            <w:vAlign w:val="center"/>
          </w:tcPr>
          <w:p>
            <w:pPr>
              <w:pStyle w:val="TableContents"/>
              <w:spacing w:before="0" w:after="283"/>
              <w:ind w:left="0" w:right="30" w:hanging="0"/>
              <w:rPr>
                <w:sz w:val="4"/>
                <w:szCs w:val="4"/>
              </w:rPr>
            </w:pPr>
            <w:r>
              <w:rPr>
                <w:sz w:val="4"/>
                <w:szCs w:val="4"/>
              </w:rPr>
            </w:r>
          </w:p>
        </w:tc>
        <w:tc>
          <w:tcPr>
            <w:tcW w:w="116" w:type="dxa"/>
            <w:tcBorders/>
            <w:shd w:fill="auto" w:val="clear"/>
            <w:vAlign w:val="center"/>
          </w:tcPr>
          <w:p>
            <w:pPr>
              <w:pStyle w:val="TableContents"/>
              <w:spacing w:before="0" w:after="283"/>
              <w:ind w:left="0" w:right="0" w:hanging="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Carl A. Hess</w:t>
            </w:r>
          </w:p>
        </w:tc>
        <w:tc>
          <w:tcPr>
            <w:tcW w:w="11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u w:val="single"/>
              </w:rPr>
            </w:pPr>
            <w:r>
              <w:rPr>
                <w:rFonts w:ascii="Times New Roman;serif" w:hAnsi="Times New Roman;serif"/>
                <w:b w:val="false"/>
                <w:sz w:val="20"/>
                <w:u w:val="single"/>
              </w:rPr>
              <w:t>April 27, 2023</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Name: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Carl A. Hess</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Title: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Executive Officer</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116" w:type="dxa"/>
            <w:tcBorders/>
            <w:shd w:fill="auto" w:val="clear"/>
            <w:vAlign w:val="center"/>
          </w:tcPr>
          <w:p>
            <w:pPr>
              <w:pStyle w:val="TableContents"/>
              <w:spacing w:before="0" w:after="283"/>
              <w:ind w:left="0" w:right="0" w:hanging="0"/>
              <w:rPr>
                <w:sz w:val="4"/>
                <w:szCs w:val="4"/>
              </w:rPr>
            </w:pPr>
            <w:r>
              <w:rPr>
                <w:sz w:val="4"/>
                <w:szCs w:val="4"/>
              </w:rPr>
            </w:r>
          </w:p>
        </w:tc>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16" w:type="dxa"/>
            <w:tcBorders/>
            <w:shd w:fill="auto" w:val="clear"/>
            <w:vAlign w:val="center"/>
          </w:tcPr>
          <w:p>
            <w:pPr>
              <w:pStyle w:val="TableContents"/>
              <w:spacing w:before="0" w:after="283"/>
              <w:ind w:left="0" w:right="0" w:hanging="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Andrew J. Krasner</w:t>
            </w:r>
          </w:p>
        </w:tc>
        <w:tc>
          <w:tcPr>
            <w:tcW w:w="11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u w:val="single"/>
              </w:rPr>
            </w:pPr>
            <w:r>
              <w:rPr>
                <w:rFonts w:ascii="Times New Roman;serif" w:hAnsi="Times New Roman;serif"/>
                <w:b w:val="false"/>
                <w:sz w:val="20"/>
                <w:u w:val="single"/>
              </w:rPr>
              <w:t>April 27, 2023</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Name: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Andrew J. Krasner</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Title: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Financial Officer</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6" w:type="dxa"/>
            <w:tcBorders/>
            <w:shd w:fill="auto" w:val="clear"/>
            <w:vAlign w:val="center"/>
          </w:tcPr>
          <w:p>
            <w:pPr>
              <w:pStyle w:val="TableContents"/>
              <w:spacing w:before="0" w:after="283"/>
              <w:ind w:left="0" w:right="0" w:hanging="0"/>
              <w:rPr>
                <w:sz w:val="4"/>
                <w:szCs w:val="4"/>
              </w:rPr>
            </w:pPr>
            <w:r>
              <w:rPr>
                <w:sz w:val="4"/>
                <w:szCs w:val="4"/>
              </w:rPr>
            </w:r>
          </w:p>
        </w:tc>
        <w:tc>
          <w:tcPr>
            <w:tcW w:w="116" w:type="dxa"/>
            <w:tcBorders/>
            <w:shd w:fill="auto" w:val="clear"/>
            <w:vAlign w:val="center"/>
          </w:tcPr>
          <w:p>
            <w:pPr>
              <w:pStyle w:val="TableContents"/>
              <w:spacing w:before="0" w:after="283"/>
              <w:ind w:left="0" w:right="0" w:hanging="0"/>
              <w:rPr>
                <w:sz w:val="4"/>
                <w:szCs w:val="4"/>
              </w:rPr>
            </w:pPr>
            <w:r>
              <w:rPr>
                <w:sz w:val="4"/>
                <w:szCs w:val="4"/>
              </w:rPr>
            </w:r>
          </w:p>
        </w:tc>
        <w:tc>
          <w:tcPr>
            <w:tcW w:w="3706" w:type="dxa"/>
            <w:tcBorders/>
            <w:shd w:fill="auto" w:val="clear"/>
            <w:vAlign w:val="center"/>
          </w:tcPr>
          <w:p>
            <w:pPr>
              <w:pStyle w:val="TableContents"/>
              <w:spacing w:before="0" w:after="283"/>
              <w:ind w:left="0" w:right="0" w:hanging="0"/>
              <w:rPr>
                <w:sz w:val="4"/>
                <w:szCs w:val="4"/>
              </w:rPr>
            </w:pPr>
            <w:r>
              <w:rPr>
                <w:sz w:val="4"/>
                <w:szCs w:val="4"/>
              </w:rPr>
            </w:r>
          </w:p>
        </w:tc>
        <w:tc>
          <w:tcPr>
            <w:tcW w:w="116" w:type="dxa"/>
            <w:tcBorders/>
            <w:shd w:fill="auto" w:val="clear"/>
            <w:vAlign w:val="center"/>
          </w:tcPr>
          <w:p>
            <w:pPr>
              <w:pStyle w:val="TableContents"/>
              <w:spacing w:before="0" w:after="283"/>
              <w:ind w:left="0" w:right="0" w:hanging="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8" w:type="dxa"/>
            <w:gridSpan w:val="3"/>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Joseph S. Kurpis</w:t>
            </w:r>
          </w:p>
        </w:tc>
        <w:tc>
          <w:tcPr>
            <w:tcW w:w="11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u w:val="single"/>
              </w:rPr>
            </w:pPr>
            <w:r>
              <w:rPr>
                <w:rFonts w:ascii="Times New Roman;serif" w:hAnsi="Times New Roman;serif"/>
                <w:b w:val="false"/>
                <w:sz w:val="20"/>
                <w:u w:val="single"/>
              </w:rPr>
              <w:t>April 27, 2023</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Name: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Joseph S. Kurpis</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w:t>
            </w:r>
          </w:p>
        </w:tc>
      </w:tr>
      <w:tr>
        <w:trPr/>
        <w:tc>
          <w:tcPr>
            <w:tcW w:w="67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Title:</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3706"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Principal Accounting Officer and Controller</w:t>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bl>
    <w:p>
      <w:pPr>
        <w:pStyle w:val="TextBody"/>
        <w:spacing w:before="0" w:after="0"/>
        <w:jc w:val="left"/>
        <w:rPr/>
      </w:pPr>
      <w:r>
        <w:rPr/>
        <w:t> </w:t>
      </w:r>
    </w:p>
    <w:p>
      <w:pPr>
        <w:pStyle w:val="TextBody"/>
        <w:spacing w:before="20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r>
        <w:br w:type="page"/>
      </w:r>
    </w:p>
    <w:p>
      <w:pPr>
        <w:pStyle w:val="TextBody"/>
        <w:spacing w:before="0" w:after="0"/>
        <w:jc w:val="right"/>
        <w:rPr/>
      </w:pPr>
      <w:bookmarkStart w:id="57" w:name="wtw-ex10_1.htm"/>
      <w:bookmarkStart w:id="58" w:name="kswtwex10_1"/>
      <w:bookmarkEnd w:id="57"/>
      <w:bookmarkEnd w:id="58"/>
      <w:r>
        <w:rPr/>
        <w:t> </w:t>
      </w:r>
    </w:p>
    <w:p>
      <w:pPr>
        <w:pStyle w:val="TextBody"/>
        <w:spacing w:before="0" w:after="0"/>
        <w:jc w:val="right"/>
        <w:rPr>
          <w:rFonts w:ascii="Times New Roman;serif" w:hAnsi="Times New Roman;serif"/>
          <w:b/>
          <w:caps/>
          <w:sz w:val="22"/>
        </w:rPr>
      </w:pPr>
      <w:r>
        <w:rPr>
          <w:rFonts w:ascii="Times New Roman;serif" w:hAnsi="Times New Roman;serif"/>
          <w:b/>
          <w:caps/>
          <w:sz w:val="22"/>
        </w:rPr>
        <w:t>ExHibit 10.1</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caps/>
          <w:sz w:val="22"/>
        </w:rPr>
        <w:t>Willis TOWERS WATSON Public Limited Company</w:t>
      </w:r>
      <w:r>
        <w:rPr>
          <w:rFonts w:ascii="Times New Roman" w:hAnsi="Times New Roman"/>
          <w:caps/>
          <w:sz w:val="20"/>
        </w:rPr>
        <w:t xml:space="preserve"> </w:t>
      </w:r>
    </w:p>
    <w:p>
      <w:pPr>
        <w:pStyle w:val="TextBody"/>
        <w:spacing w:before="0" w:after="0"/>
        <w:jc w:val="center"/>
        <w:rPr>
          <w:rFonts w:ascii="Times New Roman" w:hAnsi="Times New Roman"/>
          <w:sz w:val="20"/>
        </w:rPr>
      </w:pPr>
      <w:r>
        <w:rPr>
          <w:rFonts w:ascii="Times New Roman;serif" w:hAnsi="Times New Roman;serif"/>
          <w:b/>
          <w:caps/>
          <w:sz w:val="22"/>
        </w:rPr>
        <w:t>2012 Equity Incentive Plan, as amended and restated</w:t>
      </w:r>
      <w:r>
        <w:rPr>
          <w:rFonts w:ascii="Times New Roman" w:hAnsi="Times New Roman"/>
          <w:caps/>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TIME-BASED RESTRICTED SHARE UNIT AWARD AGREEMENT</w:t>
      </w:r>
    </w:p>
    <w:p>
      <w:pPr>
        <w:pStyle w:val="TextBody"/>
        <w:spacing w:before="0" w:after="0"/>
        <w:jc w:val="center"/>
        <w:rPr>
          <w:rFonts w:ascii="Times New Roman" w:hAnsi="Times New Roman"/>
          <w:sz w:val="20"/>
        </w:rPr>
      </w:pPr>
      <w:r>
        <w:rPr>
          <w:rFonts w:ascii="Times New Roman;serif" w:hAnsi="Times New Roman;serif"/>
          <w:b/>
          <w:sz w:val="22"/>
        </w:rPr>
        <w:t>FOR EXECUTIVE OFFICERS</w:t>
        <w:br/>
      </w:r>
      <w:r>
        <w:rPr>
          <w:rFonts w:ascii="Times New Roman" w:hAnsi="Times New Roman"/>
          <w:sz w:val="20"/>
        </w:rPr>
        <w:t> </w:t>
      </w:r>
    </w:p>
    <w:p>
      <w:pPr>
        <w:pStyle w:val="TextBody"/>
        <w:spacing w:before="240" w:after="240"/>
        <w:jc w:val="both"/>
        <w:rPr>
          <w:rFonts w:ascii="Times New Roman" w:hAnsi="Times New Roman"/>
          <w:sz w:val="20"/>
        </w:rPr>
      </w:pPr>
      <w:r>
        <w:rPr>
          <w:rFonts w:ascii="Times New Roman;serif" w:hAnsi="Times New Roman;serif"/>
          <w:b/>
          <w:sz w:val="22"/>
        </w:rPr>
        <w:t xml:space="preserve">THIS TIME-BASED RESTRICTED SHARE UNIT AWARD AGREEMENT, </w:t>
      </w:r>
      <w:r>
        <w:rPr>
          <w:rFonts w:ascii="Times New Roman;serif" w:hAnsi="Times New Roman;serif"/>
          <w:b w:val="false"/>
          <w:sz w:val="22"/>
        </w:rPr>
        <w:t>including the Schedules attached hereto (this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is made by and between Willis Towers Watson Public Limited Company and any successor thereto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the individual (the “</w:t>
      </w:r>
      <w:r>
        <w:rPr>
          <w:rFonts w:ascii="Times New Roman;serif" w:hAnsi="Times New Roman;serif"/>
          <w:b w:val="false"/>
          <w:sz w:val="22"/>
          <w:u w:val="single"/>
        </w:rPr>
        <w:t>Colleague</w:t>
      </w:r>
      <w:r>
        <w:rPr>
          <w:rFonts w:ascii="Times New Roman" w:hAnsi="Times New Roman"/>
          <w:sz w:val="20"/>
        </w:rPr>
        <w:t>”</w:t>
      </w:r>
      <w:r>
        <w:rPr>
          <w:rFonts w:ascii="Times New Roman;serif" w:hAnsi="Times New Roman;serif"/>
          <w:b w:val="false"/>
          <w:sz w:val="22"/>
        </w:rPr>
        <w:t>) who has signed or electronically accepted this Agreement in the manner specified in the Colleague’s online account with the Company’s designated broker/stock plan administrator.</w:t>
      </w:r>
    </w:p>
    <w:p>
      <w:pPr>
        <w:pStyle w:val="TextBody"/>
        <w:spacing w:before="0" w:after="24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Company wishes to carry out the Plan (as hereinafter defined), the terms of which are hereby incorporated by reference and made a part of this Agreement; and</w:t>
      </w:r>
    </w:p>
    <w:p>
      <w:pPr>
        <w:pStyle w:val="TextBody"/>
        <w:spacing w:before="0" w:after="24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Committee (as defined in the Plan) has determined that it would be to the advantage and best interest of the Company and its shareholders to grant an award of time-based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pStyle w:val="TextBody"/>
        <w:spacing w:before="0" w:after="24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the parties hereto do hereby agree as follows:</w:t>
      </w:r>
    </w:p>
    <w:p>
      <w:pPr>
        <w:pStyle w:val="TextBody"/>
        <w:spacing w:before="0" w:after="240"/>
        <w:jc w:val="center"/>
        <w:rPr>
          <w:rFonts w:ascii="Times New Roman" w:hAnsi="Times New Roman"/>
          <w:b w:val="false"/>
          <w:sz w:val="24"/>
        </w:rPr>
      </w:pPr>
      <w:r>
        <w:rPr>
          <w:rFonts w:ascii="Times New Roman" w:hAnsi="Times New Roman"/>
          <w:b w:val="false"/>
          <w:sz w:val="24"/>
        </w:rPr>
        <w:t>ARTICLE 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DEFINITIONS</w:t>
      </w:r>
    </w:p>
    <w:p>
      <w:pPr>
        <w:pStyle w:val="TextBody"/>
        <w:spacing w:before="0" w:after="240"/>
        <w:jc w:val="both"/>
        <w:rPr>
          <w:rFonts w:ascii="Times New Roman" w:hAnsi="Times New Roman"/>
          <w:sz w:val="20"/>
        </w:rPr>
      </w:pPr>
      <w:r>
        <w:rPr>
          <w:rFonts w:ascii="Times New Roman;serif" w:hAnsi="Times New Roman;serif"/>
          <w:b w:val="false"/>
          <w:sz w:val="22"/>
        </w:rPr>
        <w:t>Capitalized terms used in this Agreement shall have the meaning specified in the Plan or below. The plural pronoun shall include the singular, where the context so indicates.</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Cause</w:t>
      </w:r>
    </w:p>
    <w:p>
      <w:pPr>
        <w:pStyle w:val="TextBody"/>
        <w:spacing w:before="0" w:after="240"/>
        <w:jc w:val="both"/>
        <w:rPr/>
      </w:pPr>
      <w:r>
        <w:rPr/>
        <w:t>“</w:t>
      </w:r>
      <w:r>
        <w:rPr>
          <w:rFonts w:ascii="Times New Roman;serif" w:hAnsi="Times New Roman;serif"/>
          <w:b w:val="false"/>
          <w:sz w:val="22"/>
        </w:rPr>
        <w:t>Cause” shall have the meaning ascribed to such term or similar term (</w:t>
      </w:r>
      <w:r>
        <w:rPr>
          <w:rFonts w:ascii="Times New Roman;serif" w:hAnsi="Times New Roman;serif"/>
          <w:b w:val="false"/>
          <w:i/>
          <w:sz w:val="22"/>
        </w:rPr>
        <w:t>e.g.</w:t>
      </w:r>
      <w:r>
        <w:rPr>
          <w:rFonts w:ascii="Times New Roman;serif" w:hAnsi="Times New Roman;serif"/>
          <w:b w:val="false"/>
          <w:sz w:val="22"/>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harassment, after reasonable notice</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2"/>
        </w:rPr>
        <w:t>and an opportunity to cure such violation (if curable as determined by the Board) within ten (10) days after the Colleague’s receipt of such notice.</w:t>
      </w:r>
      <w:r>
        <w:rPr>
          <w:rFonts w:ascii="Times New Roman" w:hAnsi="Times New Roman"/>
          <w:sz w:val="20"/>
        </w:rPr>
        <w:t xml:space="preserve"> </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1.2</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Good Reason</w:t>
      </w:r>
    </w:p>
    <w:p>
      <w:pPr>
        <w:pStyle w:val="TextBody"/>
        <w:spacing w:before="0" w:after="0"/>
        <w:jc w:val="left"/>
        <w:rPr/>
      </w:pPr>
      <w:r>
        <w:rPr/>
        <w:t>“</w:t>
      </w:r>
      <w:r>
        <w:rPr>
          <w:rFonts w:ascii="Times New Roman;serif" w:hAnsi="Times New Roman;serif"/>
          <w:b w:val="false"/>
          <w:sz w:val="22"/>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r>
        <w:rPr>
          <w:rFonts w:ascii="Times New Roman" w:hAnsi="Times New Roman"/>
          <w:sz w:val="20"/>
        </w:rPr>
        <w:t xml:space="preserve"> </w:t>
      </w:r>
    </w:p>
    <w:p>
      <w:pPr>
        <w:pStyle w:val="TextBody"/>
        <w:spacing w:before="0" w:after="0"/>
        <w:jc w:val="left"/>
        <w:rPr/>
      </w:pPr>
      <w:r>
        <w:rPr/>
        <w:t> </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1.3</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Grant Date</w:t>
      </w:r>
    </w:p>
    <w:p>
      <w:pPr>
        <w:pStyle w:val="TextBody"/>
        <w:spacing w:before="0" w:after="240"/>
        <w:jc w:val="both"/>
        <w:rPr/>
      </w:pPr>
      <w:r>
        <w:rPr/>
        <w:t>“</w:t>
      </w:r>
      <w:r>
        <w:rPr>
          <w:rFonts w:ascii="Times New Roman;serif" w:hAnsi="Times New Roman;serif"/>
          <w:b w:val="false"/>
          <w:sz w:val="22"/>
        </w:rPr>
        <w:t>Grant Date” shall mean April 1, 2023.</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1.4</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Legacy Company</w:t>
      </w:r>
    </w:p>
    <w:p>
      <w:pPr>
        <w:pStyle w:val="TextBody"/>
        <w:spacing w:before="0" w:after="240"/>
        <w:jc w:val="both"/>
        <w:rPr/>
      </w:pPr>
      <w:r>
        <w:rPr/>
        <w:t>“</w:t>
      </w:r>
      <w:r>
        <w:rPr>
          <w:rFonts w:ascii="Times New Roman;serif" w:hAnsi="Times New Roman;serif"/>
          <w:b w:val="false"/>
          <w:sz w:val="22"/>
        </w:rPr>
        <w:t>Legacy Company” shall mean Towers Watson &amp; Co. or Willis Group Holdings Public Limited Company and any predecessor companies or affiliates of any of the foregoing.</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1.5</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Nominal Value</w:t>
      </w:r>
    </w:p>
    <w:p>
      <w:pPr>
        <w:pStyle w:val="TextBody"/>
        <w:spacing w:before="0" w:after="240"/>
        <w:jc w:val="both"/>
        <w:rPr/>
      </w:pPr>
      <w:r>
        <w:rPr/>
        <w:t>“</w:t>
      </w:r>
      <w:r>
        <w:rPr>
          <w:rFonts w:ascii="Times New Roman;serif" w:hAnsi="Times New Roman;serif"/>
          <w:b w:val="false"/>
          <w:sz w:val="22"/>
        </w:rPr>
        <w:t>Nominal Value” shall mean $0.00030465 per Share.</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1.6</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Plan</w:t>
      </w:r>
    </w:p>
    <w:p>
      <w:pPr>
        <w:pStyle w:val="TextBody"/>
        <w:spacing w:before="0" w:after="240"/>
        <w:jc w:val="both"/>
        <w:rPr/>
      </w:pPr>
      <w:r>
        <w:rPr/>
        <w:t>“</w:t>
      </w:r>
      <w:r>
        <w:rPr>
          <w:rFonts w:ascii="Times New Roman;serif" w:hAnsi="Times New Roman;serif"/>
          <w:b w:val="false"/>
          <w:sz w:val="22"/>
        </w:rPr>
        <w:t>Plan” shall mean the Willis Towers Watson Public Limited Company 2012 Equity Incentive Plan, as amended from time to time.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1.7</w:t>
      </w:r>
    </w:p>
    <w:p>
      <w:pPr>
        <w:pStyle w:val="TextBody"/>
        <w:spacing w:before="0" w:after="240"/>
        <w:jc w:val="left"/>
        <w:rPr/>
      </w:pPr>
      <w:r>
        <w:rPr/>
        <w:t xml:space="preserve">– </w:t>
      </w:r>
      <w:r>
        <w:rPr>
          <w:rFonts w:ascii="Times New Roman;serif" w:hAnsi="Times New Roman;serif"/>
          <w:b w:val="false"/>
          <w:sz w:val="22"/>
          <w:u w:val="single"/>
        </w:rPr>
        <w:t>Qualifying Retirement</w:t>
      </w:r>
    </w:p>
    <w:p>
      <w:pPr>
        <w:pStyle w:val="TextBody"/>
        <w:spacing w:before="0" w:after="240"/>
        <w:jc w:val="left"/>
        <w:rPr/>
      </w:pPr>
      <w:r>
        <w:rPr/>
        <w:t>“</w:t>
      </w:r>
      <w:r>
        <w:rPr>
          <w:rFonts w:ascii="Times New Roman;serif" w:hAnsi="Times New Roman;serif"/>
          <w:b w:val="false"/>
          <w:sz w:val="22"/>
        </w:rPr>
        <w:t>Qualifying Retirement” shall mean a voluntary termination of Service by the Colleague after the Colleague’s attainment of either (i) 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1.8</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RCA</w:t>
      </w:r>
    </w:p>
    <w:p>
      <w:pPr>
        <w:pStyle w:val="TextBody"/>
        <w:spacing w:before="0" w:after="240"/>
        <w:jc w:val="left"/>
        <w:rPr/>
      </w:pPr>
      <w:r>
        <w:rPr/>
        <w:t>“</w:t>
      </w:r>
      <w:r>
        <w:rPr>
          <w:rFonts w:ascii="Times New Roman;serif" w:hAnsi="Times New Roman;serif"/>
          <w:b w:val="false"/>
          <w:sz w:val="22"/>
        </w:rPr>
        <w:t>RCA” shall mean the Agreement of Restrictive Covenants and Other Obligations for Employees [For Executive Officers based in the U.S: in the United States] [For Executive Officers based outside of the U.S: Outside of the United States], which is attached to the Agreement as Schedule B.</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1.9</w:t>
      </w:r>
    </w:p>
    <w:p>
      <w:pPr>
        <w:pStyle w:val="TextBody"/>
        <w:spacing w:before="0" w:after="240"/>
        <w:jc w:val="both"/>
        <w:rPr/>
      </w:pPr>
      <w:r>
        <w:rPr/>
        <w:t xml:space="preserve">– </w:t>
      </w:r>
      <w:r>
        <w:rPr>
          <w:rFonts w:ascii="Times New Roman;serif" w:hAnsi="Times New Roman;serif"/>
          <w:b w:val="false"/>
          <w:sz w:val="22"/>
          <w:u w:val="single"/>
        </w:rPr>
        <w:t>Restricted Share Units or RSUs</w:t>
      </w:r>
    </w:p>
    <w:p>
      <w:pPr>
        <w:pStyle w:val="TextBody"/>
        <w:spacing w:before="0" w:after="240"/>
        <w:jc w:val="both"/>
        <w:rPr/>
      </w:pPr>
      <w:r>
        <w:rPr/>
        <w:t>“</w:t>
      </w:r>
      <w:r>
        <w:rPr>
          <w:rFonts w:ascii="Times New Roman;serif" w:hAnsi="Times New Roman;serif"/>
          <w:b w:val="false"/>
          <w:sz w:val="22"/>
        </w:rPr>
        <w:t>Restricted Share Units” or “RSUs” shall mean a conditional right to receive Shares pursuant to the terms of the Plan and this Agreement upon vesting and settlement, subject to the Colleague’s continued Service through each Vesting Date.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1.10</w:t>
      </w:r>
    </w:p>
    <w:p>
      <w:pPr>
        <w:pStyle w:val="TextBody"/>
        <w:spacing w:before="0" w:after="240"/>
        <w:jc w:val="left"/>
        <w:rPr/>
      </w:pPr>
      <w:r>
        <w:rPr/>
        <w:t xml:space="preserve">– </w:t>
      </w:r>
      <w:r>
        <w:rPr>
          <w:rFonts w:ascii="Times New Roman;serif" w:hAnsi="Times New Roman;serif"/>
          <w:b w:val="false"/>
          <w:sz w:val="22"/>
          <w:u w:val="single"/>
        </w:rPr>
        <w:t>Service</w:t>
      </w:r>
    </w:p>
    <w:p>
      <w:pPr>
        <w:pStyle w:val="TextBody"/>
        <w:spacing w:before="0" w:after="240"/>
        <w:jc w:val="both"/>
        <w:rPr/>
      </w:pPr>
      <w:r>
        <w:rPr/>
        <w:t>“</w:t>
      </w:r>
      <w:r>
        <w:rPr>
          <w:rFonts w:ascii="Times New Roman;serif" w:hAnsi="Times New Roman;serif"/>
          <w:b w:val="false"/>
          <w:sz w:val="22"/>
        </w:rPr>
        <w:t>Service” shall mean service as an Employee with (or, subject to approval by the Committee, as a Consultant to) the Company, or a Subsidiary or Designated Associate Company thereof.</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1.11</w:t>
      </w:r>
    </w:p>
    <w:p>
      <w:pPr>
        <w:pStyle w:val="TextBody"/>
        <w:spacing w:before="0" w:after="240"/>
        <w:jc w:val="both"/>
        <w:rPr>
          <w:u w:val="single"/>
        </w:rPr>
      </w:pPr>
      <w:r>
        <w:rPr>
          <w:u w:val="single"/>
        </w:rPr>
        <w:t xml:space="preserve">– </w:t>
      </w:r>
      <w:r>
        <w:rPr>
          <w:rFonts w:ascii="Times New Roman;serif" w:hAnsi="Times New Roman;serif"/>
          <w:b w:val="false"/>
          <w:sz w:val="22"/>
          <w:u w:val="single"/>
        </w:rPr>
        <w:t xml:space="preserve">Shares </w:t>
      </w:r>
    </w:p>
    <w:p>
      <w:pPr>
        <w:pStyle w:val="TextBody"/>
        <w:spacing w:before="0" w:after="240"/>
        <w:jc w:val="both"/>
        <w:rPr/>
      </w:pPr>
      <w:r>
        <w:rPr/>
        <w:t>“</w:t>
      </w:r>
      <w:r>
        <w:rPr>
          <w:rFonts w:ascii="Times New Roman;serif" w:hAnsi="Times New Roman;serif"/>
          <w:b w:val="false"/>
          <w:sz w:val="22"/>
        </w:rPr>
        <w:t>Shares” shall mean Ordinary Shares of the Company, Nominal Value per Share, which may be authorized but unissued.</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1.12</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Termination Date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RSUs to comply with Section 409A of the Code.</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1.13</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Vesting Dates</w:t>
      </w:r>
    </w:p>
    <w:p>
      <w:pPr>
        <w:pStyle w:val="TextBody"/>
        <w:spacing w:before="0" w:after="240"/>
        <w:jc w:val="both"/>
        <w:rPr/>
      </w:pPr>
      <w:r>
        <w:rPr/>
        <w:t>“</w:t>
      </w:r>
      <w:r>
        <w:rPr>
          <w:rFonts w:ascii="Times New Roman;serif" w:hAnsi="Times New Roman;serif"/>
          <w:b w:val="false"/>
          <w:sz w:val="22"/>
        </w:rPr>
        <w:t>Vesting Dates” shall mean the first, second and third anniversaries of the Grant Date.</w:t>
      </w:r>
    </w:p>
    <w:p>
      <w:pPr>
        <w:pStyle w:val="TextBody"/>
        <w:spacing w:before="0" w:after="240"/>
        <w:jc w:val="both"/>
        <w:rPr>
          <w:rFonts w:ascii="Times New Roman" w:hAnsi="Times New Roman"/>
          <w:b w:val="false"/>
          <w:sz w:val="22"/>
          <w:u w:val="single"/>
        </w:rPr>
      </w:pPr>
      <w:r>
        <w:rPr>
          <w:rFonts w:ascii="Times New Roman" w:hAnsi="Times New Roman"/>
          <w:b w:val="false"/>
          <w:sz w:val="22"/>
          <w:u w:val="single"/>
        </w:rPr>
        <w:t>Section 1.14</w:t>
      </w:r>
    </w:p>
    <w:p>
      <w:pPr>
        <w:pStyle w:val="TextBody"/>
        <w:spacing w:before="0" w:after="240"/>
        <w:jc w:val="both"/>
        <w:rPr/>
      </w:pPr>
      <w:r>
        <w:rPr>
          <w:rFonts w:ascii="Times New Roman;serif" w:hAnsi="Times New Roman;serif"/>
          <w:b w:val="false"/>
          <w:sz w:val="22"/>
        </w:rPr>
        <w:t xml:space="preserve">- </w:t>
      </w:r>
      <w:r>
        <w:rPr>
          <w:rFonts w:ascii="Times New Roman;serif" w:hAnsi="Times New Roman;serif"/>
          <w:b w:val="false"/>
          <w:sz w:val="22"/>
          <w:u w:val="single"/>
        </w:rPr>
        <w:t>Years of Service</w:t>
      </w:r>
    </w:p>
    <w:p>
      <w:pPr>
        <w:pStyle w:val="TextBody"/>
        <w:spacing w:before="0" w:after="240"/>
        <w:jc w:val="both"/>
        <w:rPr/>
      </w:pPr>
      <w:r>
        <w:rPr/>
        <w:t>“</w:t>
      </w:r>
      <w:r>
        <w:rPr>
          <w:rFonts w:ascii="Times New Roman;serif" w:hAnsi="Times New Roman;serif"/>
          <w:b w:val="false"/>
          <w:sz w:val="22"/>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pStyle w:val="TextBody"/>
        <w:spacing w:before="0" w:after="240"/>
        <w:jc w:val="center"/>
        <w:rPr>
          <w:rFonts w:ascii="Times New Roman" w:hAnsi="Times New Roman"/>
          <w:b w:val="false"/>
          <w:sz w:val="24"/>
        </w:rPr>
      </w:pPr>
      <w:r>
        <w:rPr>
          <w:rFonts w:ascii="Times New Roman" w:hAnsi="Times New Roman"/>
          <w:b w:val="false"/>
          <w:sz w:val="24"/>
        </w:rPr>
        <w:t>ARTICLE 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GRANT OF TIME-BASED RESTRICTED SHARE UNITS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Grant of the Time-Based Restricted Share Units</w:t>
      </w:r>
    </w:p>
    <w:p>
      <w:pPr>
        <w:pStyle w:val="TextBody"/>
        <w:spacing w:before="0" w:after="240"/>
        <w:jc w:val="both"/>
        <w:rPr>
          <w:rFonts w:ascii="Times New Roman" w:hAnsi="Times New Roman"/>
          <w:sz w:val="20"/>
        </w:rPr>
      </w:pPr>
      <w:r>
        <w:rPr>
          <w:rFonts w:ascii="Times New Roman;serif" w:hAnsi="Times New Roman;serif"/>
          <w:b w:val="false"/>
          <w:sz w:val="22"/>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grant of RSUs pursuant to this Agreement is sufficient consideration for the Colleague entering into the RCA. The Colleague agrees to execute and deliver or electronically accept this Agreement and the RCA within 60 days of the receipt of this Agreement. In the event the Colleague fails to execute and deliver or electronically accept the Agreement or the RCA in the manner and within the period specified in this Section 2.1, the Committee may, in its sole discretion, cancel the RSUs.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RSU Payment</w:t>
      </w:r>
    </w:p>
    <w:p>
      <w:pPr>
        <w:pStyle w:val="TextBody"/>
        <w:spacing w:before="0" w:after="240"/>
        <w:jc w:val="both"/>
        <w:rPr>
          <w:rFonts w:ascii="Times New Roman" w:hAnsi="Times New Roman"/>
          <w:sz w:val="20"/>
        </w:rPr>
      </w:pPr>
      <w:r>
        <w:rPr>
          <w:rFonts w:ascii="Times New Roman;serif" w:hAnsi="Times New Roman;serif"/>
          <w:b w:val="false"/>
          <w:sz w:val="22"/>
        </w:rPr>
        <w:t>In accordance with Section 7(d)(ii) of the Plan, the Shares to be issued upon vesting and settlement of the RSUs must be fully paid up prior to issuance of Shares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Employment or Service Rights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Adjustments in RSUs Pursuant to Change of Control or Similar Event, etc.</w:t>
      </w:r>
    </w:p>
    <w:p>
      <w:pPr>
        <w:pStyle w:val="TextBody"/>
        <w:spacing w:before="0" w:after="0"/>
        <w:jc w:val="both"/>
        <w:rPr>
          <w:rFonts w:ascii="Times New Roman" w:hAnsi="Times New Roman"/>
          <w:sz w:val="20"/>
        </w:rPr>
      </w:pPr>
      <w:r>
        <w:rPr>
          <w:rFonts w:ascii="Times New Roman;serif" w:hAnsi="Times New Roman;serif"/>
          <w:b w:val="false"/>
          <w:sz w:val="22"/>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w:t>
      </w:r>
      <w:r>
        <w:rPr>
          <w:rFonts w:ascii="Times New Roman;serif" w:hAnsi="Times New Roman;serif"/>
          <w:b w:val="false"/>
          <w:sz w:val="22"/>
          <w:u w:val="single"/>
        </w:rPr>
        <w:t>Shortfall</w:t>
      </w:r>
      <w:r>
        <w:rPr>
          <w:rFonts w:ascii="Times New Roman" w:hAnsi="Times New Roman"/>
          <w:sz w:val="20"/>
        </w:rPr>
        <w:t>”</w:t>
      </w:r>
      <w:r>
        <w:rPr>
          <w:rFonts w:ascii="Times New Roman;serif" w:hAnsi="Times New Roman;serif"/>
          <w:b w:val="false"/>
          <w:sz w:val="22"/>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Tax Withholding</w:t>
      </w:r>
    </w:p>
    <w:p>
      <w:pPr>
        <w:pStyle w:val="TextBody"/>
        <w:spacing w:before="0" w:after="240"/>
        <w:jc w:val="both"/>
        <w:rPr>
          <w:rFonts w:ascii="Times New Roman" w:hAnsi="Times New Roman"/>
          <w:sz w:val="20"/>
        </w:rPr>
      </w:pPr>
      <w:r>
        <w:rPr>
          <w:rFonts w:ascii="Times New Roman;serif" w:hAnsi="Times New Roman;serif"/>
          <w:b w:val="false"/>
          <w:sz w:val="22"/>
        </w:rPr>
        <w:t>The Colleague acknowledges that, regardless of any action taken by the Company or, if different, the entity that employs the Colleague (the “Employer”), the ultimate liability for all Tax-Related Items, is and remains the Colleague’s responsibility and may exceed the amount actually withheld by the Company or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2"/>
        </w:rPr>
        <w:t>subsequent sale of Shares acquired pursuant to such settlement and the receipt of any 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w:t>
      </w:r>
      <w:r>
        <w:rPr>
          <w:rFonts w:ascii="Times New Roman" w:hAnsi="Times New Roman"/>
          <w:sz w:val="20"/>
        </w:rPr>
        <w:t xml:space="preserve"> </w:t>
      </w:r>
      <w:r>
        <w:rPr>
          <w:rFonts w:ascii="Times New Roman;serif" w:hAnsi="Times New Roman;serif"/>
          <w:b w:val="false"/>
          <w:sz w:val="22"/>
        </w:rPr>
        <w:t>and/or the Employer (or former employer, as applicable) may be required to withhold or account for Tax-Related Items in more than one jurisdiction.</w:t>
      </w:r>
    </w:p>
    <w:p>
      <w:pPr>
        <w:pStyle w:val="TextBody"/>
        <w:spacing w:before="0" w:after="240"/>
        <w:jc w:val="both"/>
        <w:rPr>
          <w:rFonts w:ascii="Times New Roman" w:hAnsi="Times New Roman"/>
          <w:sz w:val="20"/>
        </w:rPr>
      </w:pPr>
      <w:r>
        <w:rPr>
          <w:rFonts w:ascii="Times New Roman;serif" w:hAnsi="Times New Roman;serif"/>
          <w:b w:val="false"/>
          <w:sz w:val="22"/>
        </w:rPr>
        <w:t>Prior to any relevant taxable or tax withholding event, as applicable, the Colleague agrees to make adequate arrangements satisfactory to the Company and/or the Employer to satisfy all Tax-Related Items.</w:t>
      </w:r>
      <w:r>
        <w:rPr>
          <w:rFonts w:ascii="Times New Roman" w:hAnsi="Times New Roman"/>
          <w:sz w:val="20"/>
        </w:rPr>
        <w:t xml:space="preserve">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this regard, the Colleague authorizes the Company and/or the Employer, or their respective agents, in their discretion, to satisfy the obligations with regard to all Tax-Related Items by withholding in Shares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Dividend Equivalents</w:t>
      </w:r>
    </w:p>
    <w:p>
      <w:pPr>
        <w:pStyle w:val="TextBody"/>
        <w:spacing w:before="0" w:after="240"/>
        <w:jc w:val="both"/>
        <w:rPr>
          <w:rFonts w:ascii="Times New Roman" w:hAnsi="Times New Roman"/>
          <w:sz w:val="20"/>
        </w:rPr>
      </w:pPr>
      <w:r>
        <w:rPr>
          <w:rFonts w:ascii="Times New Roman;serif" w:hAnsi="Times New Roman;serif"/>
          <w:b w:val="false"/>
          <w:sz w:val="22"/>
        </w:rPr>
        <w:t>On each date that a cash dividend is paid to holders of Shares from the Grant Date through the date immediately prior to the date the RSUs are settled, an amount (the “</w:t>
      </w:r>
      <w:r>
        <w:rPr>
          <w:rFonts w:ascii="Times New Roman;serif" w:hAnsi="Times New Roman;serif"/>
          <w:b w:val="false"/>
          <w:sz w:val="22"/>
          <w:u w:val="single"/>
        </w:rPr>
        <w:t>Dividend Equivalent Amount</w:t>
      </w:r>
      <w:r>
        <w:rPr>
          <w:rFonts w:ascii="Times New Roman" w:hAnsi="Times New Roman"/>
          <w:sz w:val="20"/>
        </w:rPr>
        <w:t>”</w:t>
      </w:r>
      <w:r>
        <w:rPr>
          <w:rFonts w:ascii="Times New Roman;serif" w:hAnsi="Times New Roman;serif"/>
          <w:b w:val="false"/>
          <w:sz w:val="22"/>
        </w:rPr>
        <w: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w:t>
      </w:r>
      <w:r>
        <w:rPr>
          <w:rFonts w:ascii="Times New Roman;serif" w:hAnsi="Times New Roman;serif"/>
          <w:b w:val="false"/>
          <w:sz w:val="22"/>
          <w:u w:val="single"/>
        </w:rPr>
        <w:t>Dividend Equivalent Units</w:t>
      </w:r>
      <w:r>
        <w:rPr>
          <w:rFonts w:ascii="Times New Roman" w:hAnsi="Times New Roman"/>
          <w:sz w:val="20"/>
        </w:rPr>
        <w:t>”</w:t>
      </w:r>
      <w:r>
        <w:rPr>
          <w:rFonts w:ascii="Times New Roman;serif" w:hAnsi="Times New Roman;serif"/>
          <w:b w:val="false"/>
          <w:sz w:val="22"/>
        </w:rPr>
        <w:t>) determined by dividing the Dividend Equivalent Amount by the Fair Market Value of a Share on the date of the dividend payment. Dividend Equivalent Units will</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2"/>
        </w:rPr>
        <w:t>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Clawback / Repayment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applicable RSU award is granted or as may be adopted thereafter as required under applicable laws;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w:t>
      </w:r>
    </w:p>
    <w:p>
      <w:pPr>
        <w:pStyle w:val="TextBody"/>
        <w:spacing w:before="0" w:after="240"/>
        <w:jc w:val="center"/>
        <w:rPr>
          <w:rFonts w:ascii="Times New Roman" w:hAnsi="Times New Roman"/>
          <w:b w:val="false"/>
          <w:sz w:val="24"/>
        </w:rPr>
      </w:pPr>
      <w:r>
        <w:rPr>
          <w:rFonts w:ascii="Times New Roman" w:hAnsi="Times New Roman"/>
          <w:b w:val="false"/>
          <w:sz w:val="24"/>
        </w:rPr>
        <w:t>ARTICLE III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TIME-BASED VESTING REQUIREMENTS</w:t>
      </w:r>
      <w:r>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3.1</w:t>
      </w:r>
    </w:p>
    <w:p>
      <w:pPr>
        <w:pStyle w:val="TextBody"/>
        <w:spacing w:before="0" w:after="240"/>
        <w:jc w:val="left"/>
        <w:rPr/>
      </w:pPr>
      <w:r>
        <w:rPr>
          <w:rFonts w:ascii="Times New Roman;serif" w:hAnsi="Times New Roman;serif"/>
          <w:b/>
          <w:sz w:val="22"/>
        </w:rPr>
        <w:t xml:space="preserve">- </w:t>
      </w:r>
      <w:r>
        <w:rPr>
          <w:rFonts w:ascii="Times New Roman;serif" w:hAnsi="Times New Roman;serif"/>
          <w:b w:val="false"/>
          <w:sz w:val="22"/>
          <w:u w:val="single"/>
        </w:rPr>
        <w:t>Vesting Provisions, Forfeiture and Settlement</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RSUs shall vest in three (3) substantially equal annual installments on each of the Vesting Dates, subject to the Colleague’s continued Service through the applicable Vesting Date and the other requirements in this Section 3.1, and upon vesting the RSUs shall become payable in accordance with Section 3.1(i) below.</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Except as otherwise provided in this Section 3.1 or the terms of the Colleague’s employment agreement, in the event of the Colleague’s termination of Service prior to a Vesting Date, any RSUs that are unvested as of the Termination Date shall be forfeited immediately as of the Termination Date by the Colleague, subject to, and except as otherwise specified in, and subject to the terms and conditions of the other subsections of this Section 3.1.</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[For Executive Officers other than Mr. Garrard: 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and other obligations contemplated under Article VI of this Agreement. For the avoidance of any doubt, the provisions of this Section 3.1(c) shall prevail over the provisions of Section 3.1(e).] [For Mr. Garrard: In the event of the Colleague’s termination of Service due to a Qualifying Retirement, any RSUs that are unvested as of the Termination Date shall continue to vest on the original Vesting Dates that occur following the Termination Date, subject to the Colleague’s compliance with the restrictive covenants and other obligations contemplated under Article VI of this Agreement.]</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the event the RSUs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all unvested RSUs shall vest as of the Termination Date.</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[For Executive Officers other than Mr. Garrard: 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3.1(e) shall be subject to the Colleague’s compliance with the restrictive covenants and other obligations contemplated under Article VI of this Agreement. If no determination is made by the Committee as of the Termination Date, then the RSUs shall, to the extent not then vested, be immediately forfeited by the Colleague.] [For Mr. Garrard: In the event of the Colleague’s (i) termination of Service without Cause by the Company or (ii) termination of Service by the Colleague for Good Reason, in each case, prior to the effective date of a Change of Control or after the 24-month period commencing on the effective date of a Change of Control, any RSUs that are unvested as of the Termination Date shall automatically continue to vest on the original Vesting Dates that occur following the Termination Date, subject to the Colleague’s compliance with the restrictive covenants and other obligations contemplated under Article VI of this Agreement.</w:t>
      </w:r>
    </w:p>
    <w:p>
      <w:pPr>
        <w:pStyle w:val="TextBody"/>
        <w:spacing w:before="0" w:after="240"/>
        <w:jc w:val="both"/>
        <w:rPr>
          <w:rFonts w:ascii="Times New Roman" w:hAnsi="Times New Roman"/>
          <w:b w:val="false"/>
          <w:sz w:val="22"/>
        </w:rPr>
      </w:pPr>
      <w:r>
        <w:rPr>
          <w:rFonts w:ascii="Times New Roman" w:hAnsi="Times New Roman"/>
          <w:b w:val="false"/>
          <w:sz w:val="22"/>
        </w:rPr>
        <w:t>(f)</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the event of the Colleague’s termination of Service as a result of the Colleague’s Permanent Disability or death, all unvested RSUs shall vest as of the Termination Date.</w:t>
      </w:r>
    </w:p>
    <w:p>
      <w:pPr>
        <w:pStyle w:val="TextBody"/>
        <w:spacing w:before="0" w:after="240"/>
        <w:jc w:val="both"/>
        <w:rPr>
          <w:rFonts w:ascii="Times New Roman" w:hAnsi="Times New Roman"/>
          <w:b w:val="false"/>
          <w:sz w:val="22"/>
        </w:rPr>
      </w:pPr>
      <w:r>
        <w:rPr>
          <w:rFonts w:ascii="Times New Roman" w:hAnsi="Times New Roman"/>
          <w:b w:val="false"/>
          <w:sz w:val="22"/>
        </w:rPr>
        <w:t>(g)</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pStyle w:val="TextBody"/>
        <w:spacing w:before="0" w:after="240"/>
        <w:jc w:val="both"/>
        <w:rPr>
          <w:rFonts w:ascii="Times New Roman" w:hAnsi="Times New Roman"/>
          <w:b w:val="false"/>
          <w:sz w:val="22"/>
        </w:rPr>
      </w:pPr>
      <w:r>
        <w:rPr>
          <w:rFonts w:ascii="Times New Roman" w:hAnsi="Times New Roman"/>
          <w:b w:val="false"/>
          <w:sz w:val="22"/>
        </w:rPr>
        <w:t>(h)</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[For Executive Officers other than Mr. Garrard: Notwithstanding anything to the contrary in Section 3.1, no RSUs shall vest prior to the first anniversary of the Grant Date (i) except in the case of the Colleague’s termination of Service resulting from death or Permanent Disability or in connection with a Change of Control, or (ii) unless the Committee, in its sole discretion, determines that the RSUs shall be sourced from the Unrestricted Pool.]</w:t>
      </w:r>
    </w:p>
    <w:p>
      <w:pPr>
        <w:pStyle w:val="TextBody"/>
        <w:spacing w:before="0" w:after="240"/>
        <w:jc w:val="both"/>
        <w:rPr>
          <w:rFonts w:ascii="Times New Roman" w:hAnsi="Times New Roman"/>
          <w:b w:val="false"/>
          <w:sz w:val="22"/>
        </w:rPr>
      </w:pPr>
      <w:r>
        <w:rPr>
          <w:rFonts w:ascii="Times New Roman" w:hAnsi="Times New Roman"/>
          <w:b w:val="false"/>
          <w:sz w:val="22"/>
        </w:rPr>
        <w:t>(i)</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Except as otherwise provided in Section 3.1(j), RSUs that become vested shall be settled on the applicable Vesting Date or, if earlier, upon an accelerated vesting event pursuant to Sections 3.1(d), (f) or (g), or as soon as practicable, but not later than 30 days, thereafter. Unless the Company provides otherwise, any fractional RSU that is vested as of the final Vesting Date or an accelerated vesting event shall be rounded down to the next whole RSU. For the avoidance of any doubt, no fractional Shares shall be issued pursuant to this Agreement.</w:t>
      </w:r>
    </w:p>
    <w:p>
      <w:pPr>
        <w:pStyle w:val="TextBody"/>
        <w:spacing w:before="0" w:after="240"/>
        <w:jc w:val="both"/>
        <w:rPr>
          <w:rFonts w:ascii="Times New Roman" w:hAnsi="Times New Roman"/>
          <w:b w:val="false"/>
          <w:sz w:val="22"/>
        </w:rPr>
      </w:pPr>
      <w:r>
        <w:rPr>
          <w:rFonts w:ascii="Times New Roman" w:hAnsi="Times New Roman"/>
          <w:b w:val="false"/>
          <w:sz w:val="22"/>
        </w:rPr>
        <w:t>(j)</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 Separation from Service, to the extent such delayed payment is required in order to avoid a prohibited distribution under Section 409A of the Code, (iv) the Colleague’s death, and (v) the Colleague’s disability, within the meaning of Section 409A of the Code.</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Conditions to Issuance of Shares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RSUs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settlement of the RSUs prior to fulfillment of all of the following conditions, and in any event, subject to Section 409A of the Code for United States taxpayers:</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obtaining of approval or other clearance from any state, federal, local or foreign governmental agency which the Committee shall, in its absolute discretion, determine to be necessary or advisable; and</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Colleague has paid or made arrangements to pay the Tax-Related Items pursuant to Section 2.5.</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Rights as Shareholder</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Limitation on Obligations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pStyle w:val="TextBody"/>
        <w:spacing w:before="0" w:after="0"/>
        <w:jc w:val="left"/>
        <w:rPr/>
      </w:pPr>
      <w:r>
        <w:rPr/>
        <w:t> </w:t>
      </w:r>
    </w:p>
    <w:p>
      <w:pPr>
        <w:pStyle w:val="TextBody"/>
        <w:spacing w:before="0" w:after="240"/>
        <w:jc w:val="left"/>
        <w:rPr>
          <w:rFonts w:ascii="Times New Roman" w:hAnsi="Times New Roman"/>
          <w:b w:val="false"/>
          <w:sz w:val="24"/>
        </w:rPr>
      </w:pPr>
      <w:r>
        <w:rPr>
          <w:rFonts w:ascii="Times New Roman" w:hAnsi="Times New Roman"/>
          <w:b w:val="false"/>
          <w:sz w:val="24"/>
        </w:rPr>
        <w:t>ARTICLE IV</w:t>
      </w:r>
    </w:p>
    <w:p>
      <w:pPr>
        <w:pStyle w:val="TextBody"/>
        <w:spacing w:before="0" w:after="0"/>
        <w:jc w:val="center"/>
        <w:rPr>
          <w:rFonts w:ascii="Times New Roman;serif" w:hAnsi="Times New Roman;serif"/>
          <w:b w:val="false"/>
          <w:sz w:val="22"/>
          <w:u w:val="single"/>
        </w:rPr>
      </w:pPr>
      <w:r>
        <w:rPr>
          <w:rFonts w:ascii="Times New Roman;serif" w:hAnsi="Times New Roman;serif"/>
          <w:b w:val="false"/>
          <w:sz w:val="22"/>
          <w:u w:val="single"/>
        </w:rPr>
        <w:t>ADDITIONAL TERMS AND CONDITIONS OF THE RSUs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4.1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Nature of Award</w:t>
      </w:r>
      <w:r>
        <w:rPr/>
        <w:t xml:space="preserve">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accepting the RSUs, the Colleague acknowledges, understands and agrees that:</w:t>
      </w:r>
    </w:p>
    <w:p>
      <w:pPr>
        <w:pStyle w:val="TextBody"/>
        <w:spacing w:before="0" w:after="240"/>
        <w:jc w:val="both"/>
        <w:rPr>
          <w:rFonts w:ascii="Times New Roman" w:hAnsi="Times New Roman"/>
          <w:b w:val="false"/>
          <w:sz w:val="22"/>
        </w:rPr>
      </w:pPr>
      <w:r>
        <w:rPr>
          <w:rFonts w:ascii="Times New Roman" w:hAnsi="Times New Roman"/>
          <w:b w:val="false"/>
          <w:sz w:val="22"/>
        </w:rPr>
        <w:t>(a)</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the Plan is established voluntarily by the Company, is discretionary in nature and may be amended, suspended or terminated by the Company at any time, to the extent permitted by the Plan;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2"/>
        </w:rPr>
      </w:pPr>
      <w:r>
        <w:rPr>
          <w:rFonts w:ascii="Times New Roman" w:hAnsi="Times New Roman"/>
          <w:b w:val="false"/>
          <w:sz w:val="22"/>
        </w:rPr>
        <w:t>(b)</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the RSU award is exceptional, voluntary and occasional and does not create any contractual or other right to receive future RSU awards, or benefits in lieu of RSU awards, even if RSUs have been granted in the past; </w:t>
      </w:r>
    </w:p>
    <w:p>
      <w:pPr>
        <w:pStyle w:val="TextBody"/>
        <w:spacing w:before="0" w:after="240"/>
        <w:jc w:val="both"/>
        <w:rPr>
          <w:rFonts w:ascii="Times New Roman" w:hAnsi="Times New Roman"/>
          <w:b w:val="false"/>
          <w:sz w:val="22"/>
        </w:rPr>
      </w:pPr>
      <w:r>
        <w:rPr>
          <w:rFonts w:ascii="Times New Roman" w:hAnsi="Times New Roman"/>
          <w:b w:val="false"/>
          <w:sz w:val="22"/>
        </w:rPr>
        <w:t>(c)</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all decisions with respect to future RSUs or other grants, if any, will be at the sole discretion of the Company; </w:t>
      </w:r>
    </w:p>
    <w:p>
      <w:pPr>
        <w:pStyle w:val="TextBody"/>
        <w:spacing w:before="0" w:after="240"/>
        <w:jc w:val="both"/>
        <w:rPr>
          <w:rFonts w:ascii="Times New Roman" w:hAnsi="Times New Roman"/>
          <w:b w:val="false"/>
          <w:sz w:val="22"/>
        </w:rPr>
      </w:pPr>
      <w:r>
        <w:rPr>
          <w:rFonts w:ascii="Times New Roman" w:hAnsi="Times New Roman"/>
          <w:b w:val="false"/>
          <w:sz w:val="22"/>
        </w:rPr>
        <w:t>(d)</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Colleague’s participation in the Plan is voluntary;</w:t>
      </w:r>
    </w:p>
    <w:p>
      <w:pPr>
        <w:pStyle w:val="TextBody"/>
        <w:spacing w:before="0" w:after="240"/>
        <w:jc w:val="both"/>
        <w:rPr>
          <w:rFonts w:ascii="Times New Roman" w:hAnsi="Times New Roman"/>
          <w:b w:val="false"/>
          <w:sz w:val="22"/>
        </w:rPr>
      </w:pPr>
      <w:r>
        <w:rPr>
          <w:rFonts w:ascii="Times New Roman" w:hAnsi="Times New Roman"/>
          <w:b w:val="false"/>
          <w:sz w:val="22"/>
        </w:rPr>
        <w:t>(e)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RSUs and any Shares acquired under the Plan, and the income and the value of same, are not intended to replace any pension rights or compensation under any pension arrangement;</w:t>
      </w:r>
    </w:p>
    <w:p>
      <w:pPr>
        <w:pStyle w:val="TextBody"/>
        <w:spacing w:before="0" w:after="240"/>
        <w:jc w:val="both"/>
        <w:rPr>
          <w:rFonts w:ascii="Times New Roman" w:hAnsi="Times New Roman"/>
          <w:b w:val="false"/>
          <w:sz w:val="22"/>
        </w:rPr>
      </w:pPr>
      <w:r>
        <w:rPr>
          <w:rFonts w:ascii="Times New Roman" w:hAnsi="Times New Roman"/>
          <w:b w:val="false"/>
          <w:sz w:val="22"/>
        </w:rPr>
        <w:t>(f)</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 </w:t>
      </w:r>
    </w:p>
    <w:p>
      <w:pPr>
        <w:pStyle w:val="TextBody"/>
        <w:spacing w:before="0" w:after="240"/>
        <w:jc w:val="both"/>
        <w:rPr>
          <w:rFonts w:ascii="Times New Roman" w:hAnsi="Times New Roman"/>
          <w:b w:val="false"/>
          <w:sz w:val="22"/>
        </w:rPr>
      </w:pPr>
      <w:r>
        <w:rPr>
          <w:rFonts w:ascii="Times New Roman" w:hAnsi="Times New Roman"/>
          <w:b w:val="false"/>
          <w:sz w:val="22"/>
        </w:rPr>
        <w:t>(g)</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unless otherwise agreed with the Company, the RSUs and the Shares subject to the RSUs, and the income and value of same, are not granted as consideration for, or in connection with, services the Colleague may provide as a director of any Subsidiary or affiliate;</w:t>
      </w:r>
    </w:p>
    <w:p>
      <w:pPr>
        <w:pStyle w:val="TextBody"/>
        <w:spacing w:before="0" w:after="240"/>
        <w:jc w:val="both"/>
        <w:rPr>
          <w:rFonts w:ascii="Times New Roman" w:hAnsi="Times New Roman"/>
          <w:b w:val="false"/>
          <w:sz w:val="22"/>
        </w:rPr>
      </w:pPr>
      <w:r>
        <w:rPr>
          <w:rFonts w:ascii="Times New Roman" w:hAnsi="Times New Roman"/>
          <w:b w:val="false"/>
          <w:sz w:val="22"/>
        </w:rPr>
        <w:t>(h)</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 xml:space="preserve">the future value of the Shares underlying the RSUs is unknown, indeterminable, and cannot be predicted with certainty; </w:t>
      </w:r>
    </w:p>
    <w:p>
      <w:pPr>
        <w:pStyle w:val="TextBody"/>
        <w:spacing w:before="0" w:after="0"/>
        <w:jc w:val="both"/>
        <w:rPr>
          <w:rFonts w:ascii="Times New Roman" w:hAnsi="Times New Roman"/>
          <w:b w:val="false"/>
          <w:sz w:val="22"/>
        </w:rPr>
      </w:pPr>
      <w:r>
        <w:rPr>
          <w:rFonts w:ascii="Times New Roman" w:hAnsi="Times New Roman"/>
          <w:b w:val="false"/>
          <w:sz w:val="22"/>
        </w:rPr>
        <w:t>(i)</w:t>
      </w:r>
    </w:p>
    <w:p>
      <w:pPr>
        <w:pStyle w:val="TextBody"/>
        <w:jc w:val="both"/>
        <w:rPr>
          <w:rFonts w:ascii="Times New Roman;serif" w:hAnsi="Times New Roman;serif"/>
          <w:b w:val="false"/>
          <w:sz w:val="22"/>
        </w:rPr>
      </w:pPr>
      <w:r>
        <w:rPr>
          <w:rFonts w:ascii="Times New Roman;serif" w:hAnsi="Times New Roman;serif"/>
          <w:b w:val="false"/>
          <w:sz w:val="22"/>
        </w:rPr>
        <w:t xml:space="preserve">no claim or entitlement to compensation or damages shall arise from forfeiture of the RSUs or the underlying Shares resulting from the Colleague’s termination of Service (for any reason whatsoever, whether or not later found to be invalid or in breach of employment laws in the jurisdiction where the Colleague is employed or the terms of their employment agreement, if any); </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(j)</w:t>
      </w:r>
    </w:p>
    <w:p>
      <w:pPr>
        <w:pStyle w:val="TextBody"/>
        <w:jc w:val="both"/>
        <w:rPr>
          <w:rFonts w:ascii="Times New Roman;serif" w:hAnsi="Times New Roman;serif"/>
          <w:b w:val="false"/>
          <w:sz w:val="22"/>
        </w:rPr>
      </w:pPr>
      <w:r>
        <w:rPr>
          <w:rFonts w:ascii="Times New Roman;serif" w:hAnsi="Times New Roman;serif"/>
          <w:b w:val="false"/>
          <w:sz w:val="22"/>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(k)</w:t>
      </w:r>
    </w:p>
    <w:p>
      <w:pPr>
        <w:pStyle w:val="TextBody"/>
        <w:jc w:val="both"/>
        <w:rPr>
          <w:rFonts w:ascii="Times New Roman;serif" w:hAnsi="Times New Roman;serif"/>
          <w:b w:val="false"/>
          <w:sz w:val="22"/>
        </w:rPr>
      </w:pPr>
      <w:r>
        <w:rPr>
          <w:rFonts w:ascii="Times New Roman;serif" w:hAnsi="Times New Roman;serif"/>
          <w:b w:val="false"/>
          <w:sz w:val="22"/>
        </w:rPr>
        <w:t>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4.2</w:t>
      </w:r>
    </w:p>
    <w:p>
      <w:pPr>
        <w:pStyle w:val="TextBody"/>
        <w:spacing w:before="0" w:after="240"/>
        <w:jc w:val="left"/>
        <w:rPr/>
      </w:pPr>
      <w:r>
        <w:rPr>
          <w:rFonts w:ascii="Times New Roman;serif" w:hAnsi="Times New Roman;serif"/>
          <w:b w:val="false"/>
          <w:sz w:val="22"/>
        </w:rPr>
        <w:t>-</w:t>
      </w:r>
      <w:r>
        <w:rPr>
          <w:u w:val="single"/>
        </w:rPr>
        <w:t xml:space="preserve"> </w:t>
      </w:r>
      <w:r>
        <w:rPr>
          <w:rFonts w:ascii="Times New Roman;serif" w:hAnsi="Times New Roman;serif"/>
          <w:b w:val="false"/>
          <w:sz w:val="22"/>
          <w:u w:val="single"/>
        </w:rPr>
        <w:t>No Advice Regarding Grant</w:t>
      </w:r>
      <w:r>
        <w:rPr/>
        <w:t xml:space="preserve">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pStyle w:val="TextBody"/>
        <w:spacing w:before="0" w:after="240"/>
        <w:jc w:val="center"/>
        <w:rPr>
          <w:rFonts w:ascii="Times New Roman" w:hAnsi="Times New Roman"/>
          <w:b w:val="false"/>
          <w:sz w:val="24"/>
        </w:rPr>
      </w:pPr>
      <w:r>
        <w:rPr>
          <w:rFonts w:ascii="Times New Roman" w:hAnsi="Times New Roman"/>
          <w:b w:val="false"/>
          <w:sz w:val="24"/>
        </w:rPr>
        <w:t>ARTICLE V</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 xml:space="preserve">DATA PRIVACY NOTICE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5.1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Data Privacy</w:t>
      </w:r>
      <w:r>
        <w:rPr/>
        <w:t xml:space="preserve"> </w:t>
      </w:r>
    </w:p>
    <w:p>
      <w:pPr>
        <w:pStyle w:val="TextBody"/>
        <w:spacing w:before="0" w:after="210"/>
        <w:jc w:val="both"/>
        <w:rPr>
          <w:rFonts w:ascii="Times New Roman;serif" w:hAnsi="Times New Roman;serif"/>
          <w:b/>
          <w:i/>
          <w:sz w:val="22"/>
        </w:rPr>
      </w:pPr>
      <w:r>
        <w:rPr>
          <w:rFonts w:ascii="Times New Roman;serif" w:hAnsi="Times New Roman;serif"/>
          <w:b/>
          <w:i/>
          <w:sz w:val="22"/>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pStyle w:val="TextBody"/>
        <w:spacing w:before="0" w:after="240"/>
        <w:jc w:val="center"/>
        <w:rPr>
          <w:rFonts w:ascii="Times New Roman" w:hAnsi="Times New Roman"/>
          <w:b w:val="false"/>
          <w:sz w:val="24"/>
        </w:rPr>
      </w:pPr>
      <w:r>
        <w:rPr>
          <w:rFonts w:ascii="Times New Roman" w:hAnsi="Times New Roman"/>
          <w:b w:val="false"/>
          <w:sz w:val="24"/>
        </w:rPr>
        <w:t>ARTICLE VI</w:t>
      </w:r>
    </w:p>
    <w:p>
      <w:pPr>
        <w:pStyle w:val="TextBody"/>
        <w:spacing w:before="0" w:after="240"/>
        <w:jc w:val="center"/>
        <w:rPr>
          <w:rFonts w:ascii="Times New Roman;serif" w:hAnsi="Times New Roman;serif"/>
          <w:b w:val="false"/>
          <w:sz w:val="22"/>
          <w:u w:val="single"/>
        </w:rPr>
      </w:pPr>
      <w:r>
        <w:rPr>
          <w:rFonts w:ascii="Times New Roman;serif" w:hAnsi="Times New Roman;serif"/>
          <w:b w:val="false"/>
          <w:sz w:val="22"/>
          <w:u w:val="single"/>
        </w:rPr>
        <w:t>AGREEMENT OF RESTRICTIVE COVENANTS AND OTHER OBLIGATIONS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6.1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Restrictive Covenants and Other Obligations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consideration of the grant of RSUs,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RSUs.</w:t>
      </w:r>
    </w:p>
    <w:p>
      <w:pPr>
        <w:pStyle w:val="TextBody"/>
        <w:spacing w:before="0" w:after="240"/>
        <w:jc w:val="center"/>
        <w:rPr>
          <w:rFonts w:ascii="Times New Roman" w:hAnsi="Times New Roman"/>
          <w:b w:val="false"/>
          <w:sz w:val="24"/>
        </w:rPr>
      </w:pPr>
      <w:r>
        <w:rPr>
          <w:rFonts w:ascii="Times New Roman" w:hAnsi="Times New Roman"/>
          <w:b w:val="false"/>
          <w:sz w:val="24"/>
        </w:rPr>
        <w:t>ARTICLE VII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MISCELLANEOUS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Administration</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7.2</w:t>
      </w:r>
    </w:p>
    <w:p>
      <w:pPr>
        <w:pStyle w:val="TextBody"/>
        <w:spacing w:before="0" w:after="240"/>
        <w:jc w:val="left"/>
        <w:rPr>
          <w:rFonts w:ascii="Times New Roman;serif" w:hAnsi="Times New Roman;serif"/>
          <w:b w:val="false"/>
          <w:sz w:val="22"/>
          <w:u w:val="single"/>
        </w:rPr>
      </w:pPr>
      <w:r>
        <w:rPr>
          <w:rFonts w:ascii="Times New Roman;serif" w:hAnsi="Times New Roman;serif"/>
          <w:b w:val="false"/>
          <w:sz w:val="22"/>
          <w:u w:val="single"/>
        </w:rPr>
        <w:t>RSUs Not Transferable</w:t>
      </w:r>
    </w:p>
    <w:p>
      <w:pPr>
        <w:pStyle w:val="TextBody"/>
        <w:spacing w:before="0" w:after="240"/>
        <w:jc w:val="both"/>
        <w:rPr>
          <w:rFonts w:ascii="Times New Roman" w:hAnsi="Times New Roman"/>
          <w:sz w:val="20"/>
        </w:rPr>
      </w:pPr>
      <w:r>
        <w:rPr>
          <w:rFonts w:ascii="Times New Roman;serif" w:hAnsi="Times New Roman;serif"/>
          <w:b w:val="false"/>
          <w:sz w:val="22"/>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disposition be voluntary or involuntary or by operation of law by judgment, levy, attachment, garnishment or any other legal or equitable proceedings (including bankruptcy), and any attempted disposition thereof shall be null and void and of no effect.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Binding Effect</w:t>
      </w:r>
    </w:p>
    <w:p>
      <w:pPr>
        <w:pStyle w:val="TextBody"/>
        <w:spacing w:before="0" w:after="240"/>
        <w:jc w:val="both"/>
        <w:rPr>
          <w:rFonts w:ascii="Times New Roman" w:hAnsi="Times New Roman"/>
          <w:sz w:val="20"/>
        </w:rPr>
      </w:pPr>
      <w:r>
        <w:rPr>
          <w:rFonts w:ascii="Times New Roman;serif" w:hAnsi="Times New Roman;serif"/>
          <w:b w:val="false"/>
          <w:sz w:val="22"/>
        </w:rPr>
        <w:t>The provisions of this Agreement shall be binding upon and accrue to the benefit of the parties hereto and their respective heirs, legal representatives, successors and assigns.</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Notices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Any notice to be given under the terms of this Agreement to the Company shall be addressed to the Company at the following address:</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Willis Towers Watson plc</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c/o Matthew S. Furman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General Counsel</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200 Liberty Street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New York, NY 10281</w:t>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and any notice to be given to the Colleague shall be at their address.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Titles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Titles are provided herein for convenience only and are not to serve as a basis for interpretation or construction of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 xml:space="preserve">Applicability of Plan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Amendment</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7.8</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Governing Law</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7.9</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Jurisdiction</w:t>
      </w:r>
    </w:p>
    <w:p>
      <w:pPr>
        <w:pStyle w:val="TextBody"/>
        <w:spacing w:before="0" w:after="0"/>
        <w:jc w:val="both"/>
        <w:rPr>
          <w:rFonts w:ascii="Times New Roman" w:hAnsi="Times New Roman"/>
          <w:sz w:val="20"/>
        </w:rPr>
      </w:pPr>
      <w:r>
        <w:rPr>
          <w:rFonts w:ascii="Times New Roman;serif" w:hAnsi="Times New Roman;serif"/>
          <w:b w:val="false"/>
          <w:sz w:val="22"/>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7.10</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Electronic Delivery and Acceptance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Choice of Language</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Severability</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provisions of this Agreement are severable and if any one or more provisions are determined to be illegal or otherwise unenforceable, in whole or in part, the remaining provisions shall nevertheless be binding and enforceable.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Schedule A</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Imposition of Other Requirements</w:t>
      </w:r>
      <w:r>
        <w:rPr/>
        <w:t xml:space="preserve">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 xml:space="preserve">Insider Trading / Market Abuse Laws </w:t>
      </w:r>
    </w:p>
    <w:p>
      <w:pPr>
        <w:pStyle w:val="TextBody"/>
        <w:spacing w:before="0" w:after="240"/>
        <w:jc w:val="both"/>
        <w:rPr>
          <w:rFonts w:ascii="Times New Roman" w:hAnsi="Times New Roman"/>
          <w:sz w:val="20"/>
        </w:rPr>
      </w:pPr>
      <w:r>
        <w:rPr>
          <w:rFonts w:ascii="Times New Roman;serif" w:hAnsi="Times New Roman;serif"/>
          <w:b w:val="false"/>
          <w:sz w:val="22"/>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serif" w:hAnsi="Times New Roman;serif"/>
          <w:b w:val="false"/>
          <w:i/>
          <w:sz w:val="22"/>
        </w:rPr>
        <w:t>e.g.</w:t>
      </w:r>
      <w:r>
        <w:rPr>
          <w:rFonts w:ascii="Times New Roman;serif" w:hAnsi="Times New Roman;serif"/>
          <w:b w:val="false"/>
          <w:sz w:val="22"/>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Foreign Asset/Account Reporting Requirements and Exchange Controls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Waiver</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pStyle w:val="TextBody"/>
        <w:spacing w:before="0" w:after="0"/>
        <w:jc w:val="both"/>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7.18</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Counterparts</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This Agreement may be executed in any number of counterparts, each of which shall be deemed to be an original and all of which together shall constitute one and the same instrument.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7.19</w:t>
      </w:r>
    </w:p>
    <w:p>
      <w:pPr>
        <w:pStyle w:val="TextBody"/>
        <w:spacing w:before="0" w:after="240"/>
        <w:jc w:val="left"/>
        <w:rPr>
          <w:rFonts w:ascii="Times New Roman;serif" w:hAnsi="Times New Roman;serif"/>
          <w:b w:val="false"/>
          <w:sz w:val="22"/>
          <w:u w:val="single"/>
        </w:rPr>
      </w:pPr>
      <w:r>
        <w:rPr>
          <w:rFonts w:ascii="Times New Roman;serif" w:hAnsi="Times New Roman;serif"/>
          <w:b w:val="false"/>
          <w:sz w:val="22"/>
          <w:u w:val="single"/>
        </w:rPr>
        <w:t>Code Section 409A</w:t>
      </w:r>
    </w:p>
    <w:p>
      <w:pPr>
        <w:pStyle w:val="TextBody"/>
        <w:spacing w:before="0" w:after="240"/>
        <w:jc w:val="both"/>
        <w:rPr>
          <w:rFonts w:ascii="Times New Roman" w:hAnsi="Times New Roman"/>
          <w:sz w:val="20"/>
        </w:rPr>
      </w:pPr>
      <w:r>
        <w:rPr>
          <w:rFonts w:ascii="Times New Roman;serif" w:hAnsi="Times New Roman;serif"/>
          <w:b w:val="false"/>
          <w:sz w:val="22"/>
        </w:rPr>
        <w:t>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pStyle w:val="TextBody"/>
        <w:spacing w:before="100" w:after="100"/>
        <w:jc w:val="both"/>
        <w:rPr>
          <w:rFonts w:ascii="Times New Roman;serif" w:hAnsi="Times New Roman;serif"/>
          <w:b/>
          <w:i/>
          <w:sz w:val="22"/>
        </w:rPr>
      </w:pPr>
      <w:r>
        <w:rPr>
          <w:rFonts w:ascii="Times New Roman;serif" w:hAnsi="Times New Roman;serif"/>
          <w:b/>
          <w:i/>
          <w:sz w:val="22"/>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pStyle w:val="TextBody"/>
        <w:spacing w:before="100" w:after="10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Chief Human Resources Officer</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 _______Colleague 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100" w:after="100"/>
        <w:jc w:val="left"/>
        <w:rPr/>
      </w:pPr>
      <w:r>
        <w:rPr/>
        <w:t> </w:t>
      </w:r>
    </w:p>
    <w:p>
      <w:pPr>
        <w:pStyle w:val="TextBody"/>
        <w:spacing w:before="0" w:after="240"/>
        <w:jc w:val="left"/>
        <w:rPr/>
      </w:pPr>
      <w:r>
        <w:rPr/>
        <w:t> </w:t>
      </w:r>
    </w:p>
    <w:p>
      <w:pPr>
        <w:pStyle w:val="TextBody"/>
        <w:spacing w:before="0" w:after="240"/>
        <w:jc w:val="righ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right"/>
        <w:rPr/>
      </w:pPr>
      <w:r>
        <w:rPr/>
        <w:t> </w:t>
      </w:r>
    </w:p>
    <w:p>
      <w:pPr>
        <w:pStyle w:val="TextBody"/>
        <w:spacing w:before="0" w:after="240"/>
        <w:jc w:val="right"/>
        <w:rPr>
          <w:rFonts w:ascii="Times New Roman;serif" w:hAnsi="Times New Roman;serif"/>
          <w:b/>
          <w:caps/>
          <w:sz w:val="22"/>
          <w:u w:val="single"/>
        </w:rPr>
      </w:pPr>
      <w:r>
        <w:rPr>
          <w:rFonts w:ascii="Times New Roman;serif" w:hAnsi="Times New Roman;serif"/>
          <w:b/>
          <w:caps/>
          <w:sz w:val="22"/>
          <w:u w:val="single"/>
        </w:rPr>
        <w:t>Schedule A</w:t>
      </w:r>
    </w:p>
    <w:p>
      <w:pPr>
        <w:pStyle w:val="TextBody"/>
        <w:spacing w:before="0" w:after="0"/>
        <w:jc w:val="center"/>
        <w:rPr>
          <w:rFonts w:ascii="Times New Roman;serif" w:hAnsi="Times New Roman;serif"/>
          <w:b/>
          <w:sz w:val="22"/>
        </w:rPr>
      </w:pPr>
      <w:r>
        <w:rPr>
          <w:rFonts w:ascii="Times New Roman;serif" w:hAnsi="Times New Roman;serif"/>
          <w:b/>
          <w:sz w:val="22"/>
        </w:rPr>
        <w:t>COUNTRY-SPECIFIC APPENDIX TO RESTRICTED SHARE UNIT AWARD AGREEMENT</w:t>
      </w:r>
    </w:p>
    <w:p>
      <w:pPr>
        <w:pStyle w:val="TextBody"/>
        <w:spacing w:before="0" w:after="0"/>
        <w:jc w:val="center"/>
        <w:rPr>
          <w:rFonts w:ascii="Times New Roman;serif" w:hAnsi="Times New Roman;serif"/>
          <w:b/>
          <w:sz w:val="22"/>
        </w:rPr>
      </w:pPr>
      <w:r>
        <w:rPr>
          <w:rFonts w:ascii="Times New Roman;serif" w:hAnsi="Times New Roman;serif"/>
          <w:b/>
          <w:sz w:val="22"/>
        </w:rPr>
        <w:t>(Time-Based Restricted Share Units)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caps/>
          <w:sz w:val="22"/>
        </w:rPr>
        <w:t>WILLIS TOWERS WATSON PUBLIC LIMITED COMPANY</w:t>
      </w:r>
      <w:r>
        <w:rPr>
          <w:rFonts w:ascii="Times New Roman" w:hAnsi="Times New Roman"/>
          <w:caps/>
          <w:sz w:val="20"/>
        </w:rPr>
        <w:t xml:space="preserve"> </w:t>
      </w:r>
    </w:p>
    <w:p>
      <w:pPr>
        <w:pStyle w:val="TextBody"/>
        <w:spacing w:before="0" w:after="0"/>
        <w:jc w:val="center"/>
        <w:rPr>
          <w:rFonts w:ascii="Times New Roman;serif" w:hAnsi="Times New Roman;serif"/>
          <w:b/>
          <w:caps/>
          <w:sz w:val="22"/>
        </w:rPr>
      </w:pPr>
      <w:r>
        <w:rPr>
          <w:rFonts w:ascii="Times New Roman;serif" w:hAnsi="Times New Roman;serif"/>
          <w:b/>
          <w:caps/>
          <w:sz w:val="22"/>
        </w:rPr>
        <w:t>2012 EQUITY INCENTIVE PLAN, AS AMENDED AND RESTATED</w:t>
      </w:r>
    </w:p>
    <w:p>
      <w:pPr>
        <w:pStyle w:val="TextBody"/>
        <w:spacing w:before="0" w:after="0"/>
        <w:jc w:val="center"/>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Capitalized terms used but not defined herein shall have the meanings ascribed to them in the Agreement or the Plan.</w:t>
      </w:r>
    </w:p>
    <w:p>
      <w:pPr>
        <w:pStyle w:val="TextBody"/>
        <w:spacing w:before="0" w:after="24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both"/>
        <w:rPr>
          <w:rFonts w:ascii="Times New Roman" w:hAnsi="Times New Roman"/>
          <w:sz w:val="20"/>
        </w:rPr>
      </w:pPr>
      <w:r>
        <w:rPr>
          <w:rFonts w:ascii="Times New Roman;serif" w:hAnsi="Times New Roman;serif"/>
          <w:b w:val="false"/>
          <w:sz w:val="22"/>
        </w:rPr>
        <w:t>This Schedule A includes additional terms and conditions that govern the Time-Based Restricted Share Unit Award granted to the Colleague under the Willis Towers Watson Public Limited Company 2012 Equity Incentive Plan, as amended from time to time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 and the applicable time-based Restricted Share Unit Agreement (the “</w:t>
      </w:r>
      <w:r>
        <w:rPr>
          <w:rFonts w:ascii="Times New Roman;serif" w:hAnsi="Times New Roman;serif"/>
          <w:b w:val="false"/>
          <w:sz w:val="22"/>
          <w:u w:val="single"/>
        </w:rPr>
        <w:t>Agreement</w:t>
      </w:r>
      <w:r>
        <w:rPr>
          <w:rFonts w:ascii="Times New Roman" w:hAnsi="Times New Roman"/>
          <w:sz w:val="20"/>
        </w:rPr>
        <w:t>”</w:t>
      </w:r>
      <w:r>
        <w:rPr>
          <w:rFonts w:ascii="Times New Roman;serif" w:hAnsi="Times New Roman;serif"/>
          <w:b w:val="false"/>
          <w:sz w:val="22"/>
        </w:rPr>
        <w:t>) if the Colleague resides in one of the countries listed below. This Schedule A forms part of the Agreement. Capitalized terms used but not defined herein shall have the meanings ascribed to them in the Agreement or the Plan.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Notwithstanding Section 1.6 and Section 3.1(c)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1.6 and Section 3.1(c) shall not apply and Section 3.1 shall apply to the Colleague without giving effect to Section 3.1(c).</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Notifications</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This Schedule A also includes information based on the securities, exchange control and other laws in effect in the Colleague’s country as of March 2023.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serif" w:hAnsi="Times New Roman;serif"/>
          <w:b w:val="false"/>
          <w:i/>
          <w:sz w:val="22"/>
        </w:rPr>
        <w:t>Accordingly, the Colleague should seek appropriate professional advice as to how the tax or other laws in the Colleague’s country apply to the Colleague’s situation.</w:t>
      </w:r>
      <w:r>
        <w:rPr>
          <w:rFonts w:ascii="Times New Roman" w:hAnsi="Times New Roman"/>
          <w:sz w:val="20"/>
        </w:rPr>
        <w:t xml:space="preserve"> </w:t>
      </w:r>
    </w:p>
    <w:p>
      <w:pPr>
        <w:pStyle w:val="TextBody"/>
        <w:spacing w:before="0" w:after="0"/>
        <w:jc w:val="left"/>
        <w:rPr/>
      </w:pPr>
      <w:r>
        <w:rPr/>
        <w:t>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pStyle w:val="TextBody"/>
        <w:spacing w:before="0" w:after="0"/>
        <w:jc w:val="left"/>
        <w:rPr>
          <w:rFonts w:ascii="Times New Roman;serif" w:hAnsi="Times New Roman;serif"/>
          <w:b/>
          <w:caps/>
          <w:sz w:val="22"/>
          <w:u w:val="single"/>
        </w:rPr>
      </w:pPr>
      <w:r>
        <w:rPr>
          <w:rFonts w:ascii="Times New Roman;serif" w:hAnsi="Times New Roman;serif"/>
          <w:b/>
          <w:caps/>
          <w:sz w:val="22"/>
          <w:u w:val="single"/>
        </w:rPr>
        <w:t>IRELAND</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RSU Payment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provision supplements Section 2.2 of the Agreement:</w:t>
      </w:r>
    </w:p>
    <w:p>
      <w:pPr>
        <w:pStyle w:val="TextBody"/>
        <w:spacing w:before="0" w:after="0"/>
        <w:jc w:val="left"/>
        <w:rPr>
          <w:rFonts w:ascii="Times New Roman" w:hAnsi="Times New Roman"/>
          <w:sz w:val="20"/>
        </w:rPr>
      </w:pPr>
      <w:r>
        <w:rPr>
          <w:rFonts w:ascii="Times New Roman;serif" w:hAnsi="Times New Roman;serif"/>
          <w:b w:val="false"/>
          <w:sz w:val="22"/>
        </w:rPr>
        <w:t>Notwithstanding any discretion in the Plan or anything to the contrary in the Agreement, the RSUs do not provide any right for the Colleague to receive a cash payment and the RSUs will be settled in Shares only.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Notifications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Director Reporting Obligation</w:t>
      </w:r>
    </w:p>
    <w:p>
      <w:pPr>
        <w:pStyle w:val="TextBody"/>
        <w:spacing w:before="0" w:after="0"/>
        <w:jc w:val="left"/>
        <w:rPr>
          <w:rFonts w:ascii="Times New Roman" w:hAnsi="Times New Roman"/>
          <w:sz w:val="20"/>
        </w:rPr>
      </w:pPr>
      <w:r>
        <w:rPr>
          <w:rFonts w:ascii="Times New Roman;serif" w:hAnsi="Times New Roman;serif"/>
          <w:b w:val="false"/>
          <w:sz w:val="22"/>
        </w:rPr>
        <w:t>If the Colleague is a director, shadow director or secretary of the Company or an Irish Subsidiary, they must notify the Company or the Irish Subsidiary in writing if the Colleague receives or disposes of an interest exceeding 1% of the Company (</w:t>
      </w:r>
      <w:r>
        <w:rPr>
          <w:rFonts w:ascii="Times New Roman;serif" w:hAnsi="Times New Roman;serif"/>
          <w:b w:val="false"/>
          <w:i/>
          <w:sz w:val="22"/>
        </w:rPr>
        <w:t>e.g</w:t>
      </w:r>
      <w:r>
        <w:rPr>
          <w:rFonts w:ascii="Times New Roman;serif" w:hAnsi="Times New Roman;serif"/>
          <w:b w:val="false"/>
          <w:sz w:val="22"/>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pStyle w:val="TextBody"/>
        <w:spacing w:before="0" w:after="0"/>
        <w:jc w:val="left"/>
        <w:rPr/>
      </w:pPr>
      <w:r>
        <w:rPr/>
        <w:t> </w:t>
      </w:r>
    </w:p>
    <w:p>
      <w:pPr>
        <w:pStyle w:val="TextBody"/>
        <w:spacing w:before="0" w:after="0"/>
        <w:jc w:val="left"/>
        <w:rPr>
          <w:rFonts w:ascii="Times New Roman;serif" w:hAnsi="Times New Roman;serif"/>
          <w:b/>
          <w:caps/>
          <w:sz w:val="22"/>
          <w:u w:val="single"/>
        </w:rPr>
      </w:pPr>
      <w:r>
        <w:rPr>
          <w:rFonts w:ascii="Times New Roman;serif" w:hAnsi="Times New Roman;serif"/>
          <w:b/>
          <w:caps/>
          <w:sz w:val="22"/>
          <w:u w:val="single"/>
        </w:rPr>
        <w:t>United Kingdom</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RSU Payment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provision supplements Section 2.2 of the Agreement:</w:t>
      </w:r>
    </w:p>
    <w:p>
      <w:pPr>
        <w:pStyle w:val="TextBody"/>
        <w:spacing w:before="0" w:after="0"/>
        <w:jc w:val="left"/>
        <w:rPr>
          <w:rFonts w:ascii="Times New Roman" w:hAnsi="Times New Roman"/>
          <w:sz w:val="20"/>
        </w:rPr>
      </w:pPr>
      <w:r>
        <w:rPr>
          <w:rFonts w:ascii="Times New Roman;serif" w:hAnsi="Times New Roman;serif"/>
          <w:b w:val="false"/>
          <w:sz w:val="22"/>
        </w:rPr>
        <w:t>Notwithstanding any discretion in the Plan or anything to the contrary in the Agreement, the RSUs do not provide any right for the Colleague to receive a cash payment and the RSUs will be settled in Shares only.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Tax Withholding</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following provisions supplement Section 2.5 of the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Without limitation to Section 2.5 of the Agreement, the Colleague agrees that they are liable for all Tax-Related Items and hereby covenants to pay all such Tax-Related Items, as and when requested by the Company or the Employer or by Her Majesty’s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pPr>
      <w:r>
        <w:rPr/>
        <w:t> </w:t>
      </w:r>
    </w:p>
    <w:p>
      <w:pPr>
        <w:pStyle w:val="TextBody"/>
        <w:spacing w:before="0" w:after="240"/>
        <w:jc w:val="left"/>
        <w:rPr>
          <w:rFonts w:ascii="Times New Roman;serif" w:hAnsi="Times New Roman;serif"/>
          <w:b/>
          <w:sz w:val="22"/>
          <w:u w:val="single"/>
        </w:rPr>
      </w:pPr>
      <w:r>
        <w:rPr>
          <w:rFonts w:ascii="Times New Roman;serif" w:hAnsi="Times New Roman;serif"/>
          <w:b/>
          <w:sz w:val="22"/>
          <w:u w:val="single"/>
        </w:rPr>
        <w:t>UNITED STATES OF AMERICA</w:t>
      </w:r>
    </w:p>
    <w:p>
      <w:pPr>
        <w:pStyle w:val="TextBody"/>
        <w:spacing w:before="0" w:after="0"/>
        <w:jc w:val="left"/>
        <w:rPr>
          <w:rFonts w:ascii="Times New Roman" w:hAnsi="Times New Roman"/>
          <w:sz w:val="20"/>
        </w:rPr>
      </w:pPr>
      <w:r>
        <w:rPr>
          <w:rFonts w:ascii="Times New Roman;serif" w:hAnsi="Times New Roman;serif"/>
          <w:b/>
          <w:i/>
          <w:sz w:val="22"/>
        </w:rPr>
        <w:t>Notifications</w:t>
        <w:br/>
        <w:br/>
      </w:r>
      <w:r>
        <w:rPr>
          <w:rFonts w:ascii="Times New Roman;serif" w:hAnsi="Times New Roman;serif"/>
          <w:b/>
          <w:sz w:val="22"/>
        </w:rPr>
        <w:t>Exchange Control Information</w:t>
      </w:r>
    </w:p>
    <w:p>
      <w:pPr>
        <w:pStyle w:val="TextBody"/>
        <w:spacing w:before="0" w:after="0"/>
        <w:jc w:val="both"/>
        <w:rPr>
          <w:rFonts w:ascii="Times New Roman" w:hAnsi="Times New Roman"/>
          <w:sz w:val="20"/>
        </w:rPr>
      </w:pPr>
      <w:r>
        <w:rPr>
          <w:rFonts w:ascii="Times New Roman;serif" w:hAnsi="Times New Roman;serif"/>
          <w:b w:val="false"/>
          <w:sz w:val="22"/>
        </w:rPr>
        <w:t>Under the Foreign Account Tax Compliance Act (“</w:t>
      </w:r>
      <w:r>
        <w:rPr>
          <w:rFonts w:ascii="Times New Roman;serif" w:hAnsi="Times New Roman;serif"/>
          <w:b w:val="false"/>
          <w:sz w:val="22"/>
          <w:u w:val="single"/>
        </w:rPr>
        <w:t>FATCA</w:t>
      </w:r>
      <w:r>
        <w:rPr>
          <w:rFonts w:ascii="Times New Roman" w:hAnsi="Times New Roman"/>
          <w:sz w:val="20"/>
        </w:rPr>
        <w:t>”</w:t>
      </w:r>
      <w:r>
        <w:rPr>
          <w:rFonts w:ascii="Times New Roman;serif" w:hAnsi="Times New Roman;serif"/>
          <w:b w:val="false"/>
          <w:sz w:val="22"/>
        </w:rPr>
        <w:t>), United States taxpayers who hold Shares or rights to acquire Shares (</w:t>
      </w:r>
      <w:r>
        <w:rPr>
          <w:rFonts w:ascii="Times New Roman;serif" w:hAnsi="Times New Roman;serif"/>
          <w:b w:val="false"/>
          <w:i/>
          <w:sz w:val="22"/>
        </w:rPr>
        <w:t>i.e</w:t>
      </w:r>
      <w:r>
        <w:rPr>
          <w:rFonts w:ascii="Times New Roman;serif" w:hAnsi="Times New Roman;serif"/>
          <w:b w:val="false"/>
          <w:sz w:val="22"/>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240"/>
        <w:jc w:val="right"/>
        <w:rPr>
          <w:rFonts w:ascii="Times New Roman;serif" w:hAnsi="Times New Roman;serif"/>
          <w:b/>
          <w:sz w:val="22"/>
          <w:u w:val="single"/>
        </w:rPr>
      </w:pPr>
      <w:r>
        <w:rPr>
          <w:rFonts w:ascii="Times New Roman;serif" w:hAnsi="Times New Roman;serif"/>
          <w:b/>
          <w:sz w:val="22"/>
          <w:u w:val="single"/>
        </w:rPr>
        <w:t>SCHEDULE B- US</w:t>
      </w:r>
    </w:p>
    <w:p>
      <w:pPr>
        <w:pStyle w:val="TextBody"/>
        <w:spacing w:before="0" w:after="240"/>
        <w:jc w:val="center"/>
        <w:rPr>
          <w:rFonts w:ascii="Times New Roman;serif" w:hAnsi="Times New Roman;serif"/>
          <w:b/>
          <w:sz w:val="22"/>
        </w:rPr>
      </w:pPr>
      <w:r>
        <w:rPr>
          <w:rFonts w:ascii="Times New Roman;serif" w:hAnsi="Times New Roman;serif"/>
          <w:b/>
          <w:sz w:val="22"/>
        </w:rPr>
        <w:t>AGREEMENT OF RESTRICTIVE COVENANTS AND OTHER OBLIGATIONS FOR EMPLOYEES IN THE UNITED STATES</w:t>
      </w:r>
    </w:p>
    <w:p>
      <w:pPr>
        <w:pStyle w:val="TextBody"/>
        <w:spacing w:before="0" w:after="0"/>
        <w:jc w:val="both"/>
        <w:rPr>
          <w:rFonts w:ascii="Times New Roman" w:hAnsi="Times New Roman"/>
          <w:sz w:val="20"/>
        </w:rPr>
      </w:pPr>
      <w:r>
        <w:rPr>
          <w:rFonts w:ascii="Times New Roman;serif" w:hAnsi="Times New Roman;serif"/>
          <w:b w:val="false"/>
          <w:sz w:val="22"/>
        </w:rPr>
        <w:t>This Agreement of Restrictive Covenants and Other Obligations for Employees in the United States (the “</w:t>
      </w:r>
      <w:r>
        <w:rPr>
          <w:rFonts w:ascii="Times New Roman;serif" w:hAnsi="Times New Roman;serif"/>
          <w:b w:val="false"/>
          <w:sz w:val="22"/>
          <w:u w:val="single"/>
        </w:rPr>
        <w:t>RCA</w:t>
      </w:r>
      <w:r>
        <w:rPr>
          <w:rFonts w:ascii="Times New Roman" w:hAnsi="Times New Roman"/>
          <w:sz w:val="20"/>
        </w:rPr>
        <w:t>”</w:t>
      </w:r>
      <w:r>
        <w:rPr>
          <w:rFonts w:ascii="Times New Roman;serif" w:hAnsi="Times New Roman;serif"/>
          <w:b w:val="false"/>
          <w:sz w:val="22"/>
        </w:rPr>
        <w:t>) is entered into by and between Willis Towers Watson Public Limited Company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the Colleague (the “</w:t>
      </w:r>
      <w:r>
        <w:rPr>
          <w:rFonts w:ascii="Times New Roman;serif" w:hAnsi="Times New Roman;serif"/>
          <w:b w:val="false"/>
          <w:sz w:val="22"/>
          <w:u w:val="single"/>
        </w:rPr>
        <w:t>Colleague</w:t>
      </w:r>
      <w:r>
        <w:rPr>
          <w:rFonts w:ascii="Times New Roman" w:hAnsi="Times New Roman"/>
          <w:sz w:val="20"/>
        </w:rPr>
        <w:t>”</w:t>
      </w:r>
      <w:r>
        <w:rPr>
          <w:rFonts w:ascii="Times New Roman;serif" w:hAnsi="Times New Roman;serif"/>
          <w:b w:val="false"/>
          <w:sz w:val="22"/>
        </w:rPr>
        <w:t>) to be effective as of the date the Colleague signs or electronically accepts this RCA.</w:t>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RECITALS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Colleague is employed by a Subsidiary of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subject to approval by the Committee or the Company’s Share Award Committee, the Colleague has been designated to receive a grant of time-based restricted share units (“</w:t>
      </w:r>
      <w:r>
        <w:rPr>
          <w:rFonts w:ascii="Times New Roman;serif" w:hAnsi="Times New Roman;serif"/>
          <w:b w:val="false"/>
          <w:sz w:val="22"/>
          <w:u w:val="single"/>
        </w:rPr>
        <w:t>RSUs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Awards</w:t>
      </w:r>
      <w:r>
        <w:rPr>
          <w:rFonts w:ascii="Times New Roman" w:hAnsi="Times New Roman"/>
          <w:sz w:val="20"/>
        </w:rPr>
        <w:t>”</w:t>
      </w:r>
      <w:r>
        <w:rPr>
          <w:rFonts w:ascii="Times New Roman;serif" w:hAnsi="Times New Roman;serif"/>
          <w:b w:val="false"/>
          <w:sz w:val="22"/>
        </w:rPr>
        <w:t>) under the Company’s 2012 Equity Incentive Plan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any Award granted to the Colleague is subject to the terms and conditions of the Plan, the award agreement evidencing the Colleague’s Award (including any country specific terms thereto) and this RCA, and in consideration of the Award, the Colleague shall enter into and acknowledge their agreement to the terms and conditions of the Plan, the award agreement and this RCA; and</w:t>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Colleague acknowledges and agrees that they desire to receive the Award and understands and agrees any Award is subject to the terms and conditions set forth in the Plan, the applicable award agreement and this RCA.</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promises contained herein and for other valuable consideration, in particular the Award, the receipt and sufficiency of which is hereby acknowledged in this recital and within Section 6.4 below, the Parties hereto agree, with the intent to be bound, as follows:</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Recitals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Recitals set forth above are an integral part of this RCA, and are incorporated herein by reference.</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2</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Definitions</w:t>
      </w:r>
    </w:p>
    <w:p>
      <w:pPr>
        <w:pStyle w:val="TextBody"/>
        <w:spacing w:before="0" w:after="210"/>
        <w:jc w:val="left"/>
        <w:rPr>
          <w:rFonts w:ascii="Times New Roman" w:hAnsi="Times New Roman"/>
          <w:b w:val="false"/>
          <w:sz w:val="22"/>
        </w:rPr>
      </w:pPr>
      <w:r>
        <w:rPr>
          <w:rFonts w:ascii="Times New Roman" w:hAnsi="Times New Roman"/>
          <w:b w:val="false"/>
          <w:sz w:val="22"/>
        </w:rPr>
        <w:t>1.1.</w:t>
      </w:r>
    </w:p>
    <w:p>
      <w:pPr>
        <w:pStyle w:val="TextBody"/>
        <w:spacing w:before="0" w:after="210"/>
        <w:jc w:val="left"/>
        <w:rPr/>
      </w:pPr>
      <w:r>
        <w:rPr/>
        <w:t>“</w:t>
      </w:r>
      <w:r>
        <w:rPr>
          <w:rFonts w:ascii="Times New Roman;serif" w:hAnsi="Times New Roman;serif"/>
          <w:b/>
          <w:sz w:val="22"/>
        </w:rPr>
        <w:t>Award</w:t>
      </w:r>
      <w:r>
        <w:rPr/>
        <w:t xml:space="preserve">” </w:t>
      </w:r>
      <w:r>
        <w:rPr>
          <w:rFonts w:ascii="Times New Roman;serif" w:hAnsi="Times New Roman;serif"/>
          <w:b w:val="false"/>
          <w:sz w:val="22"/>
        </w:rPr>
        <w:t>shall have the meaning as set forth in the recitals.</w:t>
      </w:r>
    </w:p>
    <w:p>
      <w:pPr>
        <w:pStyle w:val="TextBody"/>
        <w:spacing w:before="0" w:after="210"/>
        <w:jc w:val="both"/>
        <w:rPr>
          <w:rFonts w:ascii="Times New Roman" w:hAnsi="Times New Roman"/>
          <w:b w:val="false"/>
          <w:sz w:val="22"/>
        </w:rPr>
      </w:pPr>
      <w:r>
        <w:rPr>
          <w:rFonts w:ascii="Times New Roman" w:hAnsi="Times New Roman"/>
          <w:b w:val="false"/>
          <w:sz w:val="22"/>
        </w:rPr>
        <w:t>1.2.</w:t>
      </w:r>
    </w:p>
    <w:p>
      <w:pPr>
        <w:pStyle w:val="TextBody"/>
        <w:spacing w:before="0" w:after="210"/>
        <w:jc w:val="both"/>
        <w:rPr/>
      </w:pPr>
      <w:r>
        <w:rPr/>
        <w:t>“</w:t>
      </w:r>
      <w:r>
        <w:rPr>
          <w:rFonts w:ascii="Times New Roman;serif" w:hAnsi="Times New Roman;serif"/>
          <w:b/>
          <w:sz w:val="22"/>
        </w:rPr>
        <w:t>Business</w:t>
      </w:r>
      <w:r>
        <w:rPr/>
        <w:t xml:space="preserve">” </w:t>
      </w:r>
      <w:r>
        <w:rPr>
          <w:rFonts w:ascii="Times New Roman;serif" w:hAnsi="Times New Roman;serif"/>
          <w:b w:val="false"/>
          <w:sz w:val="22"/>
        </w:rPr>
        <w:t xml:space="preserve">shall mean insurance brokerage, reinsurance brokerage, surety brokerage, bond brokerage, insurance agency, underwriting agency, managing general agency, risk management, claims administration, self-insurance, risk management consulting or other business performed by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1.3.</w:t>
      </w:r>
    </w:p>
    <w:p>
      <w:pPr>
        <w:pStyle w:val="TextBody"/>
        <w:spacing w:before="0" w:after="210"/>
        <w:jc w:val="both"/>
        <w:rPr/>
      </w:pPr>
      <w:r>
        <w:rPr/>
        <w:t>“</w:t>
      </w:r>
      <w:r>
        <w:rPr>
          <w:rFonts w:ascii="Times New Roman;serif" w:hAnsi="Times New Roman;serif"/>
          <w:b/>
          <w:sz w:val="22"/>
        </w:rPr>
        <w:t>Committee</w:t>
      </w:r>
      <w:r>
        <w:rPr/>
        <w:t xml:space="preserve">” </w:t>
      </w:r>
      <w:r>
        <w:rPr>
          <w:rFonts w:ascii="Times New Roman;serif" w:hAnsi="Times New Roman;serif"/>
          <w:b w:val="false"/>
          <w:sz w:val="22"/>
        </w:rPr>
        <w:t xml:space="preserve">shall have the same meaning as set forth in the Plan or the applicable award agreement. </w:t>
      </w:r>
    </w:p>
    <w:p>
      <w:pPr>
        <w:pStyle w:val="TextBody"/>
        <w:spacing w:before="0" w:after="210"/>
        <w:jc w:val="both"/>
        <w:rPr>
          <w:rFonts w:ascii="Times New Roman" w:hAnsi="Times New Roman"/>
          <w:b w:val="false"/>
          <w:sz w:val="22"/>
        </w:rPr>
      </w:pPr>
      <w:r>
        <w:rPr>
          <w:rFonts w:ascii="Times New Roman" w:hAnsi="Times New Roman"/>
          <w:b w:val="false"/>
          <w:sz w:val="22"/>
        </w:rPr>
        <w:t>1.4.</w:t>
      </w:r>
    </w:p>
    <w:p>
      <w:pPr>
        <w:pStyle w:val="TextBody"/>
        <w:spacing w:before="0" w:after="210"/>
        <w:jc w:val="both"/>
        <w:rPr/>
      </w:pPr>
      <w:r>
        <w:rPr/>
        <w:t>“</w:t>
      </w:r>
      <w:r>
        <w:rPr>
          <w:rFonts w:ascii="Times New Roman;serif" w:hAnsi="Times New Roman;serif"/>
          <w:b/>
          <w:sz w:val="22"/>
        </w:rPr>
        <w:t>Competitor</w:t>
      </w:r>
      <w:r>
        <w:rPr/>
        <w:t xml:space="preserve">” </w:t>
      </w:r>
      <w:r>
        <w:rPr>
          <w:rFonts w:ascii="Times New Roman;serif" w:hAnsi="Times New Roman;serif"/>
          <w:b w:val="false"/>
          <w:sz w:val="22"/>
        </w:rPr>
        <w:t xml:space="preserve">shall mean any business principally engaged in insurance brokerage, reinsurance brokerage, surety brokerage, bond brokerage, insurance agency, underwriting agency, managing general agency, risk management, claims administration, self-insurance,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risk management consulting or other business which is either performed by the Restricted Group or is a business in which the Restricted Group has taken steps toward engaging.</w:t>
      </w:r>
      <w:r>
        <w:rPr/>
        <w:t xml:space="preserve"> </w:t>
      </w:r>
    </w:p>
    <w:p>
      <w:pPr>
        <w:pStyle w:val="TextBody"/>
        <w:spacing w:before="0" w:after="210"/>
        <w:jc w:val="both"/>
        <w:rPr>
          <w:rFonts w:ascii="Times New Roman" w:hAnsi="Times New Roman"/>
          <w:b w:val="false"/>
          <w:sz w:val="22"/>
        </w:rPr>
      </w:pPr>
      <w:r>
        <w:rPr>
          <w:rFonts w:ascii="Times New Roman" w:hAnsi="Times New Roman"/>
          <w:b w:val="false"/>
          <w:sz w:val="22"/>
        </w:rPr>
        <w:t>1.5.</w:t>
      </w:r>
    </w:p>
    <w:p>
      <w:pPr>
        <w:pStyle w:val="TextBody"/>
        <w:spacing w:before="0" w:after="210"/>
        <w:jc w:val="both"/>
        <w:rPr/>
      </w:pPr>
      <w:r>
        <w:rPr/>
        <w:t>“</w:t>
      </w:r>
      <w:r>
        <w:rPr>
          <w:rFonts w:ascii="Times New Roman;serif" w:hAnsi="Times New Roman;serif"/>
          <w:b/>
          <w:sz w:val="22"/>
        </w:rPr>
        <w:t>Confidential Information</w:t>
      </w:r>
      <w:r>
        <w:rPr/>
        <w:t xml:space="preserve">” </w:t>
      </w:r>
      <w:r>
        <w:rPr>
          <w:rFonts w:ascii="Times New Roman;serif" w:hAnsi="Times New Roman;serif"/>
          <w:b w:val="false"/>
          <w:sz w:val="22"/>
        </w:rPr>
        <w:t>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pStyle w:val="TextBody"/>
        <w:spacing w:before="0" w:after="210"/>
        <w:jc w:val="both"/>
        <w:rPr>
          <w:rFonts w:ascii="Times New Roman" w:hAnsi="Times New Roman"/>
          <w:b w:val="false"/>
          <w:sz w:val="22"/>
        </w:rPr>
      </w:pPr>
      <w:r>
        <w:rPr>
          <w:rFonts w:ascii="Times New Roman" w:hAnsi="Times New Roman"/>
          <w:b w:val="false"/>
          <w:sz w:val="22"/>
        </w:rPr>
        <w:t>1.6.</w:t>
      </w:r>
    </w:p>
    <w:p>
      <w:pPr>
        <w:pStyle w:val="TextBody"/>
        <w:spacing w:before="0" w:after="210"/>
        <w:jc w:val="both"/>
        <w:rPr/>
      </w:pPr>
      <w:r>
        <w:rPr/>
        <w:t>“</w:t>
      </w:r>
      <w:r>
        <w:rPr>
          <w:rFonts w:ascii="Times New Roman;serif" w:hAnsi="Times New Roman;serif"/>
          <w:b/>
          <w:sz w:val="22"/>
        </w:rPr>
        <w:t>Directly or indirectly</w:t>
      </w:r>
      <w:r>
        <w:rPr/>
        <w:t xml:space="preserve">” </w:t>
      </w:r>
      <w:r>
        <w:rPr>
          <w:rFonts w:ascii="Times New Roman;serif" w:hAnsi="Times New Roman;serif"/>
          <w:b w:val="false"/>
          <w:sz w:val="22"/>
        </w:rPr>
        <w:t>shall mean the Colleague acting either alone or jointly with or on behalf of or by means of or in concert with any other person, firm or company (whether as principal, partner, manager, employee, contractor, director, consultant, investor or similar capacity) or otherwise.</w:t>
      </w:r>
    </w:p>
    <w:p>
      <w:pPr>
        <w:pStyle w:val="TextBody"/>
        <w:spacing w:before="0" w:after="210"/>
        <w:jc w:val="both"/>
        <w:rPr>
          <w:rFonts w:ascii="Times New Roman" w:hAnsi="Times New Roman"/>
          <w:b w:val="false"/>
          <w:sz w:val="22"/>
        </w:rPr>
      </w:pPr>
      <w:r>
        <w:rPr>
          <w:rFonts w:ascii="Times New Roman" w:hAnsi="Times New Roman"/>
          <w:b w:val="false"/>
          <w:sz w:val="22"/>
        </w:rPr>
        <w:t>1.7.</w:t>
      </w:r>
    </w:p>
    <w:p>
      <w:pPr>
        <w:pStyle w:val="TextBody"/>
        <w:spacing w:before="0" w:after="210"/>
        <w:jc w:val="both"/>
        <w:rPr/>
      </w:pPr>
      <w:r>
        <w:rPr/>
        <w:t>“</w:t>
      </w:r>
      <w:r>
        <w:rPr>
          <w:rFonts w:ascii="Times New Roman;serif" w:hAnsi="Times New Roman;serif"/>
          <w:b/>
          <w:sz w:val="22"/>
        </w:rPr>
        <w:t>Employer</w:t>
      </w:r>
      <w:r>
        <w:rPr/>
        <w:t xml:space="preserve">” </w:t>
      </w:r>
      <w:r>
        <w:rPr>
          <w:rFonts w:ascii="Times New Roman;serif" w:hAnsi="Times New Roman;serif"/>
          <w:b w:val="false"/>
          <w:sz w:val="22"/>
        </w:rPr>
        <w:t>shall mean the Subsidiary that employs the Colleague. If the Company ever becomes an employer of the Colleague, then the term Employer shall refer to the Company.</w:t>
      </w:r>
    </w:p>
    <w:p>
      <w:pPr>
        <w:pStyle w:val="TextBody"/>
        <w:spacing w:before="0" w:after="210"/>
        <w:jc w:val="both"/>
        <w:rPr>
          <w:rFonts w:ascii="Times New Roman" w:hAnsi="Times New Roman"/>
          <w:b w:val="false"/>
          <w:sz w:val="22"/>
        </w:rPr>
      </w:pPr>
      <w:r>
        <w:rPr>
          <w:rFonts w:ascii="Times New Roman" w:hAnsi="Times New Roman"/>
          <w:b w:val="false"/>
          <w:sz w:val="22"/>
        </w:rPr>
        <w:t>1.8.</w:t>
      </w:r>
    </w:p>
    <w:p>
      <w:pPr>
        <w:pStyle w:val="TextBody"/>
        <w:spacing w:before="0" w:after="210"/>
        <w:jc w:val="both"/>
        <w:rPr/>
      </w:pPr>
      <w:r>
        <w:rPr/>
        <w:t>“</w:t>
      </w:r>
      <w:r>
        <w:rPr>
          <w:rFonts w:ascii="Times New Roman;serif" w:hAnsi="Times New Roman;serif"/>
          <w:b/>
          <w:sz w:val="22"/>
        </w:rPr>
        <w:t>Employment Agreement</w:t>
      </w:r>
      <w:r>
        <w:rPr/>
        <w:t xml:space="preserve">” </w:t>
      </w:r>
      <w:r>
        <w:rPr>
          <w:rFonts w:ascii="Times New Roman;serif" w:hAnsi="Times New Roman;serif"/>
          <w:b w:val="false"/>
          <w:sz w:val="22"/>
        </w:rPr>
        <w:t>shall mean the contractual terms and conditions which govern the employment of the Colleague by Employer.</w:t>
      </w:r>
    </w:p>
    <w:p>
      <w:pPr>
        <w:pStyle w:val="TextBody"/>
        <w:spacing w:before="0" w:after="210"/>
        <w:jc w:val="both"/>
        <w:rPr>
          <w:rFonts w:ascii="Times New Roman" w:hAnsi="Times New Roman"/>
          <w:b w:val="false"/>
          <w:sz w:val="22"/>
        </w:rPr>
      </w:pPr>
      <w:r>
        <w:rPr>
          <w:rFonts w:ascii="Times New Roman" w:hAnsi="Times New Roman"/>
          <w:b w:val="false"/>
          <w:sz w:val="22"/>
        </w:rPr>
        <w:t>1.9.</w:t>
      </w:r>
    </w:p>
    <w:p>
      <w:pPr>
        <w:pStyle w:val="TextBody"/>
        <w:spacing w:before="0" w:after="210"/>
        <w:jc w:val="both"/>
        <w:rPr/>
      </w:pPr>
      <w:r>
        <w:rPr/>
        <w:t>“</w:t>
      </w:r>
      <w:r>
        <w:rPr>
          <w:rFonts w:ascii="Times New Roman;serif" w:hAnsi="Times New Roman;serif"/>
          <w:b/>
          <w:sz w:val="22"/>
        </w:rPr>
        <w:t>Key Personnel</w:t>
      </w:r>
      <w:r>
        <w:rPr/>
        <w:t xml:space="preserve">” </w:t>
      </w:r>
      <w:r>
        <w:rPr>
          <w:rFonts w:ascii="Times New Roman;serif" w:hAnsi="Times New Roman;serif"/>
          <w:b w:val="false"/>
          <w:sz w:val="22"/>
        </w:rPr>
        <w:t>shall mean any person who is at the date the Colleague ceases to be an employee of Employer or was (i) at any time during the period of twelve (12) months prior to that date employed by the Restricted Group, (ii) an employee with whom Colleague had dealings, and (iii) employed by or engaged in the Business in a managerial capacity, or was an employee with insurance, reinsurance or other technical expertise.</w:t>
      </w:r>
    </w:p>
    <w:p>
      <w:pPr>
        <w:pStyle w:val="TextBody"/>
        <w:spacing w:before="0" w:after="210"/>
        <w:jc w:val="both"/>
        <w:rPr>
          <w:rFonts w:ascii="Times New Roman" w:hAnsi="Times New Roman"/>
          <w:b w:val="false"/>
          <w:sz w:val="22"/>
        </w:rPr>
      </w:pPr>
      <w:r>
        <w:rPr>
          <w:rFonts w:ascii="Times New Roman" w:hAnsi="Times New Roman"/>
          <w:b w:val="false"/>
          <w:sz w:val="22"/>
        </w:rPr>
        <w:t>1.10.</w:t>
      </w:r>
    </w:p>
    <w:p>
      <w:pPr>
        <w:pStyle w:val="TextBody"/>
        <w:spacing w:before="0" w:after="210"/>
        <w:jc w:val="both"/>
        <w:rPr/>
      </w:pPr>
      <w:r>
        <w:rPr/>
        <w:t>“</w:t>
      </w:r>
      <w:r>
        <w:rPr>
          <w:rFonts w:ascii="Times New Roman;serif" w:hAnsi="Times New Roman;serif"/>
          <w:b/>
          <w:sz w:val="22"/>
        </w:rPr>
        <w:t>Plan</w:t>
      </w:r>
      <w:r>
        <w:rPr/>
        <w:t xml:space="preserve">” </w:t>
      </w:r>
      <w:r>
        <w:rPr>
          <w:rFonts w:ascii="Times New Roman;serif" w:hAnsi="Times New Roman;serif"/>
          <w:b w:val="false"/>
          <w:sz w:val="22"/>
        </w:rPr>
        <w:t>shall have the meaning set forth in the recitals.</w:t>
      </w:r>
    </w:p>
    <w:p>
      <w:pPr>
        <w:pStyle w:val="TextBody"/>
        <w:spacing w:before="0" w:after="210"/>
        <w:jc w:val="both"/>
        <w:rPr>
          <w:rFonts w:ascii="Times New Roman" w:hAnsi="Times New Roman"/>
          <w:b w:val="false"/>
          <w:sz w:val="22"/>
        </w:rPr>
      </w:pPr>
      <w:r>
        <w:rPr>
          <w:rFonts w:ascii="Times New Roman" w:hAnsi="Times New Roman"/>
          <w:b w:val="false"/>
          <w:sz w:val="22"/>
        </w:rPr>
        <w:t>1.11.</w:t>
      </w:r>
    </w:p>
    <w:p>
      <w:pPr>
        <w:pStyle w:val="TextBody"/>
        <w:spacing w:before="0" w:after="210"/>
        <w:jc w:val="both"/>
        <w:rPr/>
      </w:pPr>
      <w:r>
        <w:rPr/>
        <w:t>“</w:t>
      </w:r>
      <w:r>
        <w:rPr>
          <w:rFonts w:ascii="Times New Roman;serif" w:hAnsi="Times New Roman;serif"/>
          <w:b/>
          <w:sz w:val="22"/>
        </w:rPr>
        <w:t>Relevant Area</w:t>
      </w:r>
      <w:r>
        <w:rPr/>
        <w:t xml:space="preserve">” </w:t>
      </w:r>
      <w:r>
        <w:rPr>
          <w:rFonts w:ascii="Times New Roman;serif" w:hAnsi="Times New Roman;serif"/>
          <w:b w:val="false"/>
          <w:sz w:val="22"/>
        </w:rPr>
        <w:t>shall mean the counties, parishes, districts, municipalities, cities, metropolitan regions, localities and similar geographic and political subdivisions, within and outside of the United States of America, in which the Employer, the Company or any of its Subsidiaries has carried on Business in which the Colleague has been involved or concerned or working on at any time during the period of twelve (12) months prior to the date on which the Colleague ceases to be employed by Employer.</w:t>
      </w:r>
    </w:p>
    <w:p>
      <w:pPr>
        <w:pStyle w:val="TextBody"/>
        <w:spacing w:before="0" w:after="210"/>
        <w:jc w:val="both"/>
        <w:rPr>
          <w:rFonts w:ascii="Times New Roman" w:hAnsi="Times New Roman"/>
          <w:b w:val="false"/>
          <w:sz w:val="22"/>
        </w:rPr>
      </w:pPr>
      <w:r>
        <w:rPr>
          <w:rFonts w:ascii="Times New Roman" w:hAnsi="Times New Roman"/>
          <w:b w:val="false"/>
          <w:sz w:val="22"/>
        </w:rPr>
        <w:t>1.12.</w:t>
      </w:r>
    </w:p>
    <w:p>
      <w:pPr>
        <w:pStyle w:val="TextBody"/>
        <w:spacing w:before="0" w:after="210"/>
        <w:jc w:val="both"/>
        <w:rPr/>
      </w:pPr>
      <w:r>
        <w:rPr/>
        <w:t>“</w:t>
      </w:r>
      <w:r>
        <w:rPr>
          <w:rFonts w:ascii="Times New Roman;serif" w:hAnsi="Times New Roman;serif"/>
          <w:b/>
          <w:sz w:val="22"/>
        </w:rPr>
        <w:t>Relevant Client</w:t>
      </w:r>
      <w:r>
        <w:rPr/>
        <w:t xml:space="preserve">” </w:t>
      </w:r>
      <w:r>
        <w:rPr>
          <w:rFonts w:ascii="Times New Roman;serif" w:hAnsi="Times New Roman;serif"/>
          <w:b w:val="false"/>
          <w:sz w:val="22"/>
        </w:rPr>
        <w:t>shall mean any person, firm or company who or which at any time during the period of twelve (12) months prior to the date on which the Colleague ceases to be employed by Employer is or was a client or customer of the Employer, the Company or any of its Subsidiaries or was in the habit and/or practice of dealing under contract with the Employer, the Company or any of its Subsidiaries and with whom or which the Colleague had dealings related to the Business) or for whose relationship with the Employer, the Company or any of its Subsidiaries the Colleague had responsibility at any time during the said period.</w:t>
      </w:r>
    </w:p>
    <w:p>
      <w:pPr>
        <w:pStyle w:val="TextBody"/>
        <w:spacing w:before="0" w:after="210"/>
        <w:jc w:val="left"/>
        <w:rPr>
          <w:rFonts w:ascii="Times New Roman" w:hAnsi="Times New Roman"/>
          <w:b w:val="false"/>
          <w:sz w:val="22"/>
        </w:rPr>
      </w:pPr>
      <w:r>
        <w:rPr>
          <w:rFonts w:ascii="Times New Roman" w:hAnsi="Times New Roman"/>
          <w:b w:val="false"/>
          <w:sz w:val="22"/>
        </w:rPr>
        <w:t>1.13.</w:t>
      </w:r>
    </w:p>
    <w:p>
      <w:pPr>
        <w:pStyle w:val="TextBody"/>
        <w:spacing w:before="0" w:after="210"/>
        <w:jc w:val="left"/>
        <w:rPr/>
      </w:pPr>
      <w:r>
        <w:rPr/>
        <w:t>“</w:t>
      </w:r>
      <w:r>
        <w:rPr>
          <w:rFonts w:ascii="Times New Roman;serif" w:hAnsi="Times New Roman;serif"/>
          <w:b/>
          <w:sz w:val="22"/>
        </w:rPr>
        <w:t>Relevant Period</w:t>
      </w:r>
      <w:r>
        <w:rPr/>
        <w:t xml:space="preserve">” </w:t>
      </w:r>
      <w:r>
        <w:rPr>
          <w:rFonts w:ascii="Times New Roman;serif" w:hAnsi="Times New Roman;serif"/>
          <w:b w:val="false"/>
          <w:sz w:val="22"/>
        </w:rPr>
        <w:t>shall mean the period of twenty four (24) months following the date on which the Colleague ceases to be employed by Employer.</w:t>
      </w:r>
    </w:p>
    <w:p>
      <w:pPr>
        <w:pStyle w:val="TextBody"/>
        <w:spacing w:before="0" w:after="210"/>
        <w:jc w:val="both"/>
        <w:rPr>
          <w:rFonts w:ascii="Times New Roman" w:hAnsi="Times New Roman"/>
          <w:b w:val="false"/>
          <w:sz w:val="22"/>
        </w:rPr>
      </w:pPr>
      <w:r>
        <w:rPr>
          <w:rFonts w:ascii="Times New Roman" w:hAnsi="Times New Roman"/>
          <w:b w:val="false"/>
          <w:sz w:val="22"/>
        </w:rPr>
        <w:t>1.14.</w:t>
      </w:r>
    </w:p>
    <w:p>
      <w:pPr>
        <w:pStyle w:val="TextBody"/>
        <w:spacing w:before="0" w:after="210"/>
        <w:jc w:val="both"/>
        <w:rPr/>
      </w:pPr>
      <w:r>
        <w:rPr/>
        <w:t>“</w:t>
      </w:r>
      <w:r>
        <w:rPr>
          <w:rFonts w:ascii="Times New Roman;serif" w:hAnsi="Times New Roman;serif"/>
          <w:b/>
          <w:sz w:val="22"/>
        </w:rPr>
        <w:t>Relevant Prospect</w:t>
      </w:r>
      <w:r>
        <w:rPr/>
        <w:t xml:space="preserve">” </w:t>
      </w:r>
      <w:r>
        <w:rPr>
          <w:rFonts w:ascii="Times New Roman;serif" w:hAnsi="Times New Roman;serif"/>
          <w:b w:val="false"/>
          <w:sz w:val="22"/>
        </w:rPr>
        <w:t xml:space="preserve">shall mean any person, firm or company who or which at any time during the period of six (6) months prior to the date on which the Colleague ceases to be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employed by Employer was an active prospective client of the Employer, the Company or any of its Subsidiaries with whom or with which the Colleague had dealings related to the Business (other than in a minimal and non-material way).</w:t>
      </w:r>
    </w:p>
    <w:p>
      <w:pPr>
        <w:pStyle w:val="TextBody"/>
        <w:spacing w:before="0" w:after="210"/>
        <w:jc w:val="both"/>
        <w:rPr>
          <w:rFonts w:ascii="Times New Roman" w:hAnsi="Times New Roman"/>
          <w:b w:val="false"/>
          <w:sz w:val="22"/>
        </w:rPr>
      </w:pPr>
      <w:r>
        <w:rPr>
          <w:rFonts w:ascii="Times New Roman" w:hAnsi="Times New Roman"/>
          <w:b w:val="false"/>
          <w:sz w:val="22"/>
        </w:rPr>
        <w:t>1.15.</w:t>
      </w:r>
    </w:p>
    <w:p>
      <w:pPr>
        <w:pStyle w:val="TextBody"/>
        <w:spacing w:before="0" w:after="210"/>
        <w:jc w:val="both"/>
        <w:rPr/>
      </w:pPr>
      <w:r>
        <w:rPr/>
        <w:t>“</w:t>
      </w:r>
      <w:r>
        <w:rPr>
          <w:rFonts w:ascii="Times New Roman;serif" w:hAnsi="Times New Roman;serif"/>
          <w:b/>
          <w:sz w:val="22"/>
        </w:rPr>
        <w:t>Restricted Group</w:t>
      </w:r>
      <w:r>
        <w:rPr/>
        <w:t xml:space="preserve">” </w:t>
      </w:r>
      <w:r>
        <w:rPr>
          <w:rFonts w:ascii="Times New Roman;serif" w:hAnsi="Times New Roman;serif"/>
          <w:b w:val="false"/>
          <w:sz w:val="22"/>
        </w:rPr>
        <w:t xml:space="preserve">shall mean the Company and its Subsidiaries, including the Employer, as in existence during the Colleague’s employment with Employer and as of the date such employment ceases. </w:t>
      </w:r>
    </w:p>
    <w:p>
      <w:pPr>
        <w:pStyle w:val="TextBody"/>
        <w:spacing w:before="0" w:after="210"/>
        <w:jc w:val="both"/>
        <w:rPr>
          <w:rFonts w:ascii="Times New Roman" w:hAnsi="Times New Roman"/>
          <w:b w:val="false"/>
          <w:sz w:val="22"/>
        </w:rPr>
      </w:pPr>
      <w:r>
        <w:rPr>
          <w:rFonts w:ascii="Times New Roman" w:hAnsi="Times New Roman"/>
          <w:b w:val="false"/>
          <w:sz w:val="22"/>
        </w:rPr>
        <w:t>1.16.</w:t>
      </w:r>
    </w:p>
    <w:p>
      <w:pPr>
        <w:pStyle w:val="TextBody"/>
        <w:spacing w:before="0" w:after="210"/>
        <w:jc w:val="both"/>
        <w:rPr/>
      </w:pPr>
      <w:r>
        <w:rPr/>
        <w:t>“</w:t>
      </w:r>
      <w:r>
        <w:rPr>
          <w:rFonts w:ascii="Times New Roman;serif" w:hAnsi="Times New Roman;serif"/>
          <w:b/>
          <w:sz w:val="22"/>
        </w:rPr>
        <w:t>Subsidiary</w:t>
      </w:r>
      <w:r>
        <w:rPr/>
        <w:t xml:space="preserve">” </w:t>
      </w:r>
      <w:r>
        <w:rPr>
          <w:rFonts w:ascii="Times New Roman;serif" w:hAnsi="Times New Roman;serif"/>
          <w:b w:val="false"/>
          <w:sz w:val="22"/>
        </w:rPr>
        <w:t>shall mean a direct and/or indirect subsidiary of the Company as well as any associate company which is designated by the Company as being eligible for participation in the Plan.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3</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Restrictive Covenants and Other Obligations</w:t>
      </w:r>
    </w:p>
    <w:p>
      <w:pPr>
        <w:pStyle w:val="TextBody"/>
        <w:spacing w:before="0" w:after="210"/>
        <w:jc w:val="both"/>
        <w:rPr>
          <w:rFonts w:ascii="Times New Roman" w:hAnsi="Times New Roman"/>
          <w:b w:val="false"/>
          <w:sz w:val="22"/>
        </w:rPr>
      </w:pPr>
      <w:r>
        <w:rPr>
          <w:rFonts w:ascii="Times New Roman" w:hAnsi="Times New Roman"/>
          <w:b w:val="false"/>
          <w:sz w:val="22"/>
        </w:rPr>
        <w:t>3.1.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acknowledges that by virtue of their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3.2.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to a Competitor, or otherwise, except as reasonably may be required to be disclosed by the Colleague in the ordinary performance of their duties for Employer or as required by law. Notwithstanding the foregoing,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pStyle w:val="TextBody"/>
        <w:spacing w:before="0" w:after="210"/>
        <w:jc w:val="both"/>
        <w:rPr>
          <w:rFonts w:ascii="Times New Roman" w:hAnsi="Times New Roman"/>
          <w:b w:val="false"/>
          <w:sz w:val="22"/>
        </w:rPr>
      </w:pPr>
      <w:r>
        <w:rPr>
          <w:rFonts w:ascii="Times New Roman" w:hAnsi="Times New Roman"/>
          <w:b w:val="false"/>
          <w:sz w:val="22"/>
        </w:rPr>
        <w:t>3.3.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pStyle w:val="TextBody"/>
        <w:spacing w:before="0" w:after="210"/>
        <w:jc w:val="both"/>
        <w:rPr>
          <w:rFonts w:ascii="Times New Roman" w:hAnsi="Times New Roman"/>
          <w:b w:val="false"/>
          <w:sz w:val="22"/>
        </w:rPr>
      </w:pPr>
      <w:r>
        <w:rPr>
          <w:rFonts w:ascii="Times New Roman" w:hAnsi="Times New Roman"/>
          <w:b w:val="false"/>
          <w:sz w:val="22"/>
        </w:rPr>
        <w:t>3.4.</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shall not, for the Relevant Period, directly or indirectly for a Competitor or otherwise:</w:t>
      </w:r>
    </w:p>
    <w:p>
      <w:pPr>
        <w:pStyle w:val="TextBody"/>
        <w:spacing w:before="0" w:after="210"/>
        <w:jc w:val="both"/>
        <w:rPr>
          <w:rFonts w:ascii="Times New Roman" w:hAnsi="Times New Roman"/>
          <w:b w:val="false"/>
          <w:sz w:val="22"/>
        </w:rPr>
      </w:pPr>
      <w:r>
        <w:rPr>
          <w:rFonts w:ascii="Times New Roman" w:hAnsi="Times New Roman"/>
          <w:b w:val="false"/>
          <w:sz w:val="22"/>
        </w:rPr>
        <w:t>3.4.1.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within the Relevant Area, solicit any Relevant Client or Relevant Prospect for the purposes of any Business which competes or will compete or seeks to compete with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3.4.2.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within the Relevant Area, accept, perform services for, or deal with any Relevant Client or Relevant Prospect for the purposes of any Business which competes or will compete or seeks to compete with the Restricted Group;</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3.4.3.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solicit for employment or entice away from the Restricted Group any Key Personnel; or</w:t>
      </w:r>
    </w:p>
    <w:p>
      <w:pPr>
        <w:pStyle w:val="TextBody"/>
        <w:spacing w:before="0" w:after="210"/>
        <w:jc w:val="left"/>
        <w:rPr>
          <w:rFonts w:ascii="Times New Roman" w:hAnsi="Times New Roman"/>
          <w:b w:val="false"/>
          <w:sz w:val="22"/>
        </w:rPr>
      </w:pPr>
      <w:r>
        <w:rPr>
          <w:rFonts w:ascii="Times New Roman" w:hAnsi="Times New Roman"/>
          <w:b w:val="false"/>
          <w:sz w:val="22"/>
        </w:rPr>
        <w:t>3.4.4.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employ or engage or endeavour to employ or engage any Key Personnel. </w:t>
      </w:r>
    </w:p>
    <w:p>
      <w:pPr>
        <w:pStyle w:val="TextBody"/>
        <w:spacing w:before="0" w:after="210"/>
        <w:jc w:val="both"/>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3.5.</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To the extent the Colleague is a party to an Employment Agreement or other agreement with the Employer, the Company or any Subsidiary that contains post-employment covenants and restrictions, those post-employment covenants and restrictions shall be separate and apart and independent from the covenants and restrictions set forth in Section 3.2, Section 3.3 and Section 3.4 herein. </w:t>
      </w:r>
    </w:p>
    <w:p>
      <w:pPr>
        <w:pStyle w:val="TextBody"/>
        <w:spacing w:before="0" w:after="210"/>
        <w:jc w:val="both"/>
        <w:rPr>
          <w:rFonts w:ascii="Times New Roman" w:hAnsi="Times New Roman"/>
          <w:b w:val="false"/>
          <w:sz w:val="22"/>
        </w:rPr>
      </w:pPr>
      <w:r>
        <w:rPr>
          <w:rFonts w:ascii="Times New Roman" w:hAnsi="Times New Roman"/>
          <w:b w:val="false"/>
          <w:sz w:val="22"/>
        </w:rPr>
        <w:t>3.6.</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shall not directly or indirectly, at any time during or after the Colleague’s employment with any Employer, take any action or make any statement, written or oral, that disparages or criticizes the business or management of the Employer, the Company or any Subsidiary or any of its or their respective directors, officers, agents, employees, products or services. Nothing contained herein limits or restricts any rights Colleague may have to engage in protected concerted activity under the National Labor Relations Act.</w:t>
      </w:r>
    </w:p>
    <w:p>
      <w:pPr>
        <w:pStyle w:val="TextBody"/>
        <w:spacing w:before="0" w:after="210"/>
        <w:jc w:val="both"/>
        <w:rPr>
          <w:rFonts w:ascii="Times New Roman" w:hAnsi="Times New Roman"/>
          <w:b w:val="false"/>
          <w:sz w:val="22"/>
        </w:rPr>
      </w:pPr>
      <w:r>
        <w:rPr>
          <w:rFonts w:ascii="Times New Roman" w:hAnsi="Times New Roman"/>
          <w:b w:val="false"/>
          <w:sz w:val="22"/>
        </w:rPr>
        <w:t>3.7.</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recognizes and agrees that the payment of damages will not be an adequate remedy for any breach by Colleague of any of the covenants set forth in Section 3 of this RCA. Colleague recognizes that irreparable injury will result to Company and/or its Subsidiaries in the event of any such breach and therefore Colleague agrees that Company may, in addition to recovering damages, proceed in equity to enjoin Colleague from violating any such covenant. </w:t>
      </w:r>
    </w:p>
    <w:p>
      <w:pPr>
        <w:pStyle w:val="TextBody"/>
        <w:spacing w:before="0" w:after="210"/>
        <w:jc w:val="both"/>
        <w:rPr>
          <w:rFonts w:ascii="Times New Roman" w:hAnsi="Times New Roman"/>
          <w:b w:val="false"/>
          <w:sz w:val="22"/>
        </w:rPr>
      </w:pPr>
      <w:r>
        <w:rPr>
          <w:rFonts w:ascii="Times New Roman" w:hAnsi="Times New Roman"/>
          <w:b w:val="false"/>
          <w:sz w:val="22"/>
        </w:rPr>
        <w:t>3.8.</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that the provisions of this Section 3 are fair, reasonable and necessary to protect the goodwill and interests of the Restricted Group.</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4</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Governing Law &amp; Jurisdiction</w:t>
      </w:r>
    </w:p>
    <w:p>
      <w:pPr>
        <w:pStyle w:val="TextBody"/>
        <w:spacing w:before="0" w:after="210"/>
        <w:jc w:val="both"/>
        <w:rPr>
          <w:rFonts w:ascii="Times New Roman" w:hAnsi="Times New Roman"/>
          <w:b w:val="false"/>
          <w:sz w:val="22"/>
        </w:rPr>
      </w:pPr>
      <w:r>
        <w:rPr>
          <w:rFonts w:ascii="Times New Roman" w:hAnsi="Times New Roman"/>
          <w:b w:val="false"/>
          <w:sz w:val="22"/>
        </w:rPr>
        <w:t>4.1.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This RCA shall be governed by and construed in accordance with the laws of the state of New York, without regard to its conflicts of law principles.</w:t>
      </w:r>
    </w:p>
    <w:p>
      <w:pPr>
        <w:pStyle w:val="TextBody"/>
        <w:spacing w:before="0" w:after="210"/>
        <w:jc w:val="both"/>
        <w:rPr>
          <w:rFonts w:ascii="Times New Roman" w:hAnsi="Times New Roman"/>
          <w:b w:val="false"/>
          <w:sz w:val="22"/>
        </w:rPr>
      </w:pPr>
      <w:r>
        <w:rPr>
          <w:rFonts w:ascii="Times New Roman" w:hAnsi="Times New Roman"/>
          <w:b w:val="false"/>
          <w:sz w:val="22"/>
        </w:rPr>
        <w:t>4.2.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Any suit, action or proceeding arising out of or relating to this RCA shall only be brought in the State and Federal Courts located in the County of New York, State of New York and the Parties hereto irrevocably and unconditionally submit accordingly to the exclusive jurisdiction of such courts for the purpose of any such suit, action or proceeding. The Colleague hereby irrevocably and unconditionally waives any objections they may now have or hereafter have to the laying of the venue of any suit, action or proceeding arising out of or relating to this RCA in the foregoing courts. The Colleague further acknowledges that for purposes of N.Y.C.P.L.R. 327(b) and N.Y. G.O.L. Section 5-1402, the value of the Plan is in excess of One Million Dollars ($1,000,000) and the Colleague hereby further irrevocably and unconditionally waives any claim that any such suit, action or proceeding brought in the foregoing courts has been brought in an inconvenient forum. </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5</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 xml:space="preserve">Consideration, Severability, Beneficiaries &amp; Effect on other agreements </w:t>
      </w:r>
    </w:p>
    <w:p>
      <w:pPr>
        <w:pStyle w:val="TextBody"/>
        <w:spacing w:before="0" w:after="210"/>
        <w:jc w:val="both"/>
        <w:rPr>
          <w:rFonts w:ascii="Times New Roman" w:hAnsi="Times New Roman"/>
          <w:b w:val="false"/>
          <w:sz w:val="22"/>
        </w:rPr>
      </w:pPr>
      <w:r>
        <w:rPr>
          <w:rFonts w:ascii="Times New Roman" w:hAnsi="Times New Roman"/>
          <w:b w:val="false"/>
          <w:sz w:val="22"/>
        </w:rPr>
        <w:t>5.1.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Parties acknowledge that the provisions of this RCA are severable. If any part or provision of this RCA shall be determined by any court or tribunal to be invalid, then such partial invalidity shall not cause the remainder of this RCA to be or become invalid. If any provision hereof is held unenforceable on the basis that it exceeds what is reasonable for the protection of the goodwill and interests of the Restricted Group, but would be valid if part of the wording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were modified or deleted, as permitted by applicable law, then such restriction or obligation shall apply with such deletions or modifications as may be necessary to make it enforceable.</w:t>
      </w:r>
      <w:r>
        <w:rPr/>
        <w:t xml:space="preserve"> </w:t>
      </w:r>
    </w:p>
    <w:p>
      <w:pPr>
        <w:pStyle w:val="TextBody"/>
        <w:spacing w:before="0" w:after="210"/>
        <w:jc w:val="both"/>
        <w:rPr>
          <w:rFonts w:ascii="Times New Roman" w:hAnsi="Times New Roman"/>
          <w:b w:val="false"/>
          <w:sz w:val="22"/>
        </w:rPr>
      </w:pPr>
      <w:r>
        <w:rPr>
          <w:rFonts w:ascii="Times New Roman" w:hAnsi="Times New Roman"/>
          <w:b w:val="false"/>
          <w:sz w:val="22"/>
        </w:rPr>
        <w:t>5.2.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acknowledges that they remain bound by any Employment Agreement or any other agreement currently in effect by and between the Colleague, on the one hand, and the Employer, the Company or any Subsidiary, on the other hand, including but not limited to any post-employment covenants and restrictions, and this RCA shall be in addition to, and not in place of any such agreements. </w:t>
      </w:r>
    </w:p>
    <w:p>
      <w:pPr>
        <w:pStyle w:val="TextBody"/>
        <w:spacing w:before="0" w:after="210"/>
        <w:jc w:val="both"/>
        <w:rPr>
          <w:rFonts w:ascii="Times New Roman" w:hAnsi="Times New Roman"/>
          <w:b w:val="false"/>
          <w:sz w:val="22"/>
        </w:rPr>
      </w:pPr>
      <w:r>
        <w:rPr>
          <w:rFonts w:ascii="Times New Roman" w:hAnsi="Times New Roman"/>
          <w:b w:val="false"/>
          <w:sz w:val="22"/>
        </w:rPr>
        <w:t>5.3.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Nothing contained in this RCA constitutes a promise or agreement to employ the Colleague for a guaranteed term or otherwise modify the terms and conditions of the Colleague’s employment with the Employer.</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6</w:t>
      </w:r>
    </w:p>
    <w:p>
      <w:pPr>
        <w:pStyle w:val="TextBody"/>
        <w:spacing w:before="240" w:after="240"/>
        <w:jc w:val="both"/>
        <w:rPr/>
      </w:pPr>
      <w:r>
        <w:rPr/>
        <w:t xml:space="preserve">– </w:t>
      </w:r>
      <w:r>
        <w:rPr>
          <w:rFonts w:ascii="Times New Roman;serif" w:hAnsi="Times New Roman;serif"/>
          <w:b w:val="false"/>
          <w:sz w:val="22"/>
          <w:u w:val="single"/>
        </w:rPr>
        <w:t>Miscellaneous</w:t>
      </w:r>
    </w:p>
    <w:p>
      <w:pPr>
        <w:pStyle w:val="TextBody"/>
        <w:spacing w:before="0" w:after="210"/>
        <w:jc w:val="left"/>
        <w:rPr>
          <w:rFonts w:ascii="Times New Roman" w:hAnsi="Times New Roman"/>
          <w:b w:val="false"/>
          <w:sz w:val="22"/>
        </w:rPr>
      </w:pPr>
      <w:r>
        <w:rPr>
          <w:rFonts w:ascii="Times New Roman" w:hAnsi="Times New Roman"/>
          <w:b w:val="false"/>
          <w:sz w:val="22"/>
        </w:rPr>
        <w:t>6.1.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RCA, and the provisions hereof, may not be modified, amended, terminated, or limited in any fashion except by written agreement signed by both parties hereto, which specifically states that it is modifying, amending or terminating this RCA. </w:t>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6.2.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rights and remedies of the Restricted Group under this RCA shall inure to the benefit of any and all of its/their successors, assigns, parent companies, sister companies, subsidiaries and other affiliated corporations, and the successors and assigns of each of them.</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waiver by either party of any breach of this RCA shall not operate or be construed as a waiver of that party’s rights on any subsequent breach. </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6.4.</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that the Award constitutes adequate consideration to support the covenants and promises made by the Colleague within this RCA regardless of whether such Award is ultimately beneficial to Colleague.</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6.5.</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and agrees that the Colleague shall be obliged to draw the provisions of Section 3 of this RCA to the attention of any third party who may, at any time before or after the termination of the Colleague’s employment with Employer, offer to employ or engage them and for or with whom Colleague intends to work within the Relevant Period.</w:t>
      </w:r>
    </w:p>
    <w:p>
      <w:pPr>
        <w:pStyle w:val="TextBody"/>
        <w:spacing w:before="0" w:after="210"/>
        <w:jc w:val="left"/>
        <w:rPr>
          <w:rFonts w:ascii="Times New Roman" w:hAnsi="Times New Roman"/>
          <w:b w:val="false"/>
          <w:sz w:val="22"/>
        </w:rPr>
      </w:pPr>
      <w:r>
        <w:rPr>
          <w:rFonts w:ascii="Times New Roman" w:hAnsi="Times New Roman"/>
          <w:b w:val="false"/>
          <w:sz w:val="22"/>
        </w:rPr>
        <w:t>6.6.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various section headings contained in this RCA are for the purpose of convenience only and are not intended to define or limit the contents of such sections.</w:t>
      </w:r>
    </w:p>
    <w:p>
      <w:pPr>
        <w:pStyle w:val="TextBody"/>
        <w:spacing w:before="0" w:after="210"/>
        <w:jc w:val="left"/>
        <w:rPr>
          <w:rFonts w:ascii="Times New Roman" w:hAnsi="Times New Roman"/>
          <w:b w:val="false"/>
          <w:sz w:val="22"/>
        </w:rPr>
      </w:pPr>
      <w:r>
        <w:rPr>
          <w:rFonts w:ascii="Times New Roman" w:hAnsi="Times New Roman"/>
          <w:b w:val="false"/>
          <w:sz w:val="22"/>
        </w:rPr>
        <w:t>6.7.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RCA may be executed in one or more counterparts, each of which shall constitute an original and all of which taken together shall constitute one and the same document. This RCA will be binding, notwithstanding that either party’s signature is displayed only on a facsimile or electronic copy of the signature page. </w:t>
      </w:r>
    </w:p>
    <w:p>
      <w:pPr>
        <w:pStyle w:val="TextBody"/>
        <w:spacing w:before="0" w:after="210"/>
        <w:jc w:val="left"/>
        <w:rPr>
          <w:rFonts w:ascii="Times New Roman" w:hAnsi="Times New Roman"/>
          <w:b w:val="false"/>
          <w:sz w:val="22"/>
        </w:rPr>
      </w:pPr>
      <w:r>
        <w:rPr>
          <w:rFonts w:ascii="Times New Roman" w:hAnsi="Times New Roman"/>
          <w:b w:val="false"/>
          <w:sz w:val="22"/>
        </w:rPr>
        <w:t>6.8.</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Any provisions which by their nature survive termination of this RCA, including the obligations set forth in Section 3 and Section 4, shall survive termination of this RCA.</w:t>
      </w:r>
    </w:p>
    <w:p>
      <w:pPr>
        <w:pStyle w:val="TextBody"/>
        <w:spacing w:before="0" w:after="210"/>
        <w:jc w:val="left"/>
        <w:rPr>
          <w:rFonts w:ascii="Times New Roman" w:hAnsi="Times New Roman"/>
          <w:b w:val="false"/>
          <w:sz w:val="22"/>
        </w:rPr>
      </w:pPr>
      <w:r>
        <w:rPr>
          <w:rFonts w:ascii="Times New Roman" w:hAnsi="Times New Roman"/>
          <w:b w:val="false"/>
          <w:sz w:val="22"/>
        </w:rPr>
        <w:t>6.9.</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RCA has been executed on behalf of the Company electronically and the Colleague accepts the electronic signature of the Company.</w:t>
      </w:r>
    </w:p>
    <w:p>
      <w:pPr>
        <w:pStyle w:val="TextBody"/>
        <w:spacing w:before="0" w:after="210"/>
        <w:jc w:val="left"/>
        <w:rPr>
          <w:rFonts w:ascii="Times New Roman" w:hAnsi="Times New Roman"/>
          <w:b w:val="false"/>
          <w:sz w:val="22"/>
        </w:rPr>
      </w:pPr>
      <w:r>
        <w:rPr>
          <w:rFonts w:ascii="Times New Roman" w:hAnsi="Times New Roman"/>
          <w:b w:val="false"/>
          <w:sz w:val="22"/>
        </w:rPr>
        <w:t>6.10.</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Colleague understands that they have the right to consult with an attorney prior to signing this RCA.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A-8</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240"/>
        <w:jc w:val="both"/>
        <w:rPr/>
      </w:pPr>
      <w:r>
        <w:rPr/>
        <w:t> </w:t>
      </w:r>
    </w:p>
    <w:p>
      <w:pPr>
        <w:pStyle w:val="TextBody"/>
        <w:spacing w:before="0" w:after="240"/>
        <w:jc w:val="both"/>
        <w:rPr>
          <w:rFonts w:ascii="Times New Roman;serif" w:hAnsi="Times New Roman;serif"/>
          <w:b/>
          <w:i/>
          <w:sz w:val="22"/>
        </w:rPr>
      </w:pPr>
      <w:r>
        <w:rPr>
          <w:rFonts w:ascii="Times New Roman;serif" w:hAnsi="Times New Roman;serif"/>
          <w:b/>
          <w:i/>
          <w:sz w:val="22"/>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 xml:space="preserve">Title: Chief Human Resources Officer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 _______Colleague 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0" w:after="0"/>
        <w:jc w:val="left"/>
        <w:rPr/>
      </w:pPr>
      <w:r>
        <w:rPr/>
        <w:t> </w:t>
      </w:r>
    </w:p>
    <w:p>
      <w:pPr>
        <w:pStyle w:val="TextBody"/>
        <w:spacing w:before="0" w:after="240"/>
        <w:jc w:val="righ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A-9</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right"/>
        <w:rPr>
          <w:rFonts w:ascii="Times New Roman;serif" w:hAnsi="Times New Roman;serif"/>
          <w:b/>
          <w:sz w:val="22"/>
          <w:u w:val="single"/>
        </w:rPr>
      </w:pPr>
      <w:r>
        <w:rPr>
          <w:rFonts w:ascii="Times New Roman;serif" w:hAnsi="Times New Roman;serif"/>
          <w:b/>
          <w:sz w:val="22"/>
          <w:u w:val="single"/>
        </w:rPr>
        <w:t>SCHEDULE B- OUS</w:t>
      </w:r>
    </w:p>
    <w:p>
      <w:pPr>
        <w:pStyle w:val="TextBody"/>
        <w:spacing w:before="120" w:after="120"/>
        <w:jc w:val="center"/>
        <w:rPr/>
      </w:pPr>
      <w:r>
        <w:rPr/>
        <w:t> </w:t>
      </w:r>
    </w:p>
    <w:p>
      <w:pPr>
        <w:pStyle w:val="TextBody"/>
        <w:spacing w:before="0" w:after="240"/>
        <w:jc w:val="center"/>
        <w:rPr>
          <w:rFonts w:ascii="Times New Roman;serif" w:hAnsi="Times New Roman;serif"/>
          <w:b/>
          <w:sz w:val="22"/>
        </w:rPr>
      </w:pPr>
      <w:r>
        <w:rPr>
          <w:rFonts w:ascii="Times New Roman;serif" w:hAnsi="Times New Roman;serif"/>
          <w:b/>
          <w:sz w:val="22"/>
        </w:rPr>
        <w:t>AGREEMENT OF RESTRICTIVE COVENANTS AND OTHER OBLIGATIONS FOR EMPLOYEES OUTSIDE OF THE UNITED STATES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This Agreement of Restrictive Covenants and Other Obligations for Employees Outside of the United States (the “</w:t>
      </w:r>
      <w:r>
        <w:rPr>
          <w:rFonts w:ascii="Times New Roman;serif" w:hAnsi="Times New Roman;serif"/>
          <w:b w:val="false"/>
          <w:sz w:val="22"/>
          <w:u w:val="single"/>
        </w:rPr>
        <w:t>Non-U.S. RCA</w:t>
      </w:r>
      <w:r>
        <w:rPr>
          <w:rFonts w:ascii="Times New Roman" w:hAnsi="Times New Roman"/>
          <w:sz w:val="20"/>
        </w:rPr>
        <w:t>”</w:t>
      </w:r>
      <w:r>
        <w:rPr>
          <w:rFonts w:ascii="Times New Roman;serif" w:hAnsi="Times New Roman;serif"/>
          <w:b w:val="false"/>
          <w:sz w:val="22"/>
        </w:rPr>
        <w:t>) is entered into by and between Willis Towers Watson Public Limited Company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the Colleague (the “</w:t>
      </w:r>
      <w:r>
        <w:rPr>
          <w:rFonts w:ascii="Times New Roman;serif" w:hAnsi="Times New Roman;serif"/>
          <w:b w:val="false"/>
          <w:sz w:val="22"/>
          <w:u w:val="single"/>
        </w:rPr>
        <w:t>Colleague</w:t>
      </w:r>
      <w:r>
        <w:rPr>
          <w:rFonts w:ascii="Times New Roman" w:hAnsi="Times New Roman"/>
          <w:sz w:val="20"/>
        </w:rPr>
        <w:t>”</w:t>
      </w:r>
      <w:r>
        <w:rPr>
          <w:rFonts w:ascii="Times New Roman;serif" w:hAnsi="Times New Roman;serif"/>
          <w:b w:val="false"/>
          <w:sz w:val="22"/>
        </w:rPr>
        <w:t>) to be effective as of the date the Colleague signs or electronically accepts this Non-U.S. RCA.</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RECITALS</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Colleague is employed by a Subsidiary of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subject to approval by the Committee or the Company’s Share Award Committee, the Colleague has been designated to receive a grant of time-based restricted share units (“</w:t>
      </w:r>
      <w:r>
        <w:rPr>
          <w:rFonts w:ascii="Times New Roman;serif" w:hAnsi="Times New Roman;serif"/>
          <w:b w:val="false"/>
          <w:sz w:val="22"/>
          <w:u w:val="single"/>
        </w:rPr>
        <w:t>RSUs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Awards</w:t>
      </w:r>
      <w:r>
        <w:rPr>
          <w:rFonts w:ascii="Times New Roman" w:hAnsi="Times New Roman"/>
          <w:sz w:val="20"/>
        </w:rPr>
        <w:t>”</w:t>
      </w:r>
      <w:r>
        <w:rPr>
          <w:rFonts w:ascii="Times New Roman;serif" w:hAnsi="Times New Roman;serif"/>
          <w:b w:val="false"/>
          <w:sz w:val="22"/>
        </w:rPr>
        <w:t>) under the Company’s 2012 Equity Incentive Plan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any Award granted to the Colleague is subject to the terms and conditions of the Plan, the award agreement evidencing the Colleague’s Award (including any country specific terms thereto) and this Non-U.S. RCA, and in consideration of the Award, the Colleague shall enter into and acknowledge their agreement to the terms and conditions of the Plan, the award agreement and this RCA; and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Colleague acknowledges and agrees that they desire to receive the Award and understands and agrees such Award is subject to the terms and conditions set forth in the Plan, the applicable award agreement and this Non-U.S. RCA, and such other written agreements and documentation as the Company or the Employer may require.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promises contained herein and for other valuable consideration, in particular the Award, the receipt and sufficiency of which is hereby acknowledged in this recital and within Section 6.4 below, the Parties hereto agree, with the intent to be bound, as follows:</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7</w:t>
      </w:r>
    </w:p>
    <w:p>
      <w:pPr>
        <w:pStyle w:val="TextBody"/>
        <w:spacing w:before="240" w:after="240"/>
        <w:jc w:val="both"/>
        <w:rPr>
          <w:u w:val="single"/>
        </w:rPr>
      </w:pPr>
      <w:r>
        <w:rPr>
          <w:u w:val="single"/>
        </w:rPr>
        <w:t xml:space="preserve">– </w:t>
      </w:r>
      <w:r>
        <w:rPr>
          <w:rFonts w:ascii="Times New Roman;serif" w:hAnsi="Times New Roman;serif"/>
          <w:b w:val="false"/>
          <w:sz w:val="22"/>
          <w:u w:val="single"/>
        </w:rPr>
        <w:t>Recitals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Recitals set forth above are an integral part of this Non-U.S. RCA, and are incorporated herein by reference.</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8</w:t>
      </w:r>
    </w:p>
    <w:p>
      <w:pPr>
        <w:pStyle w:val="TextBody"/>
        <w:spacing w:before="240" w:after="240"/>
        <w:jc w:val="both"/>
        <w:rPr>
          <w:u w:val="single"/>
        </w:rPr>
      </w:pPr>
      <w:r>
        <w:rPr>
          <w:u w:val="single"/>
        </w:rPr>
        <w:t xml:space="preserve">– </w:t>
      </w:r>
      <w:r>
        <w:rPr>
          <w:rFonts w:ascii="Times New Roman;serif" w:hAnsi="Times New Roman;serif"/>
          <w:b w:val="false"/>
          <w:sz w:val="22"/>
          <w:u w:val="single"/>
        </w:rPr>
        <w:t>Definitions</w:t>
      </w:r>
    </w:p>
    <w:p>
      <w:pPr>
        <w:pStyle w:val="TextBody"/>
        <w:spacing w:before="0" w:after="210"/>
        <w:jc w:val="left"/>
        <w:rPr>
          <w:rFonts w:ascii="Times New Roman" w:hAnsi="Times New Roman"/>
          <w:b w:val="false"/>
          <w:sz w:val="22"/>
        </w:rPr>
      </w:pPr>
      <w:r>
        <w:rPr>
          <w:rFonts w:ascii="Times New Roman" w:hAnsi="Times New Roman"/>
          <w:b w:val="false"/>
          <w:sz w:val="22"/>
        </w:rPr>
        <w:t>2.1.</w:t>
      </w:r>
    </w:p>
    <w:p>
      <w:pPr>
        <w:pStyle w:val="TextBody"/>
        <w:spacing w:before="0" w:after="210"/>
        <w:jc w:val="left"/>
        <w:rPr/>
      </w:pPr>
      <w:r>
        <w:rPr/>
        <w:t>“</w:t>
      </w:r>
      <w:r>
        <w:rPr>
          <w:rFonts w:ascii="Times New Roman;serif" w:hAnsi="Times New Roman;serif"/>
          <w:b/>
          <w:sz w:val="22"/>
        </w:rPr>
        <w:t>Award</w:t>
      </w:r>
      <w:r>
        <w:rPr/>
        <w:t xml:space="preserve">” </w:t>
      </w:r>
      <w:r>
        <w:rPr>
          <w:rFonts w:ascii="Times New Roman;serif" w:hAnsi="Times New Roman;serif"/>
          <w:b w:val="false"/>
          <w:sz w:val="22"/>
        </w:rPr>
        <w:t>shall have the meaning as set forth in the recitals.</w:t>
      </w:r>
    </w:p>
    <w:p>
      <w:pPr>
        <w:pStyle w:val="TextBody"/>
        <w:spacing w:before="0" w:after="210"/>
        <w:jc w:val="left"/>
        <w:rPr>
          <w:rFonts w:ascii="Times New Roman" w:hAnsi="Times New Roman"/>
          <w:b w:val="false"/>
          <w:sz w:val="22"/>
        </w:rPr>
      </w:pPr>
      <w:r>
        <w:rPr>
          <w:rFonts w:ascii="Times New Roman" w:hAnsi="Times New Roman"/>
          <w:b w:val="false"/>
          <w:sz w:val="22"/>
        </w:rPr>
        <w:t>2.2.</w:t>
      </w:r>
    </w:p>
    <w:p>
      <w:pPr>
        <w:pStyle w:val="TextBody"/>
        <w:spacing w:before="0" w:after="210"/>
        <w:jc w:val="left"/>
        <w:rPr/>
      </w:pPr>
      <w:r>
        <w:rPr/>
        <w:t>“</w:t>
      </w:r>
      <w:r>
        <w:rPr>
          <w:rFonts w:ascii="Times New Roman;serif" w:hAnsi="Times New Roman;serif"/>
          <w:b/>
          <w:sz w:val="22"/>
        </w:rPr>
        <w:t>Business</w:t>
      </w:r>
      <w:r>
        <w:rPr/>
        <w:t xml:space="preserve">” </w:t>
      </w:r>
      <w:r>
        <w:rPr>
          <w:rFonts w:ascii="Times New Roman;serif" w:hAnsi="Times New Roman;serif"/>
          <w:b w:val="false"/>
          <w:sz w:val="22"/>
        </w:rPr>
        <w:t xml:space="preserve">shall mean insurance brokerage, reinsurance brokerage, surety brokerage, bond brokerage, insurance agency, underwriting agency, managing general agency, risk management, claims administration, self-insurance, risk management consulting or other business performed by the Restricted Group. </w:t>
      </w:r>
    </w:p>
    <w:p>
      <w:pPr>
        <w:pStyle w:val="TextBody"/>
        <w:spacing w:before="0" w:after="210"/>
        <w:jc w:val="left"/>
        <w:rPr>
          <w:rFonts w:ascii="Times New Roman" w:hAnsi="Times New Roman"/>
          <w:b w:val="false"/>
          <w:sz w:val="22"/>
        </w:rPr>
      </w:pPr>
      <w:r>
        <w:rPr>
          <w:rFonts w:ascii="Times New Roman" w:hAnsi="Times New Roman"/>
          <w:b w:val="false"/>
          <w:sz w:val="22"/>
        </w:rPr>
        <w:t>2.3.</w:t>
      </w:r>
    </w:p>
    <w:p>
      <w:pPr>
        <w:pStyle w:val="TextBody"/>
        <w:spacing w:before="0" w:after="210"/>
        <w:jc w:val="left"/>
        <w:rPr/>
      </w:pPr>
      <w:r>
        <w:rPr/>
        <w:t>“</w:t>
      </w:r>
      <w:r>
        <w:rPr>
          <w:rFonts w:ascii="Times New Roman;serif" w:hAnsi="Times New Roman;serif"/>
          <w:b/>
          <w:sz w:val="22"/>
        </w:rPr>
        <w:t>Committee</w:t>
      </w:r>
      <w:r>
        <w:rPr/>
        <w:t xml:space="preserve">” </w:t>
      </w:r>
      <w:r>
        <w:rPr>
          <w:rFonts w:ascii="Times New Roman;serif" w:hAnsi="Times New Roman;serif"/>
          <w:b w:val="false"/>
          <w:sz w:val="22"/>
        </w:rPr>
        <w:t>shall have the same meaning as set forth in the Plan or the applicable award agreement.</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B-1</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2.4.</w:t>
      </w:r>
    </w:p>
    <w:p>
      <w:pPr>
        <w:pStyle w:val="TextBody"/>
        <w:spacing w:before="0" w:after="210"/>
        <w:jc w:val="left"/>
        <w:rPr/>
      </w:pPr>
      <w:r>
        <w:rPr/>
        <w:t>“</w:t>
      </w:r>
      <w:r>
        <w:rPr>
          <w:rFonts w:ascii="Times New Roman;serif" w:hAnsi="Times New Roman;serif"/>
          <w:b/>
          <w:sz w:val="22"/>
        </w:rPr>
        <w:t>Competitor</w:t>
      </w:r>
      <w:r>
        <w:rPr/>
        <w:t xml:space="preserve">” </w:t>
      </w:r>
      <w:r>
        <w:rPr>
          <w:rFonts w:ascii="Times New Roman;serif" w:hAnsi="Times New Roman;serif"/>
          <w:b w:val="false"/>
          <w:sz w:val="22"/>
        </w:rPr>
        <w:t>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pStyle w:val="TextBody"/>
        <w:spacing w:before="0" w:after="210"/>
        <w:jc w:val="left"/>
        <w:rPr>
          <w:rFonts w:ascii="Times New Roman" w:hAnsi="Times New Roman"/>
          <w:b w:val="false"/>
          <w:sz w:val="22"/>
        </w:rPr>
      </w:pPr>
      <w:r>
        <w:rPr>
          <w:rFonts w:ascii="Times New Roman" w:hAnsi="Times New Roman"/>
          <w:b w:val="false"/>
          <w:sz w:val="22"/>
        </w:rPr>
        <w:t>2.5.</w:t>
      </w:r>
    </w:p>
    <w:p>
      <w:pPr>
        <w:pStyle w:val="TextBody"/>
        <w:spacing w:before="0" w:after="210"/>
        <w:jc w:val="left"/>
        <w:rPr/>
      </w:pPr>
      <w:r>
        <w:rPr/>
        <w:t>“</w:t>
      </w:r>
      <w:r>
        <w:rPr>
          <w:rFonts w:ascii="Times New Roman;serif" w:hAnsi="Times New Roman;serif"/>
          <w:b/>
          <w:sz w:val="22"/>
        </w:rPr>
        <w:t>Confidential Information</w:t>
      </w:r>
      <w:r>
        <w:rPr/>
        <w:t xml:space="preserve">” </w:t>
      </w:r>
      <w:r>
        <w:rPr>
          <w:rFonts w:ascii="Times New Roman;serif" w:hAnsi="Times New Roman;serif"/>
          <w:b w:val="false"/>
          <w:sz w:val="22"/>
        </w:rPr>
        <w:t>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pStyle w:val="TextBody"/>
        <w:spacing w:before="0" w:after="210"/>
        <w:jc w:val="left"/>
        <w:rPr>
          <w:rFonts w:ascii="Times New Roman" w:hAnsi="Times New Roman"/>
          <w:b w:val="false"/>
          <w:sz w:val="22"/>
        </w:rPr>
      </w:pPr>
      <w:r>
        <w:rPr>
          <w:rFonts w:ascii="Times New Roman" w:hAnsi="Times New Roman"/>
          <w:b w:val="false"/>
          <w:sz w:val="22"/>
        </w:rPr>
        <w:t>2.6.</w:t>
      </w:r>
    </w:p>
    <w:p>
      <w:pPr>
        <w:pStyle w:val="TextBody"/>
        <w:spacing w:before="0" w:after="210"/>
        <w:jc w:val="left"/>
        <w:rPr/>
      </w:pPr>
      <w:r>
        <w:rPr/>
        <w:t>“</w:t>
      </w:r>
      <w:r>
        <w:rPr>
          <w:rFonts w:ascii="Times New Roman;serif" w:hAnsi="Times New Roman;serif"/>
          <w:b/>
          <w:sz w:val="22"/>
        </w:rPr>
        <w:t>Directly or indirectly</w:t>
      </w:r>
      <w:r>
        <w:rPr/>
        <w:t xml:space="preserve">” </w:t>
      </w:r>
      <w:r>
        <w:rPr>
          <w:rFonts w:ascii="Times New Roman;serif" w:hAnsi="Times New Roman;serif"/>
          <w:b w:val="false"/>
          <w:sz w:val="22"/>
        </w:rPr>
        <w:t>shall mean the Colleague acting either alone or jointly with or on behalf of or by means of any other person, firm or company (whether as principal, partner, manager, employee, contractor, director, consultant, investor or similar capacity).</w:t>
      </w:r>
    </w:p>
    <w:p>
      <w:pPr>
        <w:pStyle w:val="TextBody"/>
        <w:spacing w:before="0" w:after="210"/>
        <w:jc w:val="left"/>
        <w:rPr>
          <w:rFonts w:ascii="Times New Roman" w:hAnsi="Times New Roman"/>
          <w:b w:val="false"/>
          <w:sz w:val="22"/>
        </w:rPr>
      </w:pPr>
      <w:r>
        <w:rPr>
          <w:rFonts w:ascii="Times New Roman" w:hAnsi="Times New Roman"/>
          <w:b w:val="false"/>
          <w:sz w:val="22"/>
        </w:rPr>
        <w:t>2.7.</w:t>
      </w:r>
    </w:p>
    <w:p>
      <w:pPr>
        <w:pStyle w:val="TextBody"/>
        <w:spacing w:before="0" w:after="210"/>
        <w:jc w:val="left"/>
        <w:rPr/>
      </w:pPr>
      <w:r>
        <w:rPr/>
        <w:t>“</w:t>
      </w:r>
      <w:r>
        <w:rPr>
          <w:rFonts w:ascii="Times New Roman;serif" w:hAnsi="Times New Roman;serif"/>
          <w:b/>
          <w:sz w:val="22"/>
        </w:rPr>
        <w:t>Employer</w:t>
      </w:r>
      <w:r>
        <w:rPr/>
        <w:t xml:space="preserve">” </w:t>
      </w:r>
      <w:r>
        <w:rPr>
          <w:rFonts w:ascii="Times New Roman;serif" w:hAnsi="Times New Roman;serif"/>
          <w:b w:val="false"/>
          <w:sz w:val="22"/>
        </w:rPr>
        <w:t>shall mean the Subsidiary that employs the Colleague. If the Company ever becomes an employer of the Colleague, then the term Employer shall refer to the Company.</w:t>
      </w:r>
    </w:p>
    <w:p>
      <w:pPr>
        <w:pStyle w:val="TextBody"/>
        <w:spacing w:before="0" w:after="210"/>
        <w:jc w:val="left"/>
        <w:rPr>
          <w:rFonts w:ascii="Times New Roman" w:hAnsi="Times New Roman"/>
          <w:b w:val="false"/>
          <w:sz w:val="22"/>
        </w:rPr>
      </w:pPr>
      <w:r>
        <w:rPr>
          <w:rFonts w:ascii="Times New Roman" w:hAnsi="Times New Roman"/>
          <w:b w:val="false"/>
          <w:sz w:val="22"/>
        </w:rPr>
        <w:t>2.8.</w:t>
      </w:r>
    </w:p>
    <w:p>
      <w:pPr>
        <w:pStyle w:val="TextBody"/>
        <w:spacing w:before="0" w:after="210"/>
        <w:jc w:val="left"/>
        <w:rPr/>
      </w:pPr>
      <w:r>
        <w:rPr/>
        <w:t>“</w:t>
      </w:r>
      <w:r>
        <w:rPr>
          <w:rFonts w:ascii="Times New Roman;serif" w:hAnsi="Times New Roman;serif"/>
          <w:b/>
          <w:sz w:val="22"/>
        </w:rPr>
        <w:t>Employment Agreement</w:t>
      </w:r>
      <w:r>
        <w:rPr/>
        <w:t xml:space="preserve">” </w:t>
      </w:r>
      <w:r>
        <w:rPr>
          <w:rFonts w:ascii="Times New Roman;serif" w:hAnsi="Times New Roman;serif"/>
          <w:b w:val="false"/>
          <w:sz w:val="22"/>
        </w:rPr>
        <w:t>shall mean the contractual terms and conditions which govern the employment of the Colleague by Employer.</w:t>
      </w:r>
    </w:p>
    <w:p>
      <w:pPr>
        <w:pStyle w:val="TextBody"/>
        <w:spacing w:before="0" w:after="210"/>
        <w:jc w:val="left"/>
        <w:rPr>
          <w:rFonts w:ascii="Times New Roman" w:hAnsi="Times New Roman"/>
          <w:b w:val="false"/>
          <w:sz w:val="22"/>
        </w:rPr>
      </w:pPr>
      <w:r>
        <w:rPr>
          <w:rFonts w:ascii="Times New Roman" w:hAnsi="Times New Roman"/>
          <w:b w:val="false"/>
          <w:sz w:val="22"/>
        </w:rPr>
        <w:t>2.9.</w:t>
      </w:r>
    </w:p>
    <w:p>
      <w:pPr>
        <w:pStyle w:val="TextBody"/>
        <w:spacing w:before="0" w:after="210"/>
        <w:jc w:val="left"/>
        <w:rPr/>
      </w:pPr>
      <w:r>
        <w:rPr/>
        <w:t>“</w:t>
      </w:r>
      <w:r>
        <w:rPr>
          <w:rFonts w:ascii="Times New Roman;serif" w:hAnsi="Times New Roman;serif"/>
          <w:b/>
          <w:sz w:val="22"/>
        </w:rPr>
        <w:t>Garden Leave</w:t>
      </w:r>
      <w:r>
        <w:rPr/>
        <w:t xml:space="preserve">” </w:t>
      </w:r>
      <w:r>
        <w:rPr>
          <w:rFonts w:ascii="Times New Roman;serif" w:hAnsi="Times New Roman;serif"/>
          <w:b w:val="false"/>
          <w:sz w:val="22"/>
        </w:rPr>
        <w:t xml:space="preserve">shall mean any period during any notice period where Employer requires the Colleague to remain available to respond to questions and requests from the Employer, but not to enter into the office(s) of the Restricted Group without the prior written consent of Employer. </w:t>
      </w:r>
    </w:p>
    <w:p>
      <w:pPr>
        <w:pStyle w:val="TextBody"/>
        <w:spacing w:before="0" w:after="210"/>
        <w:jc w:val="left"/>
        <w:rPr>
          <w:rFonts w:ascii="Times New Roman" w:hAnsi="Times New Roman"/>
          <w:b w:val="false"/>
          <w:sz w:val="22"/>
        </w:rPr>
      </w:pPr>
      <w:r>
        <w:rPr>
          <w:rFonts w:ascii="Times New Roman" w:hAnsi="Times New Roman"/>
          <w:b w:val="false"/>
          <w:sz w:val="22"/>
        </w:rPr>
        <w:t>2.10.</w:t>
      </w:r>
    </w:p>
    <w:p>
      <w:pPr>
        <w:pStyle w:val="TextBody"/>
        <w:spacing w:before="0" w:after="210"/>
        <w:jc w:val="left"/>
        <w:rPr/>
      </w:pPr>
      <w:r>
        <w:rPr/>
        <w:t>“</w:t>
      </w:r>
      <w:r>
        <w:rPr>
          <w:rFonts w:ascii="Times New Roman;serif" w:hAnsi="Times New Roman;serif"/>
          <w:b/>
          <w:sz w:val="22"/>
        </w:rPr>
        <w:t>Key Personnel</w:t>
      </w:r>
      <w:r>
        <w:rPr/>
        <w:t xml:space="preserve">” </w:t>
      </w:r>
      <w:r>
        <w:rPr>
          <w:rFonts w:ascii="Times New Roman;serif" w:hAnsi="Times New Roman;serif"/>
          <w:b w:val="false"/>
          <w:sz w:val="22"/>
        </w:rPr>
        <w:t>shall mean any person who is at the date the Colleague ceases to be an employee of Employer or was at any time during the period of twelve months prior to that date employed by the Restricted Group and who was an employee with whom the Colleague had dealings other than in a minimal and non-material way and who was employed by or engaged in the Business in an executive or senior managerial capacity, or was an employee with insurance, reinsurance or other technical expertise.</w:t>
      </w:r>
    </w:p>
    <w:p>
      <w:pPr>
        <w:pStyle w:val="TextBody"/>
        <w:spacing w:before="0" w:after="210"/>
        <w:jc w:val="left"/>
        <w:rPr>
          <w:rFonts w:ascii="Times New Roman" w:hAnsi="Times New Roman"/>
          <w:b w:val="false"/>
          <w:sz w:val="22"/>
        </w:rPr>
      </w:pPr>
      <w:r>
        <w:rPr>
          <w:rFonts w:ascii="Times New Roman" w:hAnsi="Times New Roman"/>
          <w:b w:val="false"/>
          <w:sz w:val="22"/>
        </w:rPr>
        <w:t>2.11.</w:t>
      </w:r>
    </w:p>
    <w:p>
      <w:pPr>
        <w:pStyle w:val="TextBody"/>
        <w:spacing w:before="0" w:after="210"/>
        <w:jc w:val="left"/>
        <w:rPr/>
      </w:pPr>
      <w:r>
        <w:rPr/>
        <w:t>“</w:t>
      </w:r>
      <w:r>
        <w:rPr>
          <w:rFonts w:ascii="Times New Roman;serif" w:hAnsi="Times New Roman;serif"/>
          <w:b/>
          <w:sz w:val="22"/>
        </w:rPr>
        <w:t>Plan</w:t>
      </w:r>
      <w:r>
        <w:rPr/>
        <w:t xml:space="preserve">” </w:t>
      </w:r>
      <w:r>
        <w:rPr>
          <w:rFonts w:ascii="Times New Roman;serif" w:hAnsi="Times New Roman;serif"/>
          <w:b w:val="false"/>
          <w:sz w:val="22"/>
        </w:rPr>
        <w:t>shall have the meaning set forth in the recitals.</w:t>
      </w:r>
    </w:p>
    <w:p>
      <w:pPr>
        <w:pStyle w:val="TextBody"/>
        <w:spacing w:before="0" w:after="210"/>
        <w:jc w:val="left"/>
        <w:rPr>
          <w:rFonts w:ascii="Times New Roman" w:hAnsi="Times New Roman"/>
          <w:b w:val="false"/>
          <w:sz w:val="22"/>
        </w:rPr>
      </w:pPr>
      <w:r>
        <w:rPr>
          <w:rFonts w:ascii="Times New Roman" w:hAnsi="Times New Roman"/>
          <w:b w:val="false"/>
          <w:sz w:val="22"/>
        </w:rPr>
        <w:t>2.12.</w:t>
      </w:r>
    </w:p>
    <w:p>
      <w:pPr>
        <w:pStyle w:val="TextBody"/>
        <w:spacing w:before="0" w:after="210"/>
        <w:jc w:val="left"/>
        <w:rPr/>
      </w:pPr>
      <w:r>
        <w:rPr/>
        <w:t>“</w:t>
      </w:r>
      <w:r>
        <w:rPr>
          <w:rFonts w:ascii="Times New Roman;serif" w:hAnsi="Times New Roman;serif"/>
          <w:b/>
          <w:sz w:val="22"/>
        </w:rPr>
        <w:t>Relevant Area</w:t>
      </w:r>
      <w:r>
        <w:rPr/>
        <w:t xml:space="preserve">” </w:t>
      </w:r>
      <w:r>
        <w:rPr>
          <w:rFonts w:ascii="Times New Roman;serif" w:hAnsi="Times New Roman;serif"/>
          <w:b w:val="false"/>
          <w:sz w:val="22"/>
        </w:rPr>
        <w:t>shall mean: such country or countries in which the Colleague has carried on Business on behalf of the Company or any of its Subsidiaries in which the Colleague has been involved or concerned or worked on other than in a minimal and non-material way at any time during the period of 12 months prior to the date on which the Colleague ceases to be employed by Employer.</w:t>
      </w:r>
    </w:p>
    <w:p>
      <w:pPr>
        <w:pStyle w:val="TextBody"/>
        <w:spacing w:before="0" w:after="210"/>
        <w:jc w:val="left"/>
        <w:rPr>
          <w:rFonts w:ascii="Times New Roman" w:hAnsi="Times New Roman"/>
          <w:b w:val="false"/>
          <w:sz w:val="22"/>
        </w:rPr>
      </w:pPr>
      <w:r>
        <w:rPr>
          <w:rFonts w:ascii="Times New Roman" w:hAnsi="Times New Roman"/>
          <w:b w:val="false"/>
          <w:sz w:val="22"/>
        </w:rPr>
        <w:t>2.13.</w:t>
      </w:r>
    </w:p>
    <w:p>
      <w:pPr>
        <w:pStyle w:val="TextBody"/>
        <w:spacing w:before="0" w:after="210"/>
        <w:jc w:val="left"/>
        <w:rPr/>
      </w:pPr>
      <w:r>
        <w:rPr/>
        <w:t>“</w:t>
      </w:r>
      <w:r>
        <w:rPr>
          <w:rFonts w:ascii="Times New Roman;serif" w:hAnsi="Times New Roman;serif"/>
          <w:b/>
          <w:sz w:val="22"/>
        </w:rPr>
        <w:t>Relevant Client</w:t>
      </w:r>
      <w:r>
        <w:rPr/>
        <w:t xml:space="preserve">” </w:t>
      </w:r>
      <w:r>
        <w:rPr>
          <w:rFonts w:ascii="Times New Roman;serif" w:hAnsi="Times New Roman;serif"/>
          <w:b w:val="false"/>
          <w:sz w:val="22"/>
        </w:rPr>
        <w:t xml:space="preserve">shall mean any person, firm or company who or which at any time during the period of twelve months prior to the date on which the Colleague ceases to be employed by Employer is or was a client or customer of the Company or any of its Subsidiaries or was in the habit and/or practice of dealing under contract with the Company or any of its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B-2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Subsidiaries and with whom or which the Colleague had dealings related to the Business (other than in a minimal and non-material way) or for whose relationship with the Company or any of its Subsidiaries the Colleague had responsibility at any time during the said period.</w:t>
      </w:r>
    </w:p>
    <w:p>
      <w:pPr>
        <w:pStyle w:val="TextBody"/>
        <w:spacing w:before="0" w:after="210"/>
        <w:jc w:val="left"/>
        <w:rPr>
          <w:rFonts w:ascii="Times New Roman" w:hAnsi="Times New Roman"/>
          <w:b w:val="false"/>
          <w:sz w:val="22"/>
        </w:rPr>
      </w:pPr>
      <w:r>
        <w:rPr>
          <w:rFonts w:ascii="Times New Roman" w:hAnsi="Times New Roman"/>
          <w:b w:val="false"/>
          <w:sz w:val="22"/>
        </w:rPr>
        <w:t>2.14.</w:t>
      </w:r>
    </w:p>
    <w:p>
      <w:pPr>
        <w:pStyle w:val="TextBody"/>
        <w:spacing w:before="0" w:after="210"/>
        <w:jc w:val="left"/>
        <w:rPr/>
      </w:pPr>
      <w:r>
        <w:rPr/>
        <w:t>“</w:t>
      </w:r>
      <w:r>
        <w:rPr>
          <w:rFonts w:ascii="Times New Roman;serif" w:hAnsi="Times New Roman;serif"/>
          <w:b/>
          <w:sz w:val="22"/>
        </w:rPr>
        <w:t>Relevant Period</w:t>
      </w:r>
      <w:r>
        <w:rPr/>
        <w:t xml:space="preserve">” </w:t>
      </w:r>
      <w:r>
        <w:rPr>
          <w:rFonts w:ascii="Times New Roman;serif" w:hAnsi="Times New Roman;serif"/>
          <w:b w:val="false"/>
          <w:sz w:val="22"/>
        </w:rPr>
        <w:t xml:space="preserve">shall mean the period of twelve months following the date on which the Colleague ceases to be employed by Employer reduced by the length of any period of Garden Leave (if applicable) observed by the Colleague at the instruction of Employer. </w:t>
      </w:r>
    </w:p>
    <w:p>
      <w:pPr>
        <w:pStyle w:val="TextBody"/>
        <w:spacing w:before="0" w:after="210"/>
        <w:jc w:val="left"/>
        <w:rPr>
          <w:rFonts w:ascii="Times New Roman" w:hAnsi="Times New Roman"/>
          <w:b w:val="false"/>
          <w:sz w:val="22"/>
        </w:rPr>
      </w:pPr>
      <w:r>
        <w:rPr>
          <w:rFonts w:ascii="Times New Roman" w:hAnsi="Times New Roman"/>
          <w:b w:val="false"/>
          <w:sz w:val="22"/>
        </w:rPr>
        <w:t>2.15.</w:t>
      </w:r>
    </w:p>
    <w:p>
      <w:pPr>
        <w:pStyle w:val="TextBody"/>
        <w:spacing w:before="0" w:after="210"/>
        <w:jc w:val="left"/>
        <w:rPr/>
      </w:pPr>
      <w:r>
        <w:rPr/>
        <w:t>“</w:t>
      </w:r>
      <w:r>
        <w:rPr>
          <w:rFonts w:ascii="Times New Roman;serif" w:hAnsi="Times New Roman;serif"/>
          <w:b/>
          <w:sz w:val="22"/>
        </w:rPr>
        <w:t>Relevant Prospect</w:t>
      </w:r>
      <w:r>
        <w:rPr/>
        <w:t xml:space="preserve">” </w:t>
      </w:r>
      <w:r>
        <w:rPr>
          <w:rFonts w:ascii="Times New Roman;serif" w:hAnsi="Times New Roman;serif"/>
          <w:b w:val="false"/>
          <w:sz w:val="22"/>
        </w:rPr>
        <w:t>shall mean any person, firm or company who or which at any time during the period of twelve months prior to the date on which the Colleague ceases to be employed by Employer was an active prospective client of the Company or any of its Subsidiaries with whom or with which the Colleague had dealings related to the Business (other than in a minimal and non-material way).</w:t>
      </w:r>
    </w:p>
    <w:p>
      <w:pPr>
        <w:pStyle w:val="TextBody"/>
        <w:spacing w:before="0" w:after="210"/>
        <w:jc w:val="left"/>
        <w:rPr>
          <w:rFonts w:ascii="Times New Roman" w:hAnsi="Times New Roman"/>
          <w:b w:val="false"/>
          <w:sz w:val="22"/>
        </w:rPr>
      </w:pPr>
      <w:r>
        <w:rPr>
          <w:rFonts w:ascii="Times New Roman" w:hAnsi="Times New Roman"/>
          <w:b w:val="false"/>
          <w:sz w:val="22"/>
        </w:rPr>
        <w:t>2.16.</w:t>
      </w:r>
    </w:p>
    <w:p>
      <w:pPr>
        <w:pStyle w:val="TextBody"/>
        <w:spacing w:before="0" w:after="210"/>
        <w:jc w:val="left"/>
        <w:rPr/>
      </w:pPr>
      <w:r>
        <w:rPr/>
        <w:t>“</w:t>
      </w:r>
      <w:r>
        <w:rPr>
          <w:rFonts w:ascii="Times New Roman;serif" w:hAnsi="Times New Roman;serif"/>
          <w:b/>
          <w:sz w:val="22"/>
        </w:rPr>
        <w:t>Restricted Group</w:t>
      </w:r>
      <w:r>
        <w:rPr/>
        <w:t xml:space="preserve">” </w:t>
      </w:r>
      <w:r>
        <w:rPr>
          <w:rFonts w:ascii="Times New Roman;serif" w:hAnsi="Times New Roman;serif"/>
          <w:b w:val="false"/>
          <w:sz w:val="22"/>
        </w:rPr>
        <w:t xml:space="preserve">shall mean the Company and its Subsidiaries, as in existence during the Colleague’s employment with Employer and as of the date such employment ceases. </w:t>
      </w:r>
    </w:p>
    <w:p>
      <w:pPr>
        <w:pStyle w:val="TextBody"/>
        <w:spacing w:before="0" w:after="210"/>
        <w:jc w:val="left"/>
        <w:rPr>
          <w:rFonts w:ascii="Times New Roman" w:hAnsi="Times New Roman"/>
          <w:b w:val="false"/>
          <w:sz w:val="22"/>
        </w:rPr>
      </w:pPr>
      <w:r>
        <w:rPr>
          <w:rFonts w:ascii="Times New Roman" w:hAnsi="Times New Roman"/>
          <w:b w:val="false"/>
          <w:sz w:val="22"/>
        </w:rPr>
        <w:t>2.17.</w:t>
      </w:r>
    </w:p>
    <w:p>
      <w:pPr>
        <w:pStyle w:val="TextBody"/>
        <w:spacing w:before="0" w:after="210"/>
        <w:jc w:val="left"/>
        <w:rPr/>
      </w:pPr>
      <w:r>
        <w:rPr/>
        <w:t>“</w:t>
      </w:r>
      <w:r>
        <w:rPr>
          <w:rFonts w:ascii="Times New Roman;serif" w:hAnsi="Times New Roman;serif"/>
          <w:b/>
          <w:sz w:val="22"/>
        </w:rPr>
        <w:t>Subsidiary</w:t>
      </w:r>
      <w:r>
        <w:rPr/>
        <w:t xml:space="preserve">” </w:t>
      </w:r>
      <w:r>
        <w:rPr>
          <w:rFonts w:ascii="Times New Roman;serif" w:hAnsi="Times New Roman;serif"/>
          <w:b w:val="false"/>
          <w:sz w:val="22"/>
        </w:rPr>
        <w:t>shall mean a direct and/or indirect subsidiary of the Company as well as any associate company which is designated by the Company as being eligible for participation in the Plan.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9</w:t>
      </w:r>
    </w:p>
    <w:p>
      <w:pPr>
        <w:pStyle w:val="TextBody"/>
        <w:spacing w:before="240" w:after="240"/>
        <w:jc w:val="both"/>
        <w:rPr>
          <w:rFonts w:ascii="Times New Roman;serif" w:hAnsi="Times New Roman;serif"/>
          <w:b w:val="false"/>
          <w:sz w:val="22"/>
          <w:u w:val="single"/>
        </w:rPr>
      </w:pPr>
      <w:r>
        <w:rPr>
          <w:rFonts w:ascii="Times New Roman;serif" w:hAnsi="Times New Roman;serif"/>
          <w:b w:val="false"/>
          <w:sz w:val="22"/>
          <w:u w:val="single"/>
        </w:rPr>
        <w:t>- Restrictive Covenants and Other Obligations</w:t>
      </w:r>
    </w:p>
    <w:p>
      <w:pPr>
        <w:pStyle w:val="TextBody"/>
        <w:spacing w:before="0" w:after="210"/>
        <w:jc w:val="left"/>
        <w:rPr>
          <w:rFonts w:ascii="Times New Roman" w:hAnsi="Times New Roman"/>
          <w:b w:val="false"/>
          <w:sz w:val="22"/>
        </w:rPr>
      </w:pPr>
      <w:r>
        <w:rPr>
          <w:rFonts w:ascii="Times New Roman" w:hAnsi="Times New Roman"/>
          <w:b w:val="false"/>
          <w:sz w:val="22"/>
        </w:rPr>
        <w:t>3.1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Colleague acknowledges that by virtue of their senior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 </w:t>
      </w:r>
    </w:p>
    <w:p>
      <w:pPr>
        <w:pStyle w:val="TextBody"/>
        <w:spacing w:before="0" w:after="210"/>
        <w:jc w:val="left"/>
        <w:rPr>
          <w:rFonts w:ascii="Times New Roman" w:hAnsi="Times New Roman"/>
          <w:b w:val="false"/>
          <w:sz w:val="22"/>
        </w:rPr>
      </w:pPr>
      <w:r>
        <w:rPr>
          <w:rFonts w:ascii="Times New Roman" w:hAnsi="Times New Roman"/>
          <w:b w:val="false"/>
          <w:sz w:val="22"/>
        </w:rPr>
        <w:t>3.2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except as reasonably may be required to be disclosed by the Colleague in the ordinary performance of their duties for Employer or as required by law. Notwithstanding,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pStyle w:val="TextBody"/>
        <w:spacing w:before="0" w:after="210"/>
        <w:jc w:val="left"/>
        <w:rPr>
          <w:rFonts w:ascii="Times New Roman" w:hAnsi="Times New Roman"/>
          <w:b w:val="false"/>
          <w:sz w:val="22"/>
        </w:rPr>
      </w:pPr>
      <w:r>
        <w:rPr>
          <w:rFonts w:ascii="Times New Roman" w:hAnsi="Times New Roman"/>
          <w:b w:val="false"/>
          <w:sz w:val="22"/>
        </w:rPr>
        <w:t>3.3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B-3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3.4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shall provide a minimum of three month’s notice or such notice contained in the Colleague’s Employment Agreement, whichever is the longer, in the event of their resignation from employment with Employer. The Colleague shall provide a written resignation letter to Employer prior to the commencement of any such notice period. To the extent allowed by applicable law, the Colleague may be placed on Garden Leave for all or any portion of any notice period. During the notice period, whether or not the Colleague is on Garden Leave, the Colleague shall remain an employee of Employer and shall continue to receive the Colleague’s full salary and benefits. The Company or Employer shall have the discretion to apply a shorter period than the three-month period set forth in 3.4.</w:t>
      </w:r>
    </w:p>
    <w:p>
      <w:pPr>
        <w:pStyle w:val="TextBody"/>
        <w:spacing w:before="0" w:after="210"/>
        <w:jc w:val="left"/>
        <w:rPr>
          <w:rFonts w:ascii="Times New Roman" w:hAnsi="Times New Roman"/>
          <w:b w:val="false"/>
          <w:sz w:val="22"/>
        </w:rPr>
      </w:pPr>
      <w:r>
        <w:rPr>
          <w:rFonts w:ascii="Times New Roman" w:hAnsi="Times New Roman"/>
          <w:b w:val="false"/>
          <w:sz w:val="22"/>
        </w:rPr>
        <w:t>3.5</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shall not, for the Relevant Period, directly or indirectly:</w:t>
      </w:r>
    </w:p>
    <w:p>
      <w:pPr>
        <w:pStyle w:val="TextBody"/>
        <w:spacing w:before="0" w:after="240"/>
        <w:jc w:val="left"/>
        <w:rPr>
          <w:rFonts w:ascii="Times New Roman" w:hAnsi="Times New Roman"/>
          <w:b w:val="false"/>
          <w:sz w:val="22"/>
        </w:rPr>
      </w:pPr>
      <w:r>
        <w:rPr>
          <w:rFonts w:ascii="Times New Roman" w:hAnsi="Times New Roman"/>
          <w:b w:val="false"/>
          <w:sz w:val="22"/>
        </w:rPr>
        <w:t>3.5.1.</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within the Relevant Area, solicit any Relevant Client or Relevant Prospect for the purposes of any Business which competes or will compete or seeks to compete with the Restricted Group; </w:t>
      </w:r>
    </w:p>
    <w:p>
      <w:pPr>
        <w:pStyle w:val="TextBody"/>
        <w:spacing w:before="0" w:after="240"/>
        <w:jc w:val="left"/>
        <w:rPr>
          <w:rFonts w:ascii="Times New Roman" w:hAnsi="Times New Roman"/>
          <w:b w:val="false"/>
          <w:sz w:val="22"/>
        </w:rPr>
      </w:pPr>
      <w:r>
        <w:rPr>
          <w:rFonts w:ascii="Times New Roman" w:hAnsi="Times New Roman"/>
          <w:b w:val="false"/>
          <w:sz w:val="22"/>
        </w:rPr>
        <w:t>3.5.2.</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within the Relevant Area, accept, perform services for, or deal with any Relevant Client or Relevant Prospect for the purposes of any Business which competes or will compete or seeks to compete with the Restricted Group;</w:t>
      </w:r>
    </w:p>
    <w:p>
      <w:pPr>
        <w:pStyle w:val="TextBody"/>
        <w:spacing w:before="0" w:after="240"/>
        <w:jc w:val="left"/>
        <w:rPr>
          <w:rFonts w:ascii="Times New Roman" w:hAnsi="Times New Roman"/>
          <w:b w:val="false"/>
          <w:sz w:val="22"/>
        </w:rPr>
      </w:pPr>
      <w:r>
        <w:rPr>
          <w:rFonts w:ascii="Times New Roman" w:hAnsi="Times New Roman"/>
          <w:b w:val="false"/>
          <w:sz w:val="22"/>
        </w:rPr>
        <w:t>3.5.3.</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solicit for employment or entice away from the Restricted Group any Key Personnel; or</w:t>
      </w:r>
    </w:p>
    <w:p>
      <w:pPr>
        <w:pStyle w:val="TextBody"/>
        <w:spacing w:before="0" w:after="240"/>
        <w:jc w:val="left"/>
        <w:rPr>
          <w:rFonts w:ascii="Times New Roman" w:hAnsi="Times New Roman"/>
          <w:b w:val="false"/>
          <w:sz w:val="22"/>
        </w:rPr>
      </w:pPr>
      <w:r>
        <w:rPr>
          <w:rFonts w:ascii="Times New Roman" w:hAnsi="Times New Roman"/>
          <w:b w:val="false"/>
          <w:sz w:val="22"/>
        </w:rPr>
        <w:t>3.5.4.</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employ or engage or endeavour to employ or engage any Key Personnel. </w:t>
      </w:r>
    </w:p>
    <w:p>
      <w:pPr>
        <w:pStyle w:val="TextBody"/>
        <w:spacing w:before="0" w:after="210"/>
        <w:jc w:val="left"/>
        <w:rPr>
          <w:rFonts w:ascii="Times New Roman" w:hAnsi="Times New Roman"/>
          <w:b w:val="false"/>
          <w:sz w:val="22"/>
        </w:rPr>
      </w:pPr>
      <w:r>
        <w:rPr>
          <w:rFonts w:ascii="Times New Roman" w:hAnsi="Times New Roman"/>
          <w:b w:val="false"/>
          <w:sz w:val="22"/>
        </w:rPr>
        <w:t>3.6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To the extent the Colleague is a party to an Employment Agreement or other agreement with the Restricted Group that contains post-employment restrictions, those post-employment restrictions shall run concurrently with the post-employment restrictions contained in this Section 3. </w:t>
      </w:r>
    </w:p>
    <w:p>
      <w:pPr>
        <w:pStyle w:val="TextBody"/>
        <w:spacing w:before="0" w:after="210"/>
        <w:jc w:val="left"/>
        <w:rPr>
          <w:rFonts w:ascii="Times New Roman" w:hAnsi="Times New Roman"/>
          <w:b w:val="false"/>
          <w:sz w:val="22"/>
        </w:rPr>
      </w:pPr>
      <w:r>
        <w:rPr>
          <w:rFonts w:ascii="Times New Roman" w:hAnsi="Times New Roman"/>
          <w:b w:val="false"/>
          <w:sz w:val="22"/>
        </w:rPr>
        <w:t>3.7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 provisions of this Section 3 are fair, reasonable and necessary to protect the goodwill and interests of the Restricted Group.</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10</w:t>
      </w:r>
    </w:p>
    <w:p>
      <w:pPr>
        <w:pStyle w:val="TextBody"/>
        <w:spacing w:before="240" w:after="240"/>
        <w:jc w:val="both"/>
        <w:rPr>
          <w:u w:val="single"/>
        </w:rPr>
      </w:pPr>
      <w:r>
        <w:rPr>
          <w:u w:val="single"/>
        </w:rPr>
        <w:t xml:space="preserve">– </w:t>
      </w:r>
      <w:r>
        <w:rPr>
          <w:rFonts w:ascii="Times New Roman;serif" w:hAnsi="Times New Roman;serif"/>
          <w:b w:val="false"/>
          <w:sz w:val="22"/>
          <w:u w:val="single"/>
        </w:rPr>
        <w:t>Non-Disparagement</w:t>
      </w:r>
    </w:p>
    <w:p>
      <w:pPr>
        <w:pStyle w:val="TextBody"/>
        <w:spacing w:before="0" w:after="210"/>
        <w:jc w:val="left"/>
        <w:rPr>
          <w:rFonts w:ascii="Times New Roman" w:hAnsi="Times New Roman"/>
          <w:b w:val="false"/>
          <w:sz w:val="22"/>
        </w:rPr>
      </w:pPr>
      <w:r>
        <w:rPr>
          <w:rFonts w:ascii="Times New Roman" w:hAnsi="Times New Roman"/>
          <w:b w:val="false"/>
          <w:sz w:val="22"/>
        </w:rPr>
        <w:t>4.1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Employer and Colleague agree not to act in any manner detrimental to each other or cause to be made any derogatory statements concerning each other (including an obligation on the Employer and Colleague not to make any statement whether oral or in writing which may have the effect of damaging the reputation of the other) including, in Colleague’s case, concerning the business, officers, employees, directors (including any non-executive directors or former directors), consultants, agents, distributors, clients or customers (whether former or current) or otherwise of the Restricted Group.</w:t>
      </w:r>
    </w:p>
    <w:p>
      <w:pPr>
        <w:pStyle w:val="TextBody"/>
        <w:spacing w:before="0" w:after="210"/>
        <w:jc w:val="left"/>
        <w:rPr>
          <w:rFonts w:ascii="Times New Roman" w:hAnsi="Times New Roman"/>
          <w:b w:val="false"/>
          <w:sz w:val="22"/>
        </w:rPr>
      </w:pPr>
      <w:r>
        <w:rPr>
          <w:rFonts w:ascii="Times New Roman" w:hAnsi="Times New Roman"/>
          <w:b w:val="false"/>
          <w:sz w:val="22"/>
        </w:rPr>
        <w:t>4.2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Employer and Colleague further agree that without the prior written consent of the other party they shall not make, or cause to be made, any statement or comment to the press (whether local, national or specialist) or any other media concerning Colleague’s employment with the Employer or, where applicable, their termination of employment for any reason.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11</w:t>
      </w:r>
    </w:p>
    <w:p>
      <w:pPr>
        <w:pStyle w:val="TextBody"/>
        <w:spacing w:before="240" w:after="240"/>
        <w:jc w:val="both"/>
        <w:rPr>
          <w:rFonts w:ascii="Times New Roman;serif" w:hAnsi="Times New Roman;serif"/>
          <w:b w:val="false"/>
          <w:sz w:val="22"/>
          <w:u w:val="single"/>
        </w:rPr>
      </w:pPr>
      <w:r>
        <w:rPr>
          <w:rFonts w:ascii="Times New Roman;serif" w:hAnsi="Times New Roman;serif"/>
          <w:b w:val="false"/>
          <w:sz w:val="22"/>
          <w:u w:val="single"/>
        </w:rPr>
        <w:t>- Governing Law &amp; Jurisdiction</w:t>
      </w:r>
    </w:p>
    <w:p>
      <w:pPr>
        <w:pStyle w:val="TextBody"/>
        <w:spacing w:before="0" w:after="210"/>
        <w:jc w:val="left"/>
        <w:rPr>
          <w:rFonts w:ascii="Times New Roman" w:hAnsi="Times New Roman"/>
          <w:b w:val="false"/>
          <w:sz w:val="22"/>
        </w:rPr>
      </w:pPr>
      <w:r>
        <w:rPr>
          <w:rFonts w:ascii="Times New Roman" w:hAnsi="Times New Roman"/>
          <w:b w:val="false"/>
          <w:sz w:val="22"/>
        </w:rPr>
        <w:t>5.1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Non-U.S. RCA shall be governed by and construed in accordance with the laws of the jurisdiction in which Colleague is employed by Employer, without regard to its conflict of laws.</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B-4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5.2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courts of the jurisdiction in which the Colleague is employed by Employer shall have jurisdiction to hear any suit, action or proceeding and to settle any disputes which may arise out of or in connection with this Non-U.S. RCA and for such purposes the parties hereto irrevocably submit to the jurisdiction of such courts. </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12</w:t>
      </w:r>
    </w:p>
    <w:p>
      <w:pPr>
        <w:pStyle w:val="TextBody"/>
        <w:spacing w:before="240" w:after="240"/>
        <w:jc w:val="both"/>
        <w:rPr>
          <w:u w:val="single"/>
        </w:rPr>
      </w:pPr>
      <w:r>
        <w:rPr>
          <w:u w:val="single"/>
        </w:rPr>
        <w:t xml:space="preserve">– </w:t>
      </w:r>
      <w:r>
        <w:rPr>
          <w:rFonts w:ascii="Times New Roman;serif" w:hAnsi="Times New Roman;serif"/>
          <w:b w:val="false"/>
          <w:sz w:val="22"/>
          <w:u w:val="single"/>
        </w:rPr>
        <w:t xml:space="preserve">Consideration, Severability, Beneficiaries &amp; Effect on Other Agreements </w:t>
      </w:r>
    </w:p>
    <w:p>
      <w:pPr>
        <w:pStyle w:val="TextBody"/>
        <w:spacing w:before="0" w:after="210"/>
        <w:jc w:val="left"/>
        <w:rPr>
          <w:rFonts w:ascii="Times New Roman" w:hAnsi="Times New Roman"/>
          <w:b w:val="false"/>
          <w:sz w:val="22"/>
        </w:rPr>
      </w:pPr>
      <w:r>
        <w:rPr>
          <w:rFonts w:ascii="Times New Roman" w:hAnsi="Times New Roman"/>
          <w:b w:val="false"/>
          <w:sz w:val="22"/>
        </w:rPr>
        <w:t>6.1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 covenants and undertakings they have made herein, including those made in Section 3, are being given for the benefit of the Restricted Group, including Employer, and may be enforced by the Company and/or by its Subsidiaries, including for avoidance of doubt, Employer, on behalf of all or any of them and that such Subsidiaries are intended beneficiaries of this Non-U.S. RCA.</w:t>
      </w:r>
    </w:p>
    <w:p>
      <w:pPr>
        <w:pStyle w:val="TextBody"/>
        <w:spacing w:before="0" w:after="210"/>
        <w:jc w:val="left"/>
        <w:rPr>
          <w:rFonts w:ascii="Times New Roman" w:hAnsi="Times New Roman"/>
          <w:b w:val="false"/>
          <w:sz w:val="22"/>
        </w:rPr>
      </w:pPr>
      <w:r>
        <w:rPr>
          <w:rFonts w:ascii="Times New Roman" w:hAnsi="Times New Roman"/>
          <w:b w:val="false"/>
          <w:sz w:val="22"/>
        </w:rPr>
        <w:t>6.2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parties acknowledge that the provisions of this Non-U.S. RCA are severable. If any part or provision of this Non-U.S. RCA shall be determined by any court or tribunal to be invalid, then such partial invalidity shall not cause the remainder of this Non-U.S. RCA to be or become invalid. If any provision hereof is held unenforceable on the basis that it exceeds what is reasonable for the protection of the goodwill and interests of the Restricted Group, but would be valid if part of the wording were modified or deleted, as permitted by applicable law, then such restriction or obligation shall apply with such deletions or modifications as may be necessary to make it enforceable. </w:t>
      </w:r>
    </w:p>
    <w:p>
      <w:pPr>
        <w:pStyle w:val="TextBody"/>
        <w:spacing w:before="0" w:after="210"/>
        <w:jc w:val="left"/>
        <w:rPr>
          <w:rFonts w:ascii="Times New Roman" w:hAnsi="Times New Roman"/>
          <w:b w:val="false"/>
          <w:sz w:val="22"/>
        </w:rPr>
      </w:pPr>
      <w:r>
        <w:rPr>
          <w:rFonts w:ascii="Times New Roman" w:hAnsi="Times New Roman"/>
          <w:b w:val="false"/>
          <w:sz w:val="22"/>
        </w:rPr>
        <w:t>6.3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they remain bound by any Employment Agreement or any other agreement entered into by the Colleague with the Restricted Group and this Non-U.S. RCA shall be in addition to, and not in place of any such agreements. The Colleague further acknowledges that in the event of any breach by the Colleague of any provision contained in such agreements or this Non-U.S. RCA, the Company and/or any Subsidiary, including for avoidance of doubt Employer, may, in their discretion, enforce any term and condition of those agreements and/or this Non-U.S. RCA.</w:t>
      </w:r>
    </w:p>
    <w:p>
      <w:pPr>
        <w:pStyle w:val="TextBody"/>
        <w:spacing w:before="0" w:after="210"/>
        <w:jc w:val="left"/>
        <w:rPr>
          <w:rFonts w:ascii="Times New Roman" w:hAnsi="Times New Roman"/>
          <w:b w:val="false"/>
          <w:sz w:val="22"/>
        </w:rPr>
      </w:pPr>
      <w:r>
        <w:rPr>
          <w:rFonts w:ascii="Times New Roman" w:hAnsi="Times New Roman"/>
          <w:b w:val="false"/>
          <w:sz w:val="22"/>
        </w:rPr>
        <w:t>6.4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any Awards, separately and/or together, constitute adequate consideration to support the covenants and promises made by the Colleague within this Non-U.S. RCA.</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13</w:t>
      </w:r>
    </w:p>
    <w:p>
      <w:pPr>
        <w:pStyle w:val="TextBody"/>
        <w:spacing w:before="240" w:after="240"/>
        <w:jc w:val="both"/>
        <w:rPr>
          <w:u w:val="single"/>
        </w:rPr>
      </w:pPr>
      <w:r>
        <w:rPr>
          <w:u w:val="single"/>
        </w:rPr>
        <w:t xml:space="preserve">– </w:t>
      </w:r>
      <w:r>
        <w:rPr>
          <w:rFonts w:ascii="Times New Roman;serif" w:hAnsi="Times New Roman;serif"/>
          <w:b w:val="false"/>
          <w:sz w:val="22"/>
          <w:u w:val="single"/>
        </w:rPr>
        <w:t>Miscellaneous</w:t>
      </w:r>
    </w:p>
    <w:p>
      <w:pPr>
        <w:pStyle w:val="TextBody"/>
        <w:spacing w:before="0" w:after="210"/>
        <w:jc w:val="left"/>
        <w:rPr>
          <w:rFonts w:ascii="Times New Roman" w:hAnsi="Times New Roman"/>
          <w:b w:val="false"/>
          <w:sz w:val="22"/>
        </w:rPr>
      </w:pPr>
      <w:r>
        <w:rPr>
          <w:rFonts w:ascii="Times New Roman" w:hAnsi="Times New Roman"/>
          <w:b w:val="false"/>
          <w:sz w:val="22"/>
        </w:rPr>
        <w:t>7.1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Non-U.S. RCA may not be modified except by written agreement signed by both parties hereto.</w:t>
      </w:r>
    </w:p>
    <w:p>
      <w:pPr>
        <w:pStyle w:val="TextBody"/>
        <w:spacing w:before="0" w:after="210"/>
        <w:jc w:val="left"/>
        <w:rPr>
          <w:rFonts w:ascii="Times New Roman" w:hAnsi="Times New Roman"/>
          <w:b w:val="false"/>
          <w:sz w:val="22"/>
        </w:rPr>
      </w:pPr>
      <w:r>
        <w:rPr>
          <w:rFonts w:ascii="Times New Roman" w:hAnsi="Times New Roman"/>
          <w:b w:val="false"/>
          <w:sz w:val="22"/>
        </w:rPr>
        <w:t>7.2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rights of the Restricted Group under this Non-U.S. RCA shall inure to the benefit of any and all of its/their successors, assigns, parent companies, sister companies, subsidiaries and other affiliated corporations.</w:t>
      </w:r>
    </w:p>
    <w:p>
      <w:pPr>
        <w:pStyle w:val="TextBody"/>
        <w:spacing w:before="0" w:after="210"/>
        <w:jc w:val="left"/>
        <w:rPr>
          <w:rFonts w:ascii="Times New Roman" w:hAnsi="Times New Roman"/>
          <w:b w:val="false"/>
          <w:sz w:val="22"/>
        </w:rPr>
      </w:pPr>
      <w:r>
        <w:rPr>
          <w:rFonts w:ascii="Times New Roman" w:hAnsi="Times New Roman"/>
          <w:b w:val="false"/>
          <w:sz w:val="22"/>
        </w:rPr>
        <w:t>7.3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waiver by either party of any breach of this Non-U.S. RCA shall not operate or be construed as a waiver of that party’s rights on any subsequent breach. </w:t>
      </w:r>
    </w:p>
    <w:p>
      <w:pPr>
        <w:pStyle w:val="TextBody"/>
        <w:spacing w:before="0" w:after="210"/>
        <w:jc w:val="left"/>
        <w:rPr>
          <w:rFonts w:ascii="Times New Roman" w:hAnsi="Times New Roman"/>
          <w:b w:val="false"/>
          <w:sz w:val="22"/>
        </w:rPr>
      </w:pPr>
      <w:r>
        <w:rPr>
          <w:rFonts w:ascii="Times New Roman" w:hAnsi="Times New Roman"/>
          <w:b w:val="false"/>
          <w:sz w:val="22"/>
        </w:rPr>
        <w:t>7.4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and agrees that the Colleague shall be obliged to draw the provisions of Section 3 to the attention of any third party who may, at any time before or after the termination of the Colleague’s employment with Employer, offer to employ or engage them and for or with whom the Colleague intends to work within the Relevant Period.</w:t>
      </w:r>
    </w:p>
    <w:p>
      <w:pPr>
        <w:pStyle w:val="TextBody"/>
        <w:spacing w:before="0" w:after="210"/>
        <w:jc w:val="left"/>
        <w:rPr>
          <w:rFonts w:ascii="Times New Roman" w:hAnsi="Times New Roman"/>
          <w:b w:val="false"/>
          <w:sz w:val="22"/>
        </w:rPr>
      </w:pPr>
      <w:r>
        <w:rPr>
          <w:rFonts w:ascii="Times New Roman" w:hAnsi="Times New Roman"/>
          <w:b w:val="false"/>
          <w:sz w:val="22"/>
        </w:rPr>
        <w:t>7.5</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various section headings contained in this Non-U.S. RCA are for the purpose of convenience only and are not intended to define or limit the contents of such sections.</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B-5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7.6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Non-U.S. RCA may be executed in one or more counterparts, each of which shall constitute an original and all of which taken together shall constitute one and the same document. This Non-U.S. RCA will be binding, notwithstanding that either party’s signature is displayed only on a facsimile or electronic copy of the signature page. </w:t>
      </w:r>
    </w:p>
    <w:p>
      <w:pPr>
        <w:pStyle w:val="TextBody"/>
        <w:spacing w:before="0" w:after="210"/>
        <w:jc w:val="left"/>
        <w:rPr>
          <w:rFonts w:ascii="Times New Roman" w:hAnsi="Times New Roman"/>
          <w:b w:val="false"/>
          <w:sz w:val="22"/>
        </w:rPr>
      </w:pPr>
      <w:r>
        <w:rPr>
          <w:rFonts w:ascii="Times New Roman" w:hAnsi="Times New Roman"/>
          <w:b w:val="false"/>
          <w:sz w:val="22"/>
        </w:rPr>
        <w:t>7.7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Any provisions which by their nature survive termination of this Non-U.S. RCA, including the obligations set forth in Sections 3 and 4 shall survive termination of this Non-U.S. RCA.</w:t>
      </w:r>
    </w:p>
    <w:p>
      <w:pPr>
        <w:pStyle w:val="TextBody"/>
        <w:spacing w:before="0" w:after="210"/>
        <w:jc w:val="left"/>
        <w:rPr>
          <w:rFonts w:ascii="Times New Roman" w:hAnsi="Times New Roman"/>
          <w:b w:val="false"/>
          <w:sz w:val="22"/>
        </w:rPr>
      </w:pPr>
      <w:r>
        <w:rPr>
          <w:rFonts w:ascii="Times New Roman" w:hAnsi="Times New Roman"/>
          <w:b w:val="false"/>
          <w:sz w:val="22"/>
        </w:rPr>
        <w:t>7.8</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understands that they have the right to consult with an attorney prior to signing this Non-U.S. RCA.</w:t>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i/>
          <w:sz w:val="22"/>
        </w:rPr>
        <w:t>By the Colleague’s execution or electronic acceptance of this RCA</w:t>
      </w:r>
      <w:r>
        <w:rPr>
          <w:rFonts w:ascii="Times New Roman" w:hAnsi="Times New Roman"/>
          <w:sz w:val="20"/>
        </w:rPr>
        <w:t xml:space="preserve"> </w:t>
      </w:r>
      <w:r>
        <w:rPr>
          <w:rFonts w:ascii="Times New Roman;serif" w:hAnsi="Times New Roman;serif"/>
          <w:b/>
          <w:i/>
          <w:sz w:val="22"/>
        </w:rPr>
        <w:t>in the manner specified in the Colleague’s online account with the Company’s designated broker/stock plan administrator, the Colleague and the Company have agreed to the terms and conditions of this RCA in connection with the Colleague’s Award.</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Chief Human Resources Officer</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 _______Colleague 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B-6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SCHEDULE C</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Willis Towers Watson</w:t>
      </w:r>
    </w:p>
    <w:p>
      <w:pPr>
        <w:pStyle w:val="TextBody"/>
        <w:spacing w:before="0" w:after="240"/>
        <w:jc w:val="center"/>
        <w:rPr>
          <w:rFonts w:ascii="Times New Roman;serif" w:hAnsi="Times New Roman;serif"/>
          <w:b/>
          <w:sz w:val="22"/>
        </w:rPr>
      </w:pPr>
      <w:r>
        <w:rPr>
          <w:rFonts w:ascii="Times New Roman;serif" w:hAnsi="Times New Roman;serif"/>
          <w:b/>
          <w:sz w:val="22"/>
        </w:rPr>
        <w:t>Global Employee Personal Information Protection Notice</w:t>
      </w:r>
    </w:p>
    <w:p>
      <w:pPr>
        <w:pStyle w:val="TextBody"/>
        <w:spacing w:before="0" w:after="0"/>
        <w:jc w:val="right"/>
        <w:rPr>
          <w:rFonts w:ascii="Times New Roman" w:hAnsi="Times New Roman"/>
          <w:sz w:val="20"/>
        </w:rPr>
      </w:pPr>
      <w:r>
        <w:rPr>
          <w:rFonts w:ascii="Times New Roman;serif" w:hAnsi="Times New Roman;serif"/>
          <w:b/>
          <w:sz w:val="22"/>
          <w:u w:val="single"/>
        </w:rPr>
        <w:t>Last Updated</w:t>
      </w:r>
      <w:r>
        <w:rPr>
          <w:rFonts w:ascii="Times New Roman;serif" w:hAnsi="Times New Roman;serif"/>
          <w:b/>
          <w:sz w:val="22"/>
        </w:rPr>
        <w:t>: January 2023</w:t>
      </w:r>
    </w:p>
    <w:p>
      <w:pPr>
        <w:pStyle w:val="TextBody"/>
        <w:spacing w:before="0" w:after="210"/>
        <w:jc w:val="both"/>
        <w:rPr>
          <w:rFonts w:ascii="Times New Roman" w:hAnsi="Times New Roman"/>
          <w:b/>
          <w:sz w:val="22"/>
        </w:rPr>
      </w:pPr>
      <w:r>
        <w:rPr>
          <w:rFonts w:ascii="Times New Roman" w:hAnsi="Times New Roman"/>
          <w:b/>
          <w:sz w:val="22"/>
        </w:rPr>
        <w:t>1.</w:t>
      </w:r>
    </w:p>
    <w:p>
      <w:pPr>
        <w:pStyle w:val="TextBody"/>
        <w:spacing w:before="0" w:after="210"/>
        <w:jc w:val="both"/>
        <w:rPr>
          <w:rFonts w:ascii="Times New Roman;serif" w:hAnsi="Times New Roman;serif"/>
          <w:b/>
          <w:sz w:val="22"/>
        </w:rPr>
      </w:pPr>
      <w:r>
        <w:rPr>
          <w:rFonts w:ascii="Times New Roman;serif" w:hAnsi="Times New Roman;serif"/>
          <w:b/>
          <w:sz w:val="22"/>
        </w:rPr>
        <w:t>Introduction</w:t>
      </w:r>
    </w:p>
    <w:p>
      <w:pPr>
        <w:pStyle w:val="TextBody"/>
        <w:spacing w:before="0" w:after="210"/>
        <w:jc w:val="both"/>
        <w:rPr>
          <w:rFonts w:ascii="Times New Roman" w:hAnsi="Times New Roman"/>
          <w:sz w:val="20"/>
        </w:rPr>
      </w:pPr>
      <w:r>
        <w:rPr>
          <w:rFonts w:ascii="Times New Roman;serif" w:hAnsi="Times New Roman;serif"/>
          <w:b w:val="false"/>
          <w:sz w:val="22"/>
        </w:rPr>
        <w:t>Willis Towers Watson operates as a global business through its affiliated entities (together “the Willis Towers Watson Group”). The Willis Towers Watson Group values the trust of its employees worldwide and is committed to protecting their personal information.</w:t>
      </w:r>
      <w:r>
        <w:rPr>
          <w:rFonts w:ascii="Times New Roman" w:hAnsi="Times New Roman"/>
          <w:sz w:val="20"/>
        </w:rPr>
        <w:t xml:space="preserve"> </w:t>
      </w:r>
    </w:p>
    <w:p>
      <w:pPr>
        <w:pStyle w:val="TextBody"/>
        <w:spacing w:before="0" w:after="210"/>
        <w:jc w:val="both"/>
        <w:rPr>
          <w:rFonts w:ascii="Times New Roman" w:hAnsi="Times New Roman"/>
          <w:sz w:val="20"/>
        </w:rPr>
      </w:pPr>
      <w:r>
        <w:rPr>
          <w:rFonts w:ascii="Times New Roman;serif" w:hAnsi="Times New Roman;serif"/>
          <w:b w:val="false"/>
          <w:sz w:val="22"/>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 Where applicable there may be additional local notices that you should refer to for specific information related to your regions.</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pStyle w:val="TextBody"/>
        <w:spacing w:before="0" w:after="210"/>
        <w:jc w:val="both"/>
        <w:rPr>
          <w:rFonts w:ascii="Times New Roman" w:hAnsi="Times New Roman"/>
          <w:b/>
          <w:sz w:val="22"/>
        </w:rPr>
      </w:pPr>
      <w:r>
        <w:rPr>
          <w:rFonts w:ascii="Times New Roman" w:hAnsi="Times New Roman"/>
          <w:b/>
          <w:sz w:val="22"/>
        </w:rPr>
        <w:t>2.</w:t>
      </w:r>
    </w:p>
    <w:p>
      <w:pPr>
        <w:pStyle w:val="TextBody"/>
        <w:spacing w:before="0" w:after="210"/>
        <w:jc w:val="both"/>
        <w:rPr>
          <w:rFonts w:ascii="Times New Roman;serif" w:hAnsi="Times New Roman;serif"/>
          <w:b/>
          <w:sz w:val="22"/>
        </w:rPr>
      </w:pPr>
      <w:r>
        <w:rPr>
          <w:rFonts w:ascii="Times New Roman;serif" w:hAnsi="Times New Roman;serif"/>
          <w:b/>
          <w:sz w:val="22"/>
        </w:rPr>
        <w:t>What Personal Information about you that we collect, and how we collect Your Personal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In the course of your employment, we may have collected or will collect information about you and your working relationship with us, your spouse, domestic/civil partner and/or dependents (“Dependents”). We refer to such information as “Personal Information” throughout this Notice.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pStyle w:val="TextBody"/>
        <w:spacing w:before="0" w:after="210"/>
        <w:jc w:val="both"/>
        <w:rPr>
          <w:rFonts w:ascii="Times New Roman" w:hAnsi="Times New Roman"/>
          <w:sz w:val="20"/>
        </w:rPr>
      </w:pPr>
      <w:r>
        <w:rPr>
          <w:rFonts w:ascii="Times New Roman;serif" w:hAnsi="Times New Roman;serif"/>
          <w:b/>
          <w:sz w:val="22"/>
        </w:rPr>
        <w:t>Sources of Personal Information</w:t>
      </w:r>
      <w:r>
        <w:rPr>
          <w:rFonts w:ascii="Times New Roman" w:hAnsi="Times New Roman"/>
          <w:sz w:val="20"/>
        </w:rPr>
        <w:t xml:space="preserve"> </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also collect certain Personal Information about you from other sources, including:</w:t>
      </w:r>
    </w:p>
    <w:p>
      <w:pPr>
        <w:pStyle w:val="TextBody"/>
        <w:spacing w:before="0" w:after="0"/>
        <w:jc w:val="left"/>
        <w:rPr>
          <w:rFonts w:ascii="Times New Roman;serif" w:hAnsi="Times New Roman;serif"/>
          <w:b w:val="false"/>
          <w:sz w:val="24"/>
        </w:rPr>
      </w:pPr>
      <w:r>
        <w:rPr>
          <w:rFonts w:ascii="Times New Roman;serif" w:hAnsi="Times New Roman;serif"/>
          <w:b w:val="false"/>
          <w:sz w:val="24"/>
        </w:rPr>
        <w:t>C-1</w:t>
      </w:r>
    </w:p>
    <w:p>
      <w:pPr>
        <w:pStyle w:val="HorizontalLine"/>
        <w:rPr/>
      </w:pPr>
      <w:r>
        <w:rPr/>
      </w:r>
    </w:p>
    <w:p>
      <w:pPr>
        <w:pStyle w:val="TextBody"/>
        <w:spacing w:before="0" w:after="0"/>
        <w:jc w:val="left"/>
        <w:rPr/>
      </w:pPr>
      <w:r>
        <w:rPr/>
        <w:t> </w:t>
      </w:r>
    </w:p>
    <w:p>
      <w:pPr>
        <w:pStyle w:val="TextBody"/>
        <w:spacing w:before="288" w:after="210"/>
        <w:jc w:val="both"/>
        <w:rPr>
          <w:rFonts w:ascii="Times New Roman" w:hAnsi="Times New Roman"/>
          <w:b w:val="false"/>
          <w:sz w:val="22"/>
        </w:rPr>
      </w:pPr>
      <w:r>
        <w:rPr>
          <w:rFonts w:ascii="Times New Roman" w:hAnsi="Times New Roman"/>
          <w:b w:val="false"/>
          <w:sz w:val="22"/>
        </w:rPr>
        <w:t>(a)</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background check information from employment screening agencies or publicly available registers (as allowed by law), or references obtained during recruitment;</w:t>
      </w:r>
    </w:p>
    <w:p>
      <w:pPr>
        <w:pStyle w:val="TextBody"/>
        <w:spacing w:before="288" w:after="210"/>
        <w:jc w:val="both"/>
        <w:rPr>
          <w:rFonts w:ascii="Times New Roman" w:hAnsi="Times New Roman"/>
          <w:b w:val="false"/>
          <w:sz w:val="22"/>
        </w:rPr>
      </w:pPr>
      <w:r>
        <w:rPr>
          <w:rFonts w:ascii="Times New Roman" w:hAnsi="Times New Roman"/>
          <w:b w:val="false"/>
          <w:sz w:val="22"/>
        </w:rPr>
        <w:t>(b)</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publicly available professional profiles on websites or social media (e.g. LinkedIn); and</w:t>
      </w:r>
    </w:p>
    <w:p>
      <w:pPr>
        <w:pStyle w:val="TextBody"/>
        <w:spacing w:before="288" w:after="210"/>
        <w:jc w:val="both"/>
        <w:rPr>
          <w:rFonts w:ascii="Times New Roman" w:hAnsi="Times New Roman"/>
          <w:b w:val="false"/>
          <w:sz w:val="22"/>
        </w:rPr>
      </w:pPr>
      <w:r>
        <w:rPr>
          <w:rFonts w:ascii="Times New Roman" w:hAnsi="Times New Roman"/>
          <w:b w:val="false"/>
          <w:sz w:val="22"/>
        </w:rPr>
        <w:t>(c)</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information about your performance or conduct from other employees, clients, or service providers you work with who may provide feedback about you or participate in performance evaluations or reviews.</w:t>
      </w:r>
    </w:p>
    <w:p>
      <w:pPr>
        <w:pStyle w:val="TextBody"/>
        <w:spacing w:before="0" w:after="210"/>
        <w:jc w:val="both"/>
        <w:rPr>
          <w:rFonts w:ascii="Times New Roman" w:hAnsi="Times New Roman"/>
          <w:b/>
          <w:sz w:val="22"/>
        </w:rPr>
      </w:pPr>
      <w:r>
        <w:rPr>
          <w:rFonts w:ascii="Times New Roman" w:hAnsi="Times New Roman"/>
          <w:b/>
          <w:sz w:val="22"/>
        </w:rPr>
        <w:t>3.</w:t>
      </w:r>
    </w:p>
    <w:p>
      <w:pPr>
        <w:pStyle w:val="TextBody"/>
        <w:spacing w:before="0" w:after="210"/>
        <w:jc w:val="both"/>
        <w:rPr>
          <w:rFonts w:ascii="Times New Roman;serif" w:hAnsi="Times New Roman;serif"/>
          <w:b/>
          <w:sz w:val="22"/>
        </w:rPr>
      </w:pPr>
      <w:r>
        <w:rPr>
          <w:rFonts w:ascii="Times New Roman;serif" w:hAnsi="Times New Roman;serif"/>
          <w:b/>
          <w:sz w:val="22"/>
        </w:rPr>
        <w:t>The Legal Bases and purposes for which we use, transfer, and disclose Your Personal Information</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Certain data protection laws require that we only process personal information subject to one or more valid legal bases. In such cases our legal basis will be one of the following:</w:t>
      </w:r>
    </w:p>
    <w:p>
      <w:pPr>
        <w:pStyle w:val="TextBody"/>
        <w:spacing w:before="288" w:after="210"/>
        <w:jc w:val="both"/>
        <w:rPr>
          <w:rFonts w:ascii="Times New Roman" w:hAnsi="Times New Roman"/>
          <w:b w:val="false"/>
          <w:sz w:val="22"/>
        </w:rPr>
      </w:pPr>
      <w:r>
        <w:rPr>
          <w:rFonts w:ascii="Times New Roman" w:hAnsi="Times New Roman"/>
          <w:b w:val="false"/>
          <w:sz w:val="22"/>
        </w:rPr>
        <w:t>(a)</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fulfil our contractual obligations to you in connection with your employment contract with us;</w:t>
      </w:r>
    </w:p>
    <w:p>
      <w:pPr>
        <w:pStyle w:val="TextBody"/>
        <w:spacing w:before="0" w:after="210"/>
        <w:jc w:val="both"/>
        <w:rPr>
          <w:rFonts w:ascii="Times New Roman" w:hAnsi="Times New Roman"/>
          <w:b w:val="false"/>
          <w:sz w:val="22"/>
        </w:rPr>
      </w:pPr>
      <w:r>
        <w:rPr>
          <w:rFonts w:ascii="Times New Roman" w:hAnsi="Times New Roman"/>
          <w:b w:val="false"/>
          <w:sz w:val="22"/>
        </w:rPr>
        <w:t>(b)</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to comply with our legal obligations, for example obtaining proof of your identity to enable us to meet our anti-money laundering obligations, or obtaining proof of your right to work status to enable us to meet relevant obligations;</w:t>
      </w:r>
    </w:p>
    <w:p>
      <w:pPr>
        <w:pStyle w:val="TextBody"/>
        <w:spacing w:before="288" w:after="210"/>
        <w:jc w:val="both"/>
        <w:rPr>
          <w:rFonts w:ascii="Times New Roman" w:hAnsi="Times New Roman"/>
          <w:b w:val="false"/>
          <w:sz w:val="22"/>
        </w:rPr>
      </w:pPr>
      <w:r>
        <w:rPr>
          <w:rFonts w:ascii="Times New Roman" w:hAnsi="Times New Roman"/>
          <w:b w:val="false"/>
          <w:sz w:val="22"/>
        </w:rPr>
        <w:t>(c)</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comply with our legal obligations to you, for example health and safety obligations that we must comply with as your employer or to a third party (e.g. the taxation authorities);</w:t>
      </w:r>
    </w:p>
    <w:p>
      <w:pPr>
        <w:pStyle w:val="TextBody"/>
        <w:spacing w:before="288" w:after="210"/>
        <w:jc w:val="both"/>
        <w:rPr>
          <w:rFonts w:ascii="Times New Roman" w:hAnsi="Times New Roman"/>
          <w:b w:val="false"/>
          <w:sz w:val="22"/>
        </w:rPr>
      </w:pPr>
      <w:r>
        <w:rPr>
          <w:rFonts w:ascii="Times New Roman" w:hAnsi="Times New Roman"/>
          <w:b w:val="false"/>
          <w:sz w:val="22"/>
        </w:rPr>
        <w:t>(d)</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spacing w:before="288" w:after="210"/>
        <w:jc w:val="both"/>
        <w:rPr>
          <w:rFonts w:ascii="Times New Roman" w:hAnsi="Times New Roman"/>
          <w:b w:val="false"/>
          <w:sz w:val="22"/>
        </w:rPr>
      </w:pPr>
      <w:r>
        <w:rPr>
          <w:rFonts w:ascii="Times New Roman" w:hAnsi="Times New Roman"/>
          <w:b w:val="false"/>
          <w:sz w:val="22"/>
        </w:rPr>
        <w:t>(e)</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protect your or another person’s vital interests, for example by providing your health information to a doctor in a medical emergency; or</w:t>
      </w:r>
    </w:p>
    <w:p>
      <w:pPr>
        <w:pStyle w:val="TextBody"/>
        <w:spacing w:before="288" w:after="210"/>
        <w:jc w:val="both"/>
        <w:rPr>
          <w:rFonts w:ascii="Times New Roman" w:hAnsi="Times New Roman"/>
          <w:b w:val="false"/>
          <w:sz w:val="22"/>
        </w:rPr>
      </w:pPr>
      <w:r>
        <w:rPr>
          <w:rFonts w:ascii="Times New Roman" w:hAnsi="Times New Roman"/>
          <w:b w:val="false"/>
          <w:sz w:val="22"/>
        </w:rPr>
        <w:t>(f)</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 xml:space="preserve">in the case of the Cayman Islands only, the processing is necessary for medical purposes and is undertaken by (a) a health professional; or (b) a person who, in the circumstances, owes a duty of confidentiality equivalent to that which would arise if that person were a health professional. </w:t>
      </w:r>
    </w:p>
    <w:p>
      <w:pPr>
        <w:pStyle w:val="TextBody"/>
        <w:spacing w:before="0" w:after="210"/>
        <w:jc w:val="both"/>
        <w:rPr>
          <w:rFonts w:ascii="Times New Roman" w:hAnsi="Times New Roman"/>
          <w:sz w:val="20"/>
        </w:rPr>
      </w:pPr>
      <w:r>
        <w:rPr>
          <w:rFonts w:ascii="Times New Roman;serif" w:hAnsi="Times New Roman;serif"/>
          <w:b w:val="false"/>
          <w:sz w:val="22"/>
        </w:rPr>
        <w:t>We may obtain your explicit consent to collect and use certain types of Personal Information when we are required to do so by law (for example, when we process some categories of sensitive personal information, access electronic transmissions for specific purposes, or engage in processing which is classified as “profiling”). If we ask for your consent to process your personal information, you may withdraw your consent at any time by contacting privacy@willistowerswatson.com.</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C-2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purposes for which we use your personal information are explained in more detail in the Annex 1 to this Notice.</w:t>
      </w:r>
    </w:p>
    <w:p>
      <w:pPr>
        <w:pStyle w:val="TextBody"/>
        <w:spacing w:before="0" w:after="210"/>
        <w:jc w:val="both"/>
        <w:rPr>
          <w:rFonts w:ascii="Times New Roman" w:hAnsi="Times New Roman"/>
          <w:b/>
          <w:sz w:val="22"/>
        </w:rPr>
      </w:pPr>
      <w:r>
        <w:rPr>
          <w:rFonts w:ascii="Times New Roman" w:hAnsi="Times New Roman"/>
          <w:b/>
          <w:sz w:val="22"/>
        </w:rPr>
        <w:t>4.</w:t>
      </w:r>
    </w:p>
    <w:p>
      <w:pPr>
        <w:pStyle w:val="TextBody"/>
        <w:spacing w:before="0" w:after="210"/>
        <w:jc w:val="both"/>
        <w:rPr>
          <w:rFonts w:ascii="Times New Roman;serif" w:hAnsi="Times New Roman;serif"/>
          <w:b/>
          <w:sz w:val="22"/>
        </w:rPr>
      </w:pPr>
      <w:r>
        <w:rPr>
          <w:rFonts w:ascii="Times New Roman;serif" w:hAnsi="Times New Roman;serif"/>
          <w:b/>
          <w:sz w:val="22"/>
        </w:rPr>
        <w:t>Monitoring tools, profiling and automated decision-making</w:t>
      </w:r>
    </w:p>
    <w:p>
      <w:pPr>
        <w:pStyle w:val="TextBody"/>
        <w:spacing w:before="288" w:after="0"/>
        <w:jc w:val="both"/>
        <w:rPr>
          <w:rFonts w:ascii="Times New Roman;serif" w:hAnsi="Times New Roman;serif"/>
          <w:b w:val="false"/>
          <w:sz w:val="22"/>
        </w:rPr>
      </w:pPr>
      <w:r>
        <w:rPr>
          <w:rFonts w:ascii="Times New Roman;serif" w:hAnsi="Times New Roman;serif"/>
          <w:b w:val="false"/>
          <w:sz w:val="22"/>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privacy@willistowerswatson.com. Subject to restrictions under local laws, your Personal Information may be processed using technology in a manner that constitutes “profiling”. This involves the use of software by us and in some instances, our service providers, that is able to evaluate your personal aspects and remuneration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Our service providers may do this as part of their process to determine the pricing of the workplace benefits they provide to us.</w:t>
      </w:r>
    </w:p>
    <w:p>
      <w:pPr>
        <w:pStyle w:val="TextBody"/>
        <w:spacing w:before="288" w:after="0"/>
        <w:jc w:val="both"/>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pStyle w:val="TextBody"/>
        <w:spacing w:before="0" w:after="210"/>
        <w:jc w:val="both"/>
        <w:rPr>
          <w:rFonts w:ascii="Times New Roman" w:hAnsi="Times New Roman"/>
          <w:b/>
          <w:sz w:val="22"/>
        </w:rPr>
      </w:pPr>
      <w:r>
        <w:rPr>
          <w:rFonts w:ascii="Times New Roman" w:hAnsi="Times New Roman"/>
          <w:b/>
          <w:sz w:val="22"/>
        </w:rPr>
        <w:t>5.</w:t>
      </w:r>
    </w:p>
    <w:p>
      <w:pPr>
        <w:pStyle w:val="TextBody"/>
        <w:spacing w:before="0" w:after="210"/>
        <w:jc w:val="both"/>
        <w:rPr>
          <w:rFonts w:ascii="Times New Roman;serif" w:hAnsi="Times New Roman;serif"/>
          <w:b/>
          <w:sz w:val="22"/>
        </w:rPr>
      </w:pPr>
      <w:r>
        <w:rPr>
          <w:rFonts w:ascii="Times New Roman;serif" w:hAnsi="Times New Roman;serif"/>
          <w:b/>
          <w:sz w:val="22"/>
        </w:rPr>
        <w:t>Transfer of Personal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in the Cayman Islands, this may include India and Bermuda. Some of these countries are recognized by the European Commission or other regulators as providing an adequate level of protection according to EEA standards (the full list of these countries is available here),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by contacting your local Country Privacy Officer here or the Willis Towers Watson Group’s Global Privacy Program, privacy@willistowerswatson.com.</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All personnel within the Willis Towers Watson Group will generally have access to your business contact information such as name, position, telephone number, postal address, email address and photograph.</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C-3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pStyle w:val="TextBody"/>
        <w:spacing w:before="0" w:after="210"/>
        <w:jc w:val="both"/>
        <w:rPr>
          <w:rFonts w:ascii="Times New Roman" w:hAnsi="Times New Roman"/>
          <w:b/>
          <w:sz w:val="22"/>
        </w:rPr>
      </w:pPr>
      <w:r>
        <w:rPr>
          <w:rFonts w:ascii="Times New Roman" w:hAnsi="Times New Roman"/>
          <w:b/>
          <w:sz w:val="22"/>
        </w:rPr>
        <w:t>6.</w:t>
      </w:r>
    </w:p>
    <w:p>
      <w:pPr>
        <w:pStyle w:val="TextBody"/>
        <w:spacing w:before="0" w:after="210"/>
        <w:jc w:val="both"/>
        <w:rPr>
          <w:rFonts w:ascii="Times New Roman;serif" w:hAnsi="Times New Roman;serif"/>
          <w:b/>
          <w:sz w:val="22"/>
        </w:rPr>
      </w:pPr>
      <w:r>
        <w:rPr>
          <w:rFonts w:ascii="Times New Roman;serif" w:hAnsi="Times New Roman;serif"/>
          <w:b/>
          <w:sz w:val="22"/>
        </w:rPr>
        <w:t>Security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pStyle w:val="TextBody"/>
        <w:spacing w:before="0" w:after="210"/>
        <w:jc w:val="both"/>
        <w:rPr>
          <w:rFonts w:ascii="Times New Roman" w:hAnsi="Times New Roman"/>
          <w:b/>
          <w:sz w:val="22"/>
        </w:rPr>
      </w:pPr>
      <w:r>
        <w:rPr>
          <w:rFonts w:ascii="Times New Roman" w:hAnsi="Times New Roman"/>
          <w:b/>
          <w:sz w:val="22"/>
        </w:rPr>
        <w:t>7.</w:t>
      </w:r>
    </w:p>
    <w:p>
      <w:pPr>
        <w:pStyle w:val="TextBody"/>
        <w:spacing w:before="0" w:after="210"/>
        <w:jc w:val="both"/>
        <w:rPr>
          <w:rFonts w:ascii="Times New Roman;serif" w:hAnsi="Times New Roman;serif"/>
          <w:b/>
          <w:sz w:val="22"/>
        </w:rPr>
      </w:pPr>
      <w:r>
        <w:rPr>
          <w:rFonts w:ascii="Times New Roman;serif" w:hAnsi="Times New Roman;serif"/>
          <w:b/>
          <w:sz w:val="22"/>
        </w:rPr>
        <w:t>Data Retention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If there is any information that we are unable, for technical reasons, to delete entirely from our systems, we will put in place appropriate measures to prevent any further processing or use of the data.</w:t>
      </w:r>
    </w:p>
    <w:p>
      <w:pPr>
        <w:pStyle w:val="TextBody"/>
        <w:spacing w:before="0" w:after="210"/>
        <w:jc w:val="both"/>
        <w:rPr>
          <w:rFonts w:ascii="Times New Roman" w:hAnsi="Times New Roman"/>
          <w:b/>
          <w:sz w:val="22"/>
        </w:rPr>
      </w:pPr>
      <w:r>
        <w:rPr>
          <w:rFonts w:ascii="Times New Roman" w:hAnsi="Times New Roman"/>
          <w:b/>
          <w:sz w:val="22"/>
        </w:rPr>
        <w:t>8.</w:t>
      </w:r>
    </w:p>
    <w:p>
      <w:pPr>
        <w:pStyle w:val="TextBody"/>
        <w:spacing w:before="0" w:after="210"/>
        <w:jc w:val="both"/>
        <w:rPr>
          <w:rFonts w:ascii="Times New Roman;serif" w:hAnsi="Times New Roman;serif"/>
          <w:b/>
          <w:sz w:val="22"/>
        </w:rPr>
      </w:pPr>
      <w:r>
        <w:rPr>
          <w:rFonts w:ascii="Times New Roman;serif" w:hAnsi="Times New Roman;serif"/>
          <w:b/>
          <w:sz w:val="22"/>
        </w:rPr>
        <w:t>Access and correction requests, questions, and complaints</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You have certain rights regarding your Personal Information, subject to local law, which may include the right to:</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access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rectify the information we hold about you;</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erase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restrict our use of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object to our use of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receive your Personal Information in a usable electronic format and transmit it to a third party (right to data portability);</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 xml:space="preserve">withdraw your consent to any processing based on consent at any time;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C-4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lodge a complaint with your local data protection authority if you believe that we have not been able to assist with your complaint or concern (and the right to be informed about the collection and use of Personal Information; seek compensation pertaining to the Cayman Islands Data Protection Law);</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the right to stop direct marketing; and</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where the local laws (including but not limited to Cayman Islands) provide, the right to seek compensation.</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If you have any questions about this Notice or if you would like to discuss or exercise your rights, please contact Human Resources or email privacy@willistowerswatson.com.</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pStyle w:val="TextBody"/>
        <w:spacing w:before="0" w:after="210"/>
        <w:jc w:val="both"/>
        <w:rPr>
          <w:rFonts w:ascii="Times New Roman" w:hAnsi="Times New Roman"/>
          <w:b/>
          <w:sz w:val="22"/>
        </w:rPr>
      </w:pPr>
      <w:r>
        <w:rPr>
          <w:rFonts w:ascii="Times New Roman" w:hAnsi="Times New Roman"/>
          <w:b/>
          <w:sz w:val="22"/>
        </w:rPr>
        <w:t>9.</w:t>
      </w:r>
    </w:p>
    <w:p>
      <w:pPr>
        <w:pStyle w:val="TextBody"/>
        <w:spacing w:before="0" w:after="210"/>
        <w:jc w:val="both"/>
        <w:rPr>
          <w:rFonts w:ascii="Times New Roman;serif" w:hAnsi="Times New Roman;serif"/>
          <w:b/>
          <w:sz w:val="22"/>
        </w:rPr>
      </w:pPr>
      <w:r>
        <w:rPr>
          <w:rFonts w:ascii="Times New Roman;serif" w:hAnsi="Times New Roman;serif"/>
          <w:b/>
          <w:sz w:val="22"/>
        </w:rPr>
        <w:t>Employee’s Obligations</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pStyle w:val="TextBody"/>
        <w:spacing w:before="0" w:after="210"/>
        <w:jc w:val="both"/>
        <w:rPr>
          <w:rFonts w:ascii="Times New Roman" w:hAnsi="Times New Roman"/>
          <w:b/>
          <w:sz w:val="22"/>
        </w:rPr>
      </w:pPr>
      <w:r>
        <w:rPr>
          <w:rFonts w:ascii="Times New Roman" w:hAnsi="Times New Roman"/>
          <w:b/>
          <w:sz w:val="22"/>
        </w:rPr>
        <w:t>10.</w:t>
      </w:r>
    </w:p>
    <w:p>
      <w:pPr>
        <w:pStyle w:val="TextBody"/>
        <w:spacing w:before="0" w:after="210"/>
        <w:jc w:val="both"/>
        <w:rPr>
          <w:rFonts w:ascii="Times New Roman;serif" w:hAnsi="Times New Roman;serif"/>
          <w:b/>
          <w:sz w:val="22"/>
        </w:rPr>
      </w:pPr>
      <w:r>
        <w:rPr>
          <w:rFonts w:ascii="Times New Roman;serif" w:hAnsi="Times New Roman;serif"/>
          <w:b/>
          <w:sz w:val="22"/>
        </w:rPr>
        <w:t>Changes to the Policy</w:t>
      </w:r>
    </w:p>
    <w:p>
      <w:pPr>
        <w:pStyle w:val="TextBody"/>
        <w:spacing w:before="288" w:after="210"/>
        <w:jc w:val="both"/>
        <w:rPr>
          <w:rFonts w:ascii="Times New Roman" w:hAnsi="Times New Roman"/>
          <w:sz w:val="20"/>
        </w:rPr>
      </w:pPr>
      <w:r>
        <w:rPr>
          <w:rFonts w:ascii="Times New Roman;serif" w:hAnsi="Times New Roman;serif"/>
          <w:b w:val="false"/>
          <w:sz w:val="22"/>
        </w:rPr>
        <w:t>We may modify or update this Notice from time to time.</w:t>
      </w:r>
      <w:r>
        <w:rPr>
          <w:rFonts w:ascii="Times New Roman" w:hAnsi="Times New Roman"/>
          <w:sz w:val="20"/>
        </w:rPr>
        <w:t xml:space="preserve"> </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If we change this Notice, we will notify you of the changes by updating the intranet site, unless specific local legal requirements require us to provide you with notice in a specific manner.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pStyle w:val="TextBody"/>
        <w:spacing w:before="0" w:after="210"/>
        <w:jc w:val="both"/>
        <w:rPr>
          <w:rFonts w:ascii="Times New Roman" w:hAnsi="Times New Roman"/>
          <w:b/>
          <w:sz w:val="22"/>
        </w:rPr>
      </w:pPr>
      <w:r>
        <w:rPr>
          <w:rFonts w:ascii="Times New Roman" w:hAnsi="Times New Roman"/>
          <w:b/>
          <w:sz w:val="22"/>
        </w:rPr>
        <w:t>11.</w:t>
      </w:r>
    </w:p>
    <w:p>
      <w:pPr>
        <w:pStyle w:val="TextBody"/>
        <w:spacing w:before="0" w:after="210"/>
        <w:jc w:val="both"/>
        <w:rPr>
          <w:rFonts w:ascii="Times New Roman;serif" w:hAnsi="Times New Roman;serif"/>
          <w:b/>
          <w:sz w:val="22"/>
        </w:rPr>
      </w:pPr>
      <w:r>
        <w:rPr>
          <w:rFonts w:ascii="Times New Roman;serif" w:hAnsi="Times New Roman;serif"/>
          <w:b/>
          <w:sz w:val="22"/>
        </w:rPr>
        <w:t>Contact</w:t>
      </w:r>
    </w:p>
    <w:p>
      <w:pPr>
        <w:pStyle w:val="TextBody"/>
        <w:spacing w:before="0" w:after="210"/>
        <w:jc w:val="both"/>
        <w:rPr>
          <w:rFonts w:ascii="Times New Roman" w:hAnsi="Times New Roman"/>
          <w:sz w:val="20"/>
        </w:rPr>
      </w:pPr>
      <w:r>
        <w:rPr>
          <w:rFonts w:ascii="Times New Roman;serif" w:hAnsi="Times New Roman;serif"/>
          <w:b w:val="false"/>
          <w:sz w:val="22"/>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2"/>
        </w:rPr>
        <w:t>For questions or comments about this Notice, please contact Human Resources, email privacy@willistowerswatson.com or contact your local Country Privacy Officer here.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some countries, there is a legal requirement to provide a named individual and their contact details. These are:</w:t>
      </w:r>
    </w:p>
    <w:p>
      <w:pPr>
        <w:pStyle w:val="TextBody"/>
        <w:spacing w:before="0" w:after="0"/>
        <w:jc w:val="both"/>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C-5</w:t>
      </w:r>
    </w:p>
    <w:p>
      <w:pPr>
        <w:pStyle w:val="TextBody"/>
        <w:spacing w:before="0" w:after="0"/>
        <w:jc w:val="left"/>
        <w:rPr/>
      </w:pPr>
      <w:r>
        <w:rPr/>
        <w:t> </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40"/>
        <w:gridCol w:w="1816"/>
        <w:gridCol w:w="7249"/>
      </w:tblGrid>
      <w:tr>
        <w:trPr/>
        <w:tc>
          <w:tcPr>
            <w:tcW w:w="1140"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7249" w:type="dxa"/>
            <w:tcBorders/>
            <w:shd w:fill="auto" w:val="clear"/>
            <w:vAlign w:val="center"/>
          </w:tcPr>
          <w:p>
            <w:pPr>
              <w:pStyle w:val="TableContents"/>
              <w:spacing w:before="0" w:after="283"/>
              <w:rPr>
                <w:sz w:val="4"/>
                <w:szCs w:val="4"/>
              </w:rPr>
            </w:pPr>
            <w:r>
              <w:rPr>
                <w:sz w:val="4"/>
                <w:szCs w:val="4"/>
              </w:rPr>
            </w:r>
          </w:p>
        </w:tc>
      </w:tr>
      <w:tr>
        <w:trPr/>
        <w:tc>
          <w:tcPr>
            <w:tcW w:w="1140"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Arial;sans-serif" w:hAnsi="Arial;sans-serif"/>
                <w:b w:val="false"/>
                <w:sz w:val="22"/>
              </w:rPr>
            </w:pPr>
            <w:r>
              <w:rPr>
                <w:rFonts w:ascii="Arial;sans-serif" w:hAnsi="Arial;sans-serif"/>
                <w:b w:val="false"/>
                <w:sz w:val="22"/>
              </w:rPr>
              <w:t>Country</w:t>
            </w:r>
          </w:p>
        </w:tc>
        <w:tc>
          <w:tcPr>
            <w:tcW w:w="181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Arial;sans-serif" w:hAnsi="Arial;sans-serif"/>
                <w:b w:val="false"/>
                <w:sz w:val="22"/>
              </w:rPr>
            </w:pPr>
            <w:r>
              <w:rPr>
                <w:rFonts w:ascii="Arial;sans-serif" w:hAnsi="Arial;sans-serif"/>
                <w:b w:val="false"/>
                <w:sz w:val="22"/>
              </w:rPr>
              <w:t>Name</w:t>
            </w:r>
          </w:p>
        </w:tc>
        <w:tc>
          <w:tcPr>
            <w:tcW w:w="724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Arial;sans-serif" w:hAnsi="Arial;sans-serif"/>
                <w:b w:val="false"/>
                <w:sz w:val="22"/>
              </w:rPr>
            </w:pPr>
            <w:r>
              <w:rPr>
                <w:rFonts w:ascii="Arial;sans-serif" w:hAnsi="Arial;sans-serif"/>
                <w:b w:val="false"/>
                <w:sz w:val="22"/>
              </w:rPr>
              <w:t>Contact details</w:t>
            </w:r>
          </w:p>
        </w:tc>
      </w:tr>
      <w:tr>
        <w:trPr/>
        <w:tc>
          <w:tcPr>
            <w:tcW w:w="1140"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Nigeria</w:t>
            </w:r>
          </w:p>
        </w:tc>
        <w:tc>
          <w:tcPr>
            <w:tcW w:w="18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Adewunmi Akinmodiro</w:t>
            </w:r>
          </w:p>
        </w:tc>
        <w:tc>
          <w:tcPr>
            <w:tcW w:w="72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Adewunmi.Akinmodiro@willistowerswatson.com</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Willis Towers Watson Nigeria Limited</w:t>
            </w:r>
          </w:p>
          <w:p>
            <w:pPr>
              <w:pStyle w:val="TableContents"/>
              <w:spacing w:before="0" w:after="0"/>
              <w:ind w:left="0" w:right="0" w:hanging="0"/>
              <w:jc w:val="left"/>
              <w:rPr/>
            </w:pPr>
            <w:r>
              <w:rPr/>
              <w:t> </w:t>
            </w:r>
            <w:r>
              <w:rPr>
                <w:rFonts w:ascii="Arial;sans-serif" w:hAnsi="Arial;sans-serif"/>
                <w:b w:val="false"/>
                <w:sz w:val="22"/>
              </w:rPr>
              <w:t>6th Floor, Africa RE Building. Plot 1679 Karimu Kotun Street, Victoria Island Lagos, Nigeria.</w:t>
            </w:r>
          </w:p>
          <w:p>
            <w:pPr>
              <w:pStyle w:val="TableContents"/>
              <w:spacing w:before="0" w:after="0"/>
              <w:ind w:left="0" w:right="0" w:hanging="0"/>
              <w:jc w:val="left"/>
              <w:rPr/>
            </w:pPr>
            <w:r>
              <w:rPr/>
              <w:t> </w:t>
            </w:r>
          </w:p>
        </w:tc>
      </w:tr>
      <w:tr>
        <w:trPr/>
        <w:tc>
          <w:tcPr>
            <w:tcW w:w="1140" w:type="dxa"/>
            <w:vMerge w:val="restart"/>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South Africa</w:t>
            </w:r>
          </w:p>
        </w:tc>
        <w:tc>
          <w:tcPr>
            <w:tcW w:w="18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André Wild</w:t>
            </w:r>
          </w:p>
        </w:tc>
        <w:tc>
          <w:tcPr>
            <w:tcW w:w="72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2"/>
              </w:rPr>
            </w:pPr>
            <w:r>
              <w:rPr>
                <w:rFonts w:ascii="Arial;sans-serif" w:hAnsi="Arial;sans-serif"/>
                <w:b w:val="false"/>
                <w:sz w:val="22"/>
              </w:rPr>
              <w:t>Andre.Wild@willistowerswatson.com</w:t>
            </w:r>
            <w:r>
              <w:rPr>
                <w:rFonts w:ascii="Times New Roman" w:hAnsi="Times New Roman"/>
                <w:sz w:val="22"/>
              </w:rPr>
              <w:t xml:space="preserve"> </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Towers Watson (Pty) Ltd</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Level 4, MontClare Place, 23 Main Road, Claremont, Cape Town, 7708</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Private Bag X30, Rondebosch, 7701</w:t>
            </w:r>
          </w:p>
          <w:p>
            <w:pPr>
              <w:pStyle w:val="TableContents"/>
              <w:spacing w:before="0" w:after="21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right"/>
              <w:rPr/>
            </w:pPr>
            <w:r>
              <w:rPr/>
              <w:t> </w:t>
            </w:r>
          </w:p>
        </w:tc>
      </w:tr>
      <w:tr>
        <w:trPr/>
        <w:tc>
          <w:tcPr>
            <w:tcW w:w="1140" w:type="dxa"/>
            <w:vMerge w:val="continue"/>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Normal"/>
              <w:rPr/>
            </w:pPr>
            <w:r>
              <w:rPr/>
            </w:r>
          </w:p>
        </w:tc>
        <w:tc>
          <w:tcPr>
            <w:tcW w:w="18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Pasha Karodia</w:t>
            </w:r>
          </w:p>
          <w:p>
            <w:pPr>
              <w:pStyle w:val="TableContents"/>
              <w:spacing w:before="0" w:after="0"/>
              <w:ind w:left="0" w:right="0" w:hanging="0"/>
              <w:jc w:val="left"/>
              <w:rPr/>
            </w:pPr>
            <w:r>
              <w:rPr/>
              <w:t> </w:t>
            </w:r>
          </w:p>
        </w:tc>
        <w:tc>
          <w:tcPr>
            <w:tcW w:w="72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2"/>
              </w:rPr>
            </w:pPr>
            <w:r>
              <w:rPr>
                <w:rFonts w:ascii="Arial;sans-serif" w:hAnsi="Arial;sans-serif"/>
                <w:b w:val="false"/>
                <w:sz w:val="22"/>
              </w:rPr>
              <w:t>Pasha.Karodia@willistowerswatson.com</w:t>
            </w:r>
            <w:r>
              <w:rPr>
                <w:rFonts w:ascii="Times New Roman" w:hAnsi="Times New Roman"/>
                <w:sz w:val="22"/>
              </w:rPr>
              <w:t xml:space="preserve"> </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Willis South Africa (Pty) Ltd</w:t>
            </w:r>
          </w:p>
          <w:p>
            <w:pPr>
              <w:pStyle w:val="TableContents"/>
              <w:spacing w:before="0" w:after="0"/>
              <w:ind w:left="0" w:right="0" w:hanging="0"/>
              <w:jc w:val="left"/>
              <w:rPr>
                <w:rFonts w:ascii="Arial;sans-serif" w:hAnsi="Arial;sans-serif"/>
                <w:b w:val="false"/>
                <w:sz w:val="22"/>
              </w:rPr>
            </w:pPr>
            <w:r>
              <w:rPr>
                <w:rFonts w:ascii="Arial;sans-serif" w:hAnsi="Arial;sans-serif"/>
                <w:b w:val="false"/>
                <w:sz w:val="22"/>
              </w:rPr>
              <w:t>Illovo Edge, 1 Harries Road, Illovo, Johannesburg 2196</w:t>
            </w:r>
          </w:p>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240"/>
        <w:jc w:val="both"/>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C-6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ANNEX 1</w:t>
      </w:r>
    </w:p>
    <w:p>
      <w:pPr>
        <w:pStyle w:val="TextBody"/>
        <w:spacing w:before="0" w:after="0"/>
        <w:jc w:val="center"/>
        <w:rPr/>
      </w:pPr>
      <w:r>
        <w:rPr/>
        <w:t> </w:t>
      </w:r>
    </w:p>
    <w:p>
      <w:pPr>
        <w:pStyle w:val="TextBody"/>
        <w:spacing w:before="0" w:after="210"/>
        <w:jc w:val="both"/>
        <w:rPr>
          <w:rFonts w:ascii="Times New Roman;serif" w:hAnsi="Times New Roman;serif"/>
          <w:b/>
          <w:sz w:val="22"/>
        </w:rPr>
      </w:pPr>
      <w:r>
        <w:rPr>
          <w:rFonts w:ascii="Times New Roman;serif" w:hAnsi="Times New Roman;serif"/>
          <w:b/>
          <w:sz w:val="22"/>
        </w:rPr>
        <w:t>Categories of Personal Information Collected About Employees</w:t>
      </w:r>
    </w:p>
    <w:p>
      <w:pPr>
        <w:pStyle w:val="TextBody"/>
        <w:spacing w:before="0" w:after="0"/>
        <w:jc w:val="left"/>
        <w:rPr>
          <w:rFonts w:ascii="Times New Roman" w:hAnsi="Times New Roman"/>
          <w:sz w:val="20"/>
        </w:rPr>
      </w:pPr>
      <w:r>
        <w:rPr>
          <w:rFonts w:ascii="Times New Roman;serif" w:hAnsi="Times New Roman;serif"/>
          <w:b w:val="false"/>
          <w:sz w:val="22"/>
        </w:rPr>
        <w:t>Generally, when permitted by local law, we may collect and process the below categories of personal information about Employees:</w:t>
      </w:r>
      <w:r>
        <w:rPr>
          <w:rFonts w:ascii="Times New Roman" w:hAnsi="Times New Roman"/>
          <w:sz w:val="20"/>
        </w:rPr>
        <w:t xml:space="preserve"> </w:t>
      </w:r>
    </w:p>
    <w:p>
      <w:pPr>
        <w:pStyle w:val="TextBody"/>
        <w:spacing w:before="0" w:after="0"/>
        <w:jc w:val="left"/>
        <w:rPr/>
      </w:pPr>
      <w:r>
        <w:rPr/>
        <w:t> </w:t>
      </w:r>
    </w:p>
    <w:p>
      <w:pPr>
        <w:pStyle w:val="TextBody"/>
        <w:spacing w:before="0" w:after="210"/>
        <w:jc w:val="both"/>
        <w:rPr>
          <w:rFonts w:ascii="Times New Roman" w:hAnsi="Times New Roman"/>
          <w:sz w:val="20"/>
        </w:rPr>
      </w:pPr>
      <w:r>
        <w:rPr>
          <w:rFonts w:ascii="Times New Roman;serif" w:hAnsi="Times New Roman;serif"/>
          <w:b/>
          <w:sz w:val="22"/>
        </w:rPr>
        <w:t>Name, Contact Info and other Identifiers</w:t>
      </w:r>
      <w:r>
        <w:rPr>
          <w:rFonts w:ascii="Times New Roman;serif" w:hAnsi="Times New Roman;serif"/>
          <w:b w:val="false"/>
          <w:sz w:val="22"/>
        </w:rPr>
        <w:t>: identifiers including, but not limited to</w:t>
      </w:r>
      <w:r>
        <w:rPr>
          <w:rFonts w:ascii="Times New Roman;serif" w:hAnsi="Times New Roman;serif"/>
          <w:b w:val="false"/>
          <w:i/>
          <w:sz w:val="22"/>
        </w:rPr>
        <w:t>:</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Personal Details: Name, alias, employee identification number, work and home contact details (email, phone numbers, physical address)), language(s) spoken, sex or gender, date of birth, nationality, place of birth, state identification card, national identification number, passport number, social security number, driver’s license, marital/civil partnership status, domestic partners, dependants, disability status, emergency contact information, health (including, where legally permitted, vaccination status), insurance and benefits details, vehicle data, IP address, and photograph.</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Documentation Required under Immigration Laws: Citizenship, passport data, details of residency or work permit.</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Business travel details: employee name and email address, passport and relevant visa details, origin and destination countries, reason for travel, travel date and line of business.</w:t>
      </w:r>
    </w:p>
    <w:p>
      <w:pPr>
        <w:pStyle w:val="TextBody"/>
        <w:spacing w:before="0" w:after="210"/>
        <w:jc w:val="both"/>
        <w:rPr>
          <w:rFonts w:ascii="Times New Roman" w:hAnsi="Times New Roman"/>
          <w:sz w:val="20"/>
        </w:rPr>
      </w:pPr>
      <w:r>
        <w:rPr>
          <w:rFonts w:ascii="Times New Roman;serif" w:hAnsi="Times New Roman;serif"/>
          <w:b/>
          <w:sz w:val="22"/>
        </w:rPr>
        <w:t>Protected Classifications</w:t>
      </w:r>
      <w:r>
        <w:rPr>
          <w:rFonts w:ascii="Times New Roman;serif" w:hAnsi="Times New Roman;serif"/>
          <w:b w:val="false"/>
          <w:sz w:val="22"/>
        </w:rPr>
        <w:t>: characteristics of protected classifications under California or federal law including, but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Citizenship information, as well as residency and work permit details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Medical information and disability information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Information we collect, when permitted by local law,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pStyle w:val="TextBody"/>
        <w:spacing w:before="0" w:after="210"/>
        <w:jc w:val="both"/>
        <w:rPr>
          <w:rFonts w:ascii="Times New Roman" w:hAnsi="Times New Roman"/>
          <w:sz w:val="20"/>
        </w:rPr>
      </w:pPr>
      <w:r>
        <w:rPr>
          <w:rFonts w:ascii="Times New Roman;serif" w:hAnsi="Times New Roman;serif"/>
          <w:b/>
          <w:sz w:val="22"/>
        </w:rPr>
        <w:t>Usage Data</w:t>
      </w:r>
      <w:r>
        <w:rPr>
          <w:rFonts w:ascii="Times New Roman;serif" w:hAnsi="Times New Roman;serif"/>
          <w:b w:val="false"/>
          <w:sz w:val="22"/>
        </w:rPr>
        <w:t xml:space="preserve">: internet or other electronic network activity information including, but not limited to, browsing history, search history, and information regarding a resident’s interaction with an internet website, application, or advertisement. </w:t>
      </w:r>
      <w:r>
        <w:rPr>
          <w:rFonts w:ascii="Times New Roman;serif" w:hAnsi="Times New Roman;serif"/>
          <w:b w:val="false"/>
          <w:i/>
          <w:sz w:val="22"/>
        </w:rPr>
        <w:t>This includes:</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Access logs and usage details regarding activities on Willis Towers Watson network, systems and devices, including but not limited to website and browsing history.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Physical access logs and call logs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Electronic content produced using Willis Towers Watson systems</w:t>
      </w:r>
    </w:p>
    <w:p>
      <w:pPr>
        <w:pStyle w:val="TextBody"/>
        <w:spacing w:before="0" w:after="210"/>
        <w:jc w:val="both"/>
        <w:rPr/>
      </w:pPr>
      <w:r>
        <w:rPr/>
        <w:t>•</w:t>
      </w:r>
    </w:p>
    <w:p>
      <w:pPr>
        <w:pStyle w:val="TextBody"/>
        <w:spacing w:before="0" w:after="210"/>
        <w:jc w:val="both"/>
        <w:rPr/>
      </w:pPr>
      <w:r>
        <w:rPr>
          <w:rFonts w:ascii="Times New Roman;serif" w:hAnsi="Times New Roman;serif"/>
          <w:b/>
          <w:sz w:val="22"/>
        </w:rPr>
        <w:t>Biometric information:</w:t>
      </w:r>
      <w:r>
        <w:rPr/>
        <w:t xml:space="preserve"> </w:t>
      </w:r>
      <w:r>
        <w:rPr>
          <w:rFonts w:ascii="Times New Roman;serif" w:hAnsi="Times New Roman;serif"/>
          <w:b w:val="false"/>
          <w:sz w:val="22"/>
        </w:rPr>
        <w:t xml:space="preserve">an individual’s physiological, biological, or behavioral characteristics including information pertaining to an 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 </w:t>
      </w:r>
    </w:p>
    <w:p>
      <w:pPr>
        <w:pStyle w:val="TextBody"/>
        <w:spacing w:before="0" w:after="210"/>
        <w:jc w:val="both"/>
        <w:rPr>
          <w:rFonts w:ascii="Times New Roman" w:hAnsi="Times New Roman"/>
          <w:sz w:val="20"/>
        </w:rPr>
      </w:pPr>
      <w:r>
        <w:rPr>
          <w:rFonts w:ascii="Times New Roman;serif" w:hAnsi="Times New Roman;serif"/>
          <w:b/>
          <w:sz w:val="22"/>
        </w:rPr>
        <w:t>Geolocation Data</w:t>
      </w:r>
      <w:r>
        <w:rPr>
          <w:rFonts w:ascii="Times New Roman;serif" w:hAnsi="Times New Roman;serif"/>
          <w:b w:val="false"/>
          <w:sz w:val="22"/>
        </w:rPr>
        <w:t>: precise geographic location information about a particular Willis Towers Watson device.</w:t>
      </w:r>
    </w:p>
    <w:p>
      <w:pPr>
        <w:pStyle w:val="TextBody"/>
        <w:spacing w:before="0" w:after="210"/>
        <w:jc w:val="both"/>
        <w:rPr>
          <w:rFonts w:ascii="Times New Roman" w:hAnsi="Times New Roman"/>
          <w:sz w:val="20"/>
        </w:rPr>
      </w:pPr>
      <w:r>
        <w:rPr>
          <w:rFonts w:ascii="Times New Roman;serif" w:hAnsi="Times New Roman;serif"/>
          <w:b/>
          <w:sz w:val="22"/>
        </w:rPr>
        <w:t>Audio, Video and other Electronic Data</w:t>
      </w:r>
      <w:r>
        <w:rPr>
          <w:rFonts w:ascii="Times New Roman;serif" w:hAnsi="Times New Roman;serif"/>
          <w:b w:val="false"/>
          <w:sz w:val="22"/>
        </w:rPr>
        <w:t xml:space="preserve">: audio, electronic, visual, thermal, olfactory, or similar information. </w:t>
      </w:r>
      <w:r>
        <w:rPr>
          <w:rFonts w:ascii="Times New Roman;serif" w:hAnsi="Times New Roman;serif"/>
          <w:b w:val="false"/>
          <w:i/>
          <w:sz w:val="22"/>
        </w:rPr>
        <w:t>This includes: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CCTV footage and photographs.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Call recordings and other audio recordings (e.g., recorded meetings, trainings, and webinars).</w:t>
      </w:r>
    </w:p>
    <w:p>
      <w:pPr>
        <w:pStyle w:val="TextBody"/>
        <w:spacing w:before="288" w:after="0"/>
        <w:jc w:val="both"/>
        <w:rPr/>
      </w:pPr>
      <w:r>
        <w:rPr/>
        <w:t>•</w:t>
      </w:r>
    </w:p>
    <w:p>
      <w:pPr>
        <w:pStyle w:val="TextBody"/>
        <w:spacing w:before="288" w:after="0"/>
        <w:jc w:val="both"/>
        <w:rPr>
          <w:rFonts w:ascii="Times New Roman;serif" w:hAnsi="Times New Roman;serif"/>
          <w:b w:val="false"/>
          <w:sz w:val="22"/>
        </w:rPr>
      </w:pPr>
      <w:r>
        <w:rPr>
          <w:rFonts w:ascii="Times New Roman;serif" w:hAnsi="Times New Roman;serif"/>
          <w:b w:val="false"/>
          <w:sz w:val="22"/>
        </w:rPr>
        <w:t>Electronic transmissions.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US employees only: Any and all telephone conversations or transmissions, electronic mail or transmissions, or internet access or usage by an employee by any electronic device or system, including but not limited to the use of a computer, telephone, wire, radio or electromagnetic, photoelectronic or photo-optical systems may be subject to monitoring at any and all times and by any lawful means.</w:t>
      </w:r>
    </w:p>
    <w:p>
      <w:pPr>
        <w:pStyle w:val="TextBody"/>
        <w:spacing w:before="0" w:after="210"/>
        <w:jc w:val="both"/>
        <w:rPr>
          <w:rFonts w:ascii="Times New Roman" w:hAnsi="Times New Roman"/>
          <w:sz w:val="20"/>
        </w:rPr>
      </w:pPr>
      <w:r>
        <w:rPr>
          <w:rFonts w:ascii="Times New Roman;serif" w:hAnsi="Times New Roman;serif"/>
          <w:b/>
          <w:sz w:val="22"/>
        </w:rPr>
        <w:t>Employment History</w:t>
      </w:r>
      <w:r>
        <w:rPr>
          <w:rFonts w:ascii="Times New Roman;serif" w:hAnsi="Times New Roman;serif"/>
          <w:b w:val="false"/>
          <w:sz w:val="22"/>
        </w:rPr>
        <w:t xml:space="preserve">: professional or employment-related information. </w:t>
      </w:r>
      <w:r>
        <w:rPr>
          <w:rFonts w:ascii="Times New Roman;serif" w:hAnsi="Times New Roman;serif"/>
          <w:b w:val="false"/>
          <w:i/>
          <w:sz w:val="22"/>
        </w:rPr>
        <w:t>This includes, but is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Talent Acquisition and Talent Management Information: Professional qualifications, language and other relevant skills, certification, certification expiration dates), information necessary to complete a background check, details on performance management ratings, development programs planned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and attended, e-learning programs, performance and development reviews, willingness to relocate, driver’s license information, and information used to populate employee biographies.</w:t>
      </w:r>
      <w:r>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Management Records: Details of any shares of common stock or directorships.</w:t>
      </w:r>
    </w:p>
    <w:p>
      <w:pPr>
        <w:pStyle w:val="TextBody"/>
        <w:spacing w:before="0" w:after="210"/>
        <w:jc w:val="both"/>
        <w:rPr>
          <w:rFonts w:ascii="Times New Roman" w:hAnsi="Times New Roman"/>
          <w:sz w:val="20"/>
        </w:rPr>
      </w:pPr>
      <w:r>
        <w:rPr>
          <w:rFonts w:ascii="Times New Roman;serif" w:hAnsi="Times New Roman;serif"/>
          <w:b/>
          <w:sz w:val="22"/>
        </w:rPr>
        <w:t>Education Information</w:t>
      </w:r>
      <w:r>
        <w:rPr>
          <w:rFonts w:ascii="Times New Roman;serif" w:hAnsi="Times New Roman;serif"/>
          <w:b w:val="false"/>
          <w:sz w:val="22"/>
        </w:rPr>
        <w:t xml:space="preserve">: information about education history or background that is not publicly available personally identifiable information as defined in the federal Family Educational Rights and Privacy Act (20 U.S.C. section 1232g, 34 C.F.R. Part 99). </w:t>
      </w:r>
      <w:r>
        <w:rPr>
          <w:rFonts w:ascii="Times New Roman;serif" w:hAnsi="Times New Roman;serif"/>
          <w:b w:val="false"/>
          <w:i/>
          <w:sz w:val="22"/>
        </w:rPr>
        <w:t>This includes, but is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Degrees, certificates or other training completed, schools attended and relevant dates.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Details contained in letters of application and resume/CV (previous employment background.</w:t>
      </w:r>
    </w:p>
    <w:p>
      <w:pPr>
        <w:pStyle w:val="TextBody"/>
        <w:spacing w:before="0" w:after="210"/>
        <w:jc w:val="both"/>
        <w:rPr>
          <w:rFonts w:ascii="Times New Roman" w:hAnsi="Times New Roman"/>
          <w:sz w:val="20"/>
        </w:rPr>
      </w:pPr>
      <w:r>
        <w:rPr>
          <w:rFonts w:ascii="Times New Roman;serif" w:hAnsi="Times New Roman;serif"/>
          <w:b/>
          <w:sz w:val="22"/>
        </w:rPr>
        <w:t>Profiles and Inferences</w:t>
      </w:r>
      <w:r>
        <w:rPr>
          <w:rFonts w:ascii="Times New Roman;serif" w:hAnsi="Times New Roman;serif"/>
          <w:b w:val="false"/>
          <w:sz w:val="22"/>
        </w:rPr>
        <w:t>: inferences drawn from any of the information identified above to create a profile about you reflecting your preferences, characteristics, psychological trends, predispositions, behaviour, attitudes, intelligence, abilities, and aptitudes.</w:t>
      </w:r>
    </w:p>
    <w:p>
      <w:pPr>
        <w:pStyle w:val="TextBody"/>
        <w:spacing w:before="0" w:after="210"/>
        <w:jc w:val="both"/>
        <w:rPr>
          <w:rFonts w:ascii="Times New Roman" w:hAnsi="Times New Roman"/>
          <w:sz w:val="20"/>
        </w:rPr>
      </w:pPr>
      <w:r>
        <w:rPr>
          <w:rFonts w:ascii="Times New Roman;serif" w:hAnsi="Times New Roman;serif"/>
          <w:b/>
          <w:sz w:val="22"/>
        </w:rPr>
        <w:t>Logins and Account Access Information</w:t>
      </w:r>
      <w:r>
        <w:rPr>
          <w:rFonts w:ascii="Times New Roman;serif" w:hAnsi="Times New Roman;serif"/>
          <w:b w:val="false"/>
          <w:sz w:val="22"/>
        </w:rPr>
        <w:t>: information which reveals a consumer’s account login, financial account, debit or credit card in combination with any required security or access code, password or credential allowing access.</w:t>
      </w:r>
    </w:p>
    <w:p>
      <w:pPr>
        <w:pStyle w:val="TextBody"/>
        <w:spacing w:before="0" w:after="210"/>
        <w:jc w:val="both"/>
        <w:rPr>
          <w:rFonts w:ascii="Times New Roman" w:hAnsi="Times New Roman"/>
          <w:sz w:val="20"/>
        </w:rPr>
      </w:pPr>
      <w:r>
        <w:rPr>
          <w:rFonts w:ascii="Times New Roman;serif" w:hAnsi="Times New Roman;serif"/>
          <w:b/>
          <w:sz w:val="22"/>
        </w:rPr>
        <w:t>What About Sensitive Information?</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Please be assured that, as explained in the following section, we will only use such sensitive information for the following purposes and as provided by law.</w:t>
      </w:r>
    </w:p>
    <w:p>
      <w:pPr>
        <w:pStyle w:val="TextBody"/>
        <w:spacing w:before="0" w:after="210"/>
        <w:jc w:val="both"/>
        <w:rPr>
          <w:rFonts w:ascii="Times New Roman;serif" w:hAnsi="Times New Roman;serif"/>
          <w:b/>
          <w:sz w:val="22"/>
        </w:rPr>
      </w:pPr>
      <w:r>
        <w:rPr>
          <w:rFonts w:ascii="Times New Roman;serif" w:hAnsi="Times New Roman;serif"/>
          <w:b/>
          <w:sz w:val="22"/>
        </w:rPr>
        <w:t>The Purposes for which we may collect, use, transfer and disclose Personal Information:</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Managing Workforce</w:t>
      </w:r>
      <w:r>
        <w:rPr>
          <w:rFonts w:ascii="Times New Roman;serif" w:hAnsi="Times New Roman;serif"/>
          <w:b w:val="false"/>
          <w:sz w:val="22"/>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Communications and Emergencies</w:t>
      </w:r>
      <w:r>
        <w:rPr>
          <w:rFonts w:ascii="Times New Roman;serif" w:hAnsi="Times New Roman;serif"/>
          <w:b w:val="false"/>
          <w:sz w:val="22"/>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Business Operations</w:t>
      </w:r>
      <w:r>
        <w:rPr>
          <w:rFonts w:ascii="Times New Roman;serif" w:hAnsi="Times New Roman;serif"/>
          <w:b w:val="false"/>
          <w:sz w:val="22"/>
        </w:rPr>
        <w:t>: Operating and managing the IT and communications systems, ensuring the security of Company systems, networks and information, managing product and service development and delivery, improving products and services, improving and developing client relationships including marketing activities using traditional and social media, fulfilling client relationships, supporting cross-selling opportunities,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Compliance</w:t>
      </w:r>
      <w:r>
        <w:rPr>
          <w:rFonts w:ascii="Times New Roman;serif" w:hAnsi="Times New Roman;serif"/>
          <w:b w:val="false"/>
          <w:sz w:val="22"/>
        </w:rPr>
        <w:t>: Complying with legal and other requirements, such as employment law requirements, income tax and national insurance deductions, record-keeping and reporting obligations, conducting audits,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Monitoring</w:t>
      </w:r>
      <w:r>
        <w:rPr>
          <w:rFonts w:ascii="Times New Roman;serif" w:hAnsi="Times New Roman;serif"/>
          <w:b w:val="false"/>
          <w:sz w:val="22"/>
        </w:rPr>
        <w:t>: Monitoring, investigating and remedying compliance with the Company’s legal and contractual obligations,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Complying with record keeping requirements</w:t>
      </w:r>
      <w:r>
        <w:rPr>
          <w:rFonts w:ascii="Times New Roman;serif" w:hAnsi="Times New Roman;serif"/>
          <w:b w:val="false"/>
          <w:sz w:val="22"/>
        </w:rPr>
        <w:t>: Complying with record keeping requirements, including retention requirements mandated by statute or governmental regulatory agencies in the geographies where we do business, as defined in our agreements, or per client instructions.</w:t>
      </w:r>
    </w:p>
    <w:p>
      <w:pPr>
        <w:pStyle w:val="TextBody"/>
        <w:spacing w:before="0" w:after="210"/>
        <w:jc w:val="both"/>
        <w:rPr/>
      </w:pPr>
      <w:r>
        <w:rPr/>
        <w:t> </w:t>
      </w:r>
    </w:p>
    <w:p>
      <w:pPr>
        <w:pStyle w:val="TextBody"/>
        <w:spacing w:before="0" w:after="0"/>
        <w:jc w:val="both"/>
        <w:rPr>
          <w:rFonts w:ascii="Times New Roman" w:hAnsi="Times New Roman"/>
          <w:sz w:val="20"/>
        </w:rPr>
      </w:pPr>
      <w:r>
        <w:rPr>
          <w:rFonts w:ascii="Times New Roman;serif" w:hAnsi="Times New Roman;serif"/>
          <w:b/>
          <w:sz w:val="22"/>
        </w:rPr>
        <w:t>Aggregate and de-identified information</w:t>
      </w:r>
      <w:r>
        <w:rPr>
          <w:rFonts w:ascii="Times New Roman;serif" w:hAnsi="Times New Roman;serif"/>
          <w:b w:val="false"/>
          <w:sz w:val="22"/>
        </w:rPr>
        <w:t>. To the extent permitted by law, we may de-identify personal information and 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pStyle w:val="TextBody"/>
        <w:spacing w:before="0" w:after="210"/>
        <w:jc w:val="both"/>
        <w:rPr/>
      </w:pPr>
      <w:r>
        <w:rPr/>
        <w:t> </w:t>
      </w:r>
    </w:p>
    <w:p>
      <w:pPr>
        <w:pStyle w:val="TextBody"/>
        <w:spacing w:before="0" w:after="210"/>
        <w:jc w:val="both"/>
        <w:rPr>
          <w:rFonts w:ascii="Times New Roman;serif" w:hAnsi="Times New Roman;serif"/>
          <w:b/>
          <w:sz w:val="22"/>
        </w:rPr>
      </w:pPr>
      <w:r>
        <w:rPr>
          <w:rFonts w:ascii="Times New Roman;serif" w:hAnsi="Times New Roman;serif"/>
          <w:b/>
          <w:sz w:val="22"/>
        </w:rPr>
        <w:t>The categories of unaffiliated third parties with whom Willis Towers Watson may share Personal Information:</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Professional Advisors</w:t>
      </w:r>
      <w:r>
        <w:rPr>
          <w:rFonts w:ascii="Times New Roman;serif" w:hAnsi="Times New Roman;serif"/>
          <w:b w:val="false"/>
          <w:sz w:val="22"/>
        </w:rPr>
        <w:t>: Accountants, auditors, lawyers, insurers, bankers, and other outside professional advisors in all of the countries in which the Willis Towers Watson Group operates.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Service Providers</w:t>
      </w:r>
      <w:r>
        <w:rPr>
          <w:rFonts w:ascii="Times New Roman;serif" w:hAnsi="Times New Roman;serif"/>
          <w:b w:val="false"/>
          <w:sz w:val="22"/>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Public and Governmental Authorities</w:t>
      </w:r>
      <w:r>
        <w:rPr>
          <w:rFonts w:ascii="Times New Roman;serif" w:hAnsi="Times New Roman;serif"/>
          <w:b w:val="false"/>
          <w:sz w:val="22"/>
        </w:rPr>
        <w:t>: Entities that regulate or have jurisdiction over companies in the Willis Towers Watson Group such as regulatory authorities, law enforcement, public bodies, and judicial bodies (who may be located in other countries around the world).</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Corporate Transaction</w:t>
      </w:r>
      <w:r>
        <w:rPr>
          <w:rFonts w:ascii="Times New Roman;serif" w:hAnsi="Times New Roman;serif"/>
          <w:b w:val="false"/>
          <w:sz w:val="22"/>
        </w:rPr>
        <w:t>: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pStyle w:val="TextBody"/>
        <w:spacing w:before="0" w:after="210"/>
        <w:jc w:val="both"/>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center"/>
        <w:rPr>
          <w:rFonts w:ascii="Times New Roman;serif" w:hAnsi="Times New Roman;serif"/>
          <w:b/>
          <w:sz w:val="22"/>
          <w:u w:val="single"/>
        </w:rPr>
      </w:pPr>
      <w:r>
        <w:rPr>
          <w:rFonts w:ascii="Times New Roman;serif" w:hAnsi="Times New Roman;serif"/>
          <w:b/>
          <w:sz w:val="22"/>
          <w:u w:val="single"/>
        </w:rPr>
        <w:t>ANNEX 2 – Information for California Residents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publicly available information made lawfully available by state or federal governments</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 xml:space="preserve">personal information we collect about job applicants or independent contractors at Willis Towers Watson </w:t>
      </w:r>
    </w:p>
    <w:p>
      <w:pPr>
        <w:pStyle w:val="TextBody"/>
        <w:spacing w:before="0" w:after="0"/>
        <w:jc w:val="both"/>
        <w:rPr/>
      </w:pPr>
      <w:r>
        <w:rPr/>
        <w:t>•</w:t>
      </w:r>
    </w:p>
    <w:p>
      <w:pPr>
        <w:pStyle w:val="TextBody"/>
        <w:jc w:val="both"/>
        <w:rPr>
          <w:rFonts w:ascii="Times New Roman;serif" w:hAnsi="Times New Roman;serif"/>
          <w:b w:val="false"/>
          <w:sz w:val="22"/>
        </w:rPr>
      </w:pPr>
      <w:r>
        <w:rPr>
          <w:rFonts w:ascii="Times New Roman;serif" w:hAnsi="Times New Roman;serif"/>
          <w:b w:val="false"/>
          <w:sz w:val="22"/>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pStyle w:val="TextBody"/>
        <w:spacing w:before="0" w:after="210"/>
        <w:jc w:val="both"/>
        <w:rPr>
          <w:rFonts w:ascii="Times New Roman" w:hAnsi="Times New Roman"/>
          <w:sz w:val="20"/>
        </w:rPr>
      </w:pPr>
      <w:r>
        <w:rPr>
          <w:rFonts w:ascii="Times New Roman;serif" w:hAnsi="Times New Roman;serif"/>
          <w:b/>
          <w:sz w:val="22"/>
        </w:rPr>
        <w:t>Categories of personal information we collect, disclose, sell, or share</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Our collection, use and disclosure of personal information 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We process personal data belonging to individuals 16 years or younger.</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covered by this Privacy Notice.</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do not “sell” or share “share” personal information subject to this privacy notice.</w:t>
      </w:r>
    </w:p>
    <w:p>
      <w:pPr>
        <w:pStyle w:val="TextBody"/>
        <w:spacing w:before="0" w:after="210"/>
        <w:jc w:val="both"/>
        <w:rPr>
          <w:rFonts w:ascii="Times New Roman" w:hAnsi="Times New Roman"/>
          <w:sz w:val="20"/>
        </w:rPr>
      </w:pPr>
      <w:r>
        <w:rPr>
          <w:rFonts w:ascii="Times New Roman;serif" w:hAnsi="Times New Roman;serif"/>
          <w:b/>
          <w:sz w:val="22"/>
        </w:rPr>
        <w:t xml:space="preserve">Rights of California residents. </w:t>
      </w:r>
      <w:r>
        <w:rPr>
          <w:rFonts w:ascii="Times New Roman;serif" w:hAnsi="Times New Roman;serif"/>
          <w:b w:val="false"/>
          <w:sz w:val="22"/>
        </w:rPr>
        <w:t>California law grants California residents certain rights and imposes restrictions on particular business practices as set forth below.</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Do-Not-Sell</w:t>
      </w:r>
      <w:r>
        <w:rPr>
          <w:rFonts w:ascii="Times New Roman;serif" w:hAnsi="Times New Roman;serif"/>
          <w:b w:val="false"/>
          <w:sz w:val="22"/>
        </w:rPr>
        <w:t xml:space="preserve">: California residents have the right to opt-out of our sale of their personal information. We do not “sell”.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Limit the Use of Sensitive Personal Information:</w:t>
      </w:r>
      <w:r>
        <w:rPr/>
        <w:t xml:space="preserve"> </w:t>
      </w:r>
      <w:r>
        <w:rPr>
          <w:rFonts w:ascii="Times New Roman;serif" w:hAnsi="Times New Roman;serif"/>
          <w:b w:val="false"/>
          <w:sz w:val="22"/>
        </w:rPr>
        <w:t xml:space="preserve">California residents have the right in certain instances to request that we limit the use and sharing of their sensitive personal information. The CCPA defines “sensitive personal information” to include, among other things, your: social security number,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(including physiological, biological, or behavioral characteristics). To exercise this right, click this link</w:t>
      </w:r>
      <w:r>
        <w:rPr/>
        <w:t xml:space="preserve"> </w:t>
      </w:r>
      <w:r>
        <w:rPr>
          <w:rFonts w:ascii="Times New Roman;serif" w:hAnsi="Times New Roman;serif"/>
          <w:b w:val="false"/>
          <w:sz w:val="22"/>
        </w:rPr>
        <w:t>or contact us at the toll-free number below.</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Initial Notice</w:t>
      </w:r>
      <w:r>
        <w:rPr>
          <w:rFonts w:ascii="Times New Roman;serif" w:hAnsi="Times New Roman;serif"/>
          <w:b w:val="false"/>
          <w:sz w:val="22"/>
        </w:rPr>
        <w:t>: We are required to notify California residents, at or before the point of collection of their personal information, the categories of personal information collected and the purposes for which such information is used.</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Delete</w:t>
      </w:r>
      <w:r>
        <w:rPr>
          <w:rFonts w:ascii="Times New Roman;serif" w:hAnsi="Times New Roman;serif"/>
          <w:b w:val="false"/>
          <w:i/>
          <w:sz w:val="22"/>
        </w:rPr>
        <w:t>:</w:t>
      </w:r>
      <w:r>
        <w:rPr/>
        <w:t xml:space="preserve"> </w:t>
      </w:r>
      <w:r>
        <w:rPr>
          <w:rFonts w:ascii="Times New Roman;serif" w:hAnsi="Times New Roman;serif"/>
          <w:b w:val="false"/>
          <w:sz w:val="22"/>
        </w:rPr>
        <w:t xml:space="preserve">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Know</w:t>
      </w:r>
      <w:r>
        <w:rPr>
          <w:rFonts w:ascii="Times New Roman;serif" w:hAnsi="Times New Roman;serif"/>
          <w:b w:val="false"/>
          <w:sz w:val="22"/>
        </w:rPr>
        <w:t xml:space="preserve">: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 </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personal information collected;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sources of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business and/or commercial purposes for collecting and selling their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third parties with whom we have shared their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personal information that we have sold in the preceding 12 months, and for each category identified, the categories of third parties to which we sold that particular category of information; and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jc w:val="both"/>
        <w:rPr>
          <w:rFonts w:ascii="Times New Roman;serif" w:hAnsi="Times New Roman;serif"/>
          <w:b w:val="false"/>
          <w:sz w:val="22"/>
        </w:rPr>
      </w:pPr>
      <w:r>
        <w:rPr>
          <w:rFonts w:ascii="Times New Roman;serif" w:hAnsi="Times New Roman;serif"/>
          <w:b w:val="false"/>
          <w:sz w:val="22"/>
        </w:rPr>
        <w:t>categories of personal information disclosed for a business purpose in the preceding 12 months, and for each category identified, the categories of third parties to which we disclosed that particular category of personal information.</w:t>
      </w:r>
    </w:p>
    <w:p>
      <w:pPr>
        <w:pStyle w:val="TextBody"/>
        <w:spacing w:before="0" w:after="210"/>
        <w:jc w:val="both"/>
        <w:rPr/>
      </w:pPr>
      <w:r>
        <w:rPr/>
        <w:t> </w:t>
      </w:r>
    </w:p>
    <w:p>
      <w:pPr>
        <w:pStyle w:val="TextBody"/>
        <w:spacing w:before="0" w:after="210"/>
        <w:jc w:val="both"/>
        <w:rPr>
          <w:rFonts w:ascii="Times New Roman" w:hAnsi="Times New Roman"/>
          <w:sz w:val="20"/>
        </w:rPr>
      </w:pPr>
      <w:r>
        <w:rPr>
          <w:rFonts w:ascii="Times New Roman;serif" w:hAnsi="Times New Roman;serif"/>
          <w:b w:val="false"/>
          <w:sz w:val="22"/>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Correct</w:t>
      </w:r>
      <w:r>
        <w:rPr>
          <w:rFonts w:ascii="Times New Roman;serif" w:hAnsi="Times New Roman;serif"/>
          <w:b w:val="false"/>
          <w:sz w:val="22"/>
        </w:rPr>
        <w:t>: California residents have the right to request that we correct inaccurate personal information that we maintain.</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Right to Non-Discrimination</w:t>
      </w:r>
      <w:r>
        <w:rPr>
          <w:rFonts w:ascii="Times New Roman;serif" w:hAnsi="Times New Roman;serif"/>
          <w:b w:val="false"/>
          <w:sz w:val="22"/>
        </w:rPr>
        <w:t xml:space="preserve">: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Financial Incentives</w:t>
      </w:r>
      <w:r>
        <w:rPr>
          <w:rFonts w:ascii="Times New Roman;serif" w:hAnsi="Times New Roman;serif"/>
          <w:b w:val="false"/>
          <w:sz w:val="22"/>
        </w:rPr>
        <w:t xml:space="preserve">: A business may offer financial incentives for the collection, sale or deletion of California residents’ personal information, where the incentive is not unjust, unreasonable,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Submitting Requests</w:t>
      </w:r>
      <w:r>
        <w:rPr>
          <w:rFonts w:ascii="Times New Roman;serif" w:hAnsi="Times New Roman;serif"/>
          <w:b w:val="false"/>
          <w:sz w:val="22"/>
        </w:rPr>
        <w:t>. Do-Not-Sell (Opt-out) Requests, Requests to Know, Requests to Delete, Requests to Limit Use of Sensitive Personal Information and Requests to Correct may be submitted: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By contacting us at 1-800-889-9288 (toll free)</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jc w:val="both"/>
        <w:rPr>
          <w:rFonts w:ascii="Times New Roman;serif" w:hAnsi="Times New Roman;serif"/>
          <w:b w:val="false"/>
          <w:sz w:val="22"/>
        </w:rPr>
      </w:pPr>
      <w:r>
        <w:rPr>
          <w:rFonts w:ascii="Times New Roman;serif" w:hAnsi="Times New Roman;serif"/>
          <w:b w:val="false"/>
          <w:sz w:val="22"/>
        </w:rPr>
        <w:t>By submitting a Consumer Request through this link</w:t>
      </w:r>
    </w:p>
    <w:p>
      <w:pPr>
        <w:pStyle w:val="TextBody"/>
        <w:spacing w:before="0" w:after="0"/>
        <w:jc w:val="both"/>
        <w:rPr/>
      </w:pPr>
      <w:r>
        <w:rPr/>
        <w:t> </w:t>
      </w:r>
    </w:p>
    <w:p>
      <w:pPr>
        <w:pStyle w:val="TextBody"/>
        <w:spacing w:before="0" w:after="210"/>
        <w:jc w:val="both"/>
        <w:rPr>
          <w:rFonts w:ascii="Times New Roman" w:hAnsi="Times New Roman"/>
          <w:sz w:val="20"/>
        </w:rPr>
      </w:pPr>
      <w:r>
        <w:rPr>
          <w:rFonts w:ascii="Times New Roman;serif" w:hAnsi="Times New Roman;serif"/>
          <w:b w:val="false"/>
          <w:sz w:val="22"/>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will respond to verifiable requests received from California residents as required by law. For more information about our privacy practices, you may contact us as set forth above.</w:t>
      </w:r>
    </w:p>
    <w:p>
      <w:pPr>
        <w:pStyle w:val="TextBody"/>
        <w:spacing w:before="0" w:after="210"/>
        <w:jc w:val="both"/>
        <w:rPr>
          <w:rFonts w:ascii="Times New Roman" w:hAnsi="Times New Roman"/>
          <w:sz w:val="20"/>
        </w:rPr>
      </w:pPr>
      <w:r>
        <w:rPr>
          <w:rFonts w:ascii="Times New Roman;serif" w:hAnsi="Times New Roman;serif"/>
          <w:b/>
          <w:sz w:val="22"/>
        </w:rPr>
        <w:t>Consumer Requests Received in 2021.</w:t>
      </w:r>
      <w:r>
        <w:rPr>
          <w:rFonts w:ascii="Times New Roman" w:hAnsi="Times New Roman"/>
          <w:sz w:val="20"/>
        </w:rPr>
        <w:t xml:space="preserve"> </w:t>
      </w:r>
      <w:r>
        <w:rPr>
          <w:rFonts w:ascii="Times New Roman;serif" w:hAnsi="Times New Roman;serif"/>
          <w:b w:val="false"/>
          <w:sz w:val="22"/>
        </w:rPr>
        <w:t>In calendar year 2021, we received and responded to consumer requests under the CCPA as set forth in the table below:</w:t>
      </w:r>
    </w:p>
    <w:tbl>
      <w:tblPr>
        <w:tblW w:w="10205" w:type="dxa"/>
        <w:jc w:val="left"/>
        <w:tblInd w:w="0" w:type="dxa"/>
        <w:tblCellMar>
          <w:top w:w="28" w:type="dxa"/>
          <w:left w:w="28" w:type="dxa"/>
          <w:bottom w:w="28" w:type="dxa"/>
          <w:right w:w="28" w:type="dxa"/>
        </w:tblCellMar>
      </w:tblPr>
      <w:tblGrid>
        <w:gridCol w:w="1299"/>
        <w:gridCol w:w="1746"/>
        <w:gridCol w:w="3152"/>
        <w:gridCol w:w="1699"/>
        <w:gridCol w:w="2309"/>
      </w:tblGrid>
      <w:tr>
        <w:trPr/>
        <w:tc>
          <w:tcPr>
            <w:tcW w:w="129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3152"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r>
      <w:tr>
        <w:trPr/>
        <w:tc>
          <w:tcPr>
            <w:tcW w:w="1299"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Request Type</w:t>
            </w:r>
          </w:p>
        </w:tc>
        <w:tc>
          <w:tcPr>
            <w:tcW w:w="174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Number of Requests Received</w:t>
            </w:r>
          </w:p>
        </w:tc>
        <w:tc>
          <w:tcPr>
            <w:tcW w:w="3152"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Number of Requests With Which We Complied (in whole or in part)</w:t>
            </w:r>
          </w:p>
        </w:tc>
        <w:tc>
          <w:tcPr>
            <w:tcW w:w="169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Number of Requests Denied*</w:t>
            </w:r>
          </w:p>
        </w:tc>
        <w:tc>
          <w:tcPr>
            <w:tcW w:w="230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 w:hAnsi="Times New Roman"/>
                <w:sz w:val="22"/>
              </w:rPr>
            </w:pPr>
            <w:r>
              <w:rPr>
                <w:rFonts w:ascii="Times New Roman;serif" w:hAnsi="Times New Roman;serif"/>
                <w:b w:val="false"/>
                <w:sz w:val="22"/>
              </w:rPr>
              <w:t>Average Response Time (Number of Days)</w:t>
            </w:r>
            <w:r>
              <w:rPr>
                <w:rFonts w:ascii="Times New Roman" w:hAnsi="Times New Roman"/>
                <w:sz w:val="22"/>
              </w:rPr>
              <w:t xml:space="preserve"> </w:t>
            </w:r>
          </w:p>
        </w:tc>
      </w:tr>
      <w:tr>
        <w:trPr/>
        <w:tc>
          <w:tcPr>
            <w:tcW w:w="1299"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Requests to Know</w:t>
            </w:r>
          </w:p>
        </w:tc>
        <w:tc>
          <w:tcPr>
            <w:tcW w:w="174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1</w:t>
            </w:r>
          </w:p>
        </w:tc>
        <w:tc>
          <w:tcPr>
            <w:tcW w:w="3152"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1</w:t>
            </w:r>
          </w:p>
        </w:tc>
        <w:tc>
          <w:tcPr>
            <w:tcW w:w="169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0</w:t>
            </w:r>
          </w:p>
        </w:tc>
        <w:tc>
          <w:tcPr>
            <w:tcW w:w="230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33</w:t>
            </w:r>
          </w:p>
        </w:tc>
      </w:tr>
    </w:tbl>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spacing w:before="0" w:after="0"/>
        <w:jc w:val="left"/>
        <w:rPr/>
      </w:pPr>
      <w:r>
        <w:rPr/>
        <w:t> </w:t>
      </w:r>
    </w:p>
    <w:p>
      <w:pPr>
        <w:pStyle w:val="HorizontalLine"/>
        <w:rPr/>
      </w:pPr>
      <w:r>
        <w:rPr/>
      </w:r>
    </w:p>
    <w:p>
      <w:pPr>
        <w:pStyle w:val="TextBody"/>
        <w:spacing w:before="0" w:after="0"/>
        <w:jc w:val="left"/>
        <w:rPr/>
      </w:pPr>
      <w:r>
        <w:rPr/>
        <w:t> </w:t>
      </w:r>
    </w:p>
    <w:tbl>
      <w:tblPr>
        <w:tblW w:w="7145" w:type="dxa"/>
        <w:jc w:val="left"/>
        <w:tblInd w:w="0" w:type="dxa"/>
        <w:tblCellMar>
          <w:top w:w="28" w:type="dxa"/>
          <w:left w:w="28" w:type="dxa"/>
          <w:bottom w:w="28" w:type="dxa"/>
          <w:right w:w="28" w:type="dxa"/>
        </w:tblCellMar>
      </w:tblPr>
      <w:tblGrid>
        <w:gridCol w:w="5356"/>
        <w:gridCol w:w="466"/>
        <w:gridCol w:w="706"/>
        <w:gridCol w:w="226"/>
        <w:gridCol w:w="391"/>
      </w:tblGrid>
      <w:tr>
        <w:trPr/>
        <w:tc>
          <w:tcPr>
            <w:tcW w:w="535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35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Requests to Delete</w:t>
            </w:r>
          </w:p>
        </w:tc>
        <w:tc>
          <w:tcPr>
            <w:tcW w:w="46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3</w:t>
            </w:r>
          </w:p>
        </w:tc>
        <w:tc>
          <w:tcPr>
            <w:tcW w:w="70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1</w:t>
            </w:r>
          </w:p>
        </w:tc>
        <w:tc>
          <w:tcPr>
            <w:tcW w:w="22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2</w:t>
            </w:r>
          </w:p>
        </w:tc>
        <w:tc>
          <w:tcPr>
            <w:tcW w:w="39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64</w:t>
            </w:r>
          </w:p>
        </w:tc>
      </w:tr>
      <w:tr>
        <w:trPr/>
        <w:tc>
          <w:tcPr>
            <w:tcW w:w="535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Requests to Opt-Out of the Sale of Personal Information</w:t>
            </w:r>
          </w:p>
        </w:tc>
        <w:tc>
          <w:tcPr>
            <w:tcW w:w="4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790</w:t>
            </w:r>
          </w:p>
        </w:tc>
        <w:tc>
          <w:tcPr>
            <w:tcW w:w="70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782**</w:t>
            </w:r>
          </w:p>
        </w:tc>
        <w:tc>
          <w:tcPr>
            <w:tcW w:w="2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0</w:t>
            </w:r>
          </w:p>
        </w:tc>
        <w:tc>
          <w:tcPr>
            <w:tcW w:w="3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210"/>
              <w:ind w:left="0" w:right="0" w:hanging="0"/>
              <w:jc w:val="both"/>
              <w:rPr>
                <w:rFonts w:ascii="Times New Roman;serif" w:hAnsi="Times New Roman;serif"/>
                <w:b w:val="false"/>
                <w:sz w:val="22"/>
              </w:rPr>
            </w:pPr>
            <w:r>
              <w:rPr>
                <w:rFonts w:ascii="Times New Roman;serif" w:hAnsi="Times New Roman;serif"/>
                <w:b w:val="false"/>
                <w:sz w:val="22"/>
              </w:rPr>
              <w:t>0</w:t>
            </w:r>
          </w:p>
        </w:tc>
      </w:tr>
    </w:tbl>
    <w:p>
      <w:pPr>
        <w:pStyle w:val="TextBody"/>
        <w:spacing w:before="0" w:after="210"/>
        <w:jc w:val="both"/>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*This includes requests that were denied because we were unable to verify the identity of the requestor.</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 through email. We followed up with the requestors for more information, but the requestor never clarified to which WTW group or information their request applied to.</w:t>
      </w:r>
    </w:p>
    <w:p>
      <w:pPr>
        <w:pStyle w:val="TextBody"/>
        <w:spacing w:before="0" w:after="0"/>
        <w:jc w:val="both"/>
        <w:rPr>
          <w:rFonts w:ascii="Times New Roman;serif" w:hAnsi="Times New Roman;serif"/>
          <w:b/>
          <w:sz w:val="22"/>
        </w:rPr>
      </w:pPr>
      <w:r>
        <w:rPr>
          <w:rFonts w:ascii="Times New Roman;serif" w:hAnsi="Times New Roman;serif"/>
          <w:b/>
          <w:sz w:val="22"/>
        </w:rPr>
        <w:t>Opt-Out Preference Signals and “Do-Not-Track” Signals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pStyle w:val="TextBody"/>
        <w:spacing w:before="0" w:after="210"/>
        <w:jc w:val="both"/>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spacing w:before="0" w:after="0"/>
        <w:jc w:val="left"/>
        <w:rPr/>
      </w:pPr>
      <w:r>
        <w:rPr/>
        <w:t> </w:t>
      </w:r>
    </w:p>
    <w:p>
      <w:pPr>
        <w:pStyle w:val="HorizontalLine"/>
        <w:rPr/>
      </w:pPr>
      <w:r>
        <w:rPr/>
      </w:r>
      <w:r>
        <w:br w:type="page"/>
      </w:r>
    </w:p>
    <w:p>
      <w:pPr>
        <w:pStyle w:val="TextBody"/>
        <w:spacing w:before="0" w:after="0"/>
        <w:jc w:val="right"/>
        <w:rPr/>
      </w:pPr>
      <w:bookmarkStart w:id="59" w:name="wtw-ex10_2.htm"/>
      <w:bookmarkStart w:id="60" w:name="kswtwex10_2"/>
      <w:bookmarkEnd w:id="59"/>
      <w:bookmarkEnd w:id="60"/>
      <w:r>
        <w:rPr/>
        <w:t> </w:t>
      </w:r>
    </w:p>
    <w:p>
      <w:pPr>
        <w:pStyle w:val="TextBody"/>
        <w:spacing w:before="0" w:after="0"/>
        <w:jc w:val="right"/>
        <w:rPr/>
      </w:pPr>
      <w:r>
        <w:rPr/>
        <w:t> </w:t>
      </w:r>
    </w:p>
    <w:p>
      <w:pPr>
        <w:pStyle w:val="TextBody"/>
        <w:spacing w:before="0" w:after="0"/>
        <w:jc w:val="right"/>
        <w:rPr>
          <w:rFonts w:ascii="Times New Roman;serif" w:hAnsi="Times New Roman;serif"/>
          <w:b/>
          <w:caps/>
          <w:sz w:val="22"/>
        </w:rPr>
      </w:pPr>
      <w:r>
        <w:rPr>
          <w:rFonts w:ascii="Times New Roman;serif" w:hAnsi="Times New Roman;serif"/>
          <w:b/>
          <w:caps/>
          <w:sz w:val="22"/>
        </w:rPr>
        <w:t>EXHIBIT 10.2</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caps/>
          <w:sz w:val="22"/>
        </w:rPr>
        <w:t>Willis TOWERS WATSON Public Limited Company</w:t>
      </w:r>
      <w:r>
        <w:rPr>
          <w:rFonts w:ascii="Times New Roman" w:hAnsi="Times New Roman"/>
          <w:caps/>
          <w:sz w:val="20"/>
        </w:rPr>
        <w:t xml:space="preserve"> </w:t>
      </w:r>
    </w:p>
    <w:p>
      <w:pPr>
        <w:pStyle w:val="TextBody"/>
        <w:spacing w:before="0" w:after="0"/>
        <w:jc w:val="center"/>
        <w:rPr>
          <w:rFonts w:ascii="Times New Roman;serif" w:hAnsi="Times New Roman;serif"/>
          <w:b/>
          <w:caps/>
          <w:sz w:val="22"/>
        </w:rPr>
      </w:pPr>
      <w:r>
        <w:rPr>
          <w:rFonts w:ascii="Times New Roman;serif" w:hAnsi="Times New Roman;serif"/>
          <w:b/>
          <w:caps/>
          <w:sz w:val="22"/>
        </w:rPr>
        <w:t>2012 Equity Incentive Plan, as amended and restated</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PERFORMANCE-BASED RESTRICTED SHARE UNIT AWARD AGREEMENT</w:t>
        <w:br/>
        <w:t>FOR EXECUTIVE OFFICERS</w:t>
      </w:r>
    </w:p>
    <w:p>
      <w:pPr>
        <w:pStyle w:val="TextBody"/>
        <w:spacing w:before="240" w:after="240"/>
        <w:jc w:val="left"/>
        <w:rPr>
          <w:rFonts w:ascii="Times New Roman" w:hAnsi="Times New Roman"/>
          <w:sz w:val="20"/>
        </w:rPr>
      </w:pPr>
      <w:r>
        <w:rPr>
          <w:rFonts w:ascii="Times New Roman;serif" w:hAnsi="Times New Roman;serif"/>
          <w:b/>
          <w:sz w:val="22"/>
        </w:rPr>
        <w:t xml:space="preserve">THIS PERFORMANCE-BASED RESTRICTED SHARE UNIT AWARD AGREEMENT, </w:t>
      </w:r>
      <w:r>
        <w:rPr>
          <w:rFonts w:ascii="Times New Roman;serif" w:hAnsi="Times New Roman;serif"/>
          <w:b w:val="false"/>
          <w:sz w:val="22"/>
        </w:rPr>
        <w:t>including the Schedules attached hereto (this “Agreement”),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pStyle w:val="TextBody"/>
        <w:spacing w:before="0" w:after="24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Company wishes to carry out the Plan (as hereinafter defined), the terms of which are hereby incorporated by reference and made a part of this Agreement; and</w:t>
      </w:r>
    </w:p>
    <w:p>
      <w:pPr>
        <w:pStyle w:val="TextBody"/>
        <w:spacing w:before="0" w:after="24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Committee (as defined in the Plan) has determined that it would be to the advantage and best interest of the Company and its shareholders to grant an award of Performance-Based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pStyle w:val="TextBody"/>
        <w:spacing w:before="0" w:after="24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the parties hereto do hereby agree as follows:</w:t>
      </w:r>
    </w:p>
    <w:p>
      <w:pPr>
        <w:pStyle w:val="TextBody"/>
        <w:spacing w:before="0" w:after="240"/>
        <w:jc w:val="center"/>
        <w:rPr>
          <w:rFonts w:ascii="Times New Roman" w:hAnsi="Times New Roman"/>
          <w:b w:val="false"/>
          <w:sz w:val="24"/>
        </w:rPr>
      </w:pPr>
      <w:r>
        <w:rPr>
          <w:rFonts w:ascii="Times New Roman" w:hAnsi="Times New Roman"/>
          <w:b w:val="false"/>
          <w:sz w:val="24"/>
        </w:rPr>
        <w:t>ARTICLE 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DEFINITIONS</w:t>
      </w:r>
    </w:p>
    <w:p>
      <w:pPr>
        <w:pStyle w:val="TextBody"/>
        <w:spacing w:before="0" w:after="240"/>
        <w:jc w:val="left"/>
        <w:rPr>
          <w:rFonts w:ascii="Times New Roman" w:hAnsi="Times New Roman"/>
          <w:sz w:val="20"/>
        </w:rPr>
      </w:pPr>
      <w:r>
        <w:rPr>
          <w:rFonts w:ascii="Times New Roman;serif" w:hAnsi="Times New Roman;serif"/>
          <w:b w:val="false"/>
          <w:sz w:val="22"/>
        </w:rPr>
        <w:t>Capitalized terms used in this Agreement shall have the meaning specified in the Plan or below. The plural pronoun shall include the singular, where the context so indicates.</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Cause</w:t>
      </w:r>
    </w:p>
    <w:p>
      <w:pPr>
        <w:pStyle w:val="TextBody"/>
        <w:spacing w:before="0" w:after="240"/>
        <w:jc w:val="left"/>
        <w:rPr/>
      </w:pPr>
      <w:r>
        <w:rPr/>
        <w:t>“</w:t>
      </w:r>
      <w:r>
        <w:rPr>
          <w:rFonts w:ascii="Times New Roman;serif" w:hAnsi="Times New Roman;serif"/>
          <w:b w:val="false"/>
          <w:sz w:val="22"/>
        </w:rPr>
        <w:t>Cause” shall have the meaning ascribed to such term or similar term (</w:t>
      </w:r>
      <w:r>
        <w:rPr>
          <w:rFonts w:ascii="Times New Roman;serif" w:hAnsi="Times New Roman;serif"/>
          <w:b w:val="false"/>
          <w:i/>
          <w:sz w:val="22"/>
        </w:rPr>
        <w:t>e.g.</w:t>
      </w:r>
      <w:r>
        <w:rPr>
          <w:rFonts w:ascii="Times New Roman;serif" w:hAnsi="Times New Roman;serif"/>
          <w:b w:val="false"/>
          <w:sz w:val="22"/>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harassment, after reasonable notice and an opportunity to cure such violation (if curable as determined by the Board) within ten (10) days after the Colleague’s receipt of such notice.</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Earned Date</w:t>
      </w:r>
    </w:p>
    <w:p>
      <w:pPr>
        <w:pStyle w:val="TextBody"/>
        <w:spacing w:before="0" w:after="240"/>
        <w:jc w:val="left"/>
        <w:rPr/>
      </w:pPr>
      <w:r>
        <w:rPr/>
        <w:t>“</w:t>
      </w:r>
      <w:r>
        <w:rPr>
          <w:rFonts w:ascii="Times New Roman;serif" w:hAnsi="Times New Roman;serif"/>
          <w:b w:val="false"/>
          <w:sz w:val="22"/>
        </w:rPr>
        <w:t>Earned Date” shall mean the date that the Committee determines the attainment level of the Performance Objectives.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Earned PSUs</w:t>
      </w:r>
    </w:p>
    <w:p>
      <w:pPr>
        <w:pStyle w:val="TextBody"/>
        <w:spacing w:before="0" w:after="240"/>
        <w:jc w:val="left"/>
        <w:rPr/>
      </w:pPr>
      <w:r>
        <w:rPr/>
        <w:t>“</w:t>
      </w:r>
      <w:r>
        <w:rPr>
          <w:rFonts w:ascii="Times New Roman;serif" w:hAnsi="Times New Roman;serif"/>
          <w:b w:val="false"/>
          <w:sz w:val="22"/>
        </w:rPr>
        <w:t>Earned PSUs” shall mean the number of PSUs that are determined to be earned based on the attainment level of the Performance Objectives set forth in Schedule C of this Agreement and eligible to vest in accordance with the provisions of Article III.</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Good Reason</w:t>
      </w:r>
    </w:p>
    <w:p>
      <w:pPr>
        <w:pStyle w:val="TextBody"/>
        <w:spacing w:before="0" w:after="240"/>
        <w:jc w:val="left"/>
        <w:rPr/>
      </w:pPr>
      <w:r>
        <w:rPr/>
        <w:t>“</w:t>
      </w:r>
      <w:r>
        <w:rPr>
          <w:rFonts w:ascii="Times New Roman;serif" w:hAnsi="Times New Roman;serif"/>
          <w:b w:val="false"/>
          <w:sz w:val="22"/>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Grant Date</w:t>
      </w:r>
    </w:p>
    <w:p>
      <w:pPr>
        <w:pStyle w:val="TextBody"/>
        <w:spacing w:before="0" w:after="240"/>
        <w:jc w:val="left"/>
        <w:rPr/>
      </w:pPr>
      <w:r>
        <w:rPr/>
        <w:t>“</w:t>
      </w:r>
      <w:r>
        <w:rPr>
          <w:rFonts w:ascii="Times New Roman;serif" w:hAnsi="Times New Roman;serif"/>
          <w:b w:val="false"/>
          <w:sz w:val="22"/>
        </w:rPr>
        <w:t>Grant Date” shall mean April 1, 2023.</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Legacy Company</w:t>
      </w:r>
    </w:p>
    <w:p>
      <w:pPr>
        <w:pStyle w:val="TextBody"/>
        <w:spacing w:before="0" w:after="240"/>
        <w:jc w:val="left"/>
        <w:rPr/>
      </w:pPr>
      <w:r>
        <w:rPr/>
        <w:t>“</w:t>
      </w:r>
      <w:r>
        <w:rPr>
          <w:rFonts w:ascii="Times New Roman;serif" w:hAnsi="Times New Roman;serif"/>
          <w:b w:val="false"/>
          <w:sz w:val="22"/>
        </w:rPr>
        <w:t>Legacy Company” shall mean Towers Watson &amp; Co. or Willis Group Holdings Public Limited Company and any predecessor companies or affiliates of any of the foregoing.</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LTIP</w:t>
      </w:r>
    </w:p>
    <w:p>
      <w:pPr>
        <w:pStyle w:val="TextBody"/>
        <w:spacing w:before="0" w:after="240"/>
        <w:jc w:val="left"/>
        <w:rPr/>
      </w:pPr>
      <w:r>
        <w:rPr/>
        <w:t>“</w:t>
      </w:r>
      <w:r>
        <w:rPr>
          <w:rFonts w:ascii="Times New Roman;serif" w:hAnsi="Times New Roman;serif"/>
          <w:b w:val="false"/>
          <w:sz w:val="22"/>
        </w:rPr>
        <w:t>Long-Term Incentive Program” or “LTIP” is a program adopted with respect to calendar year 2023 to 2025 by the Committee under which equity awards and/or cash awards may be granted to certain eligible employees of the Company, its Subsidiaries or its Designated Associate Companies.</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1.8</w:t>
      </w:r>
    </w:p>
    <w:p>
      <w:pPr>
        <w:pStyle w:val="TextBody"/>
        <w:spacing w:before="0" w:after="240"/>
        <w:jc w:val="left"/>
        <w:rPr/>
      </w:pPr>
      <w:r>
        <w:rPr/>
        <w:t xml:space="preserve">– </w:t>
      </w:r>
      <w:r>
        <w:rPr>
          <w:rFonts w:ascii="Times New Roman;serif" w:hAnsi="Times New Roman;serif"/>
          <w:b w:val="false"/>
          <w:sz w:val="22"/>
          <w:u w:val="single"/>
        </w:rPr>
        <w:t>Nominal Value</w:t>
      </w:r>
    </w:p>
    <w:p>
      <w:pPr>
        <w:pStyle w:val="TextBody"/>
        <w:spacing w:before="0" w:after="240"/>
        <w:jc w:val="left"/>
        <w:rPr/>
      </w:pPr>
      <w:r>
        <w:rPr/>
        <w:t>“</w:t>
      </w:r>
      <w:r>
        <w:rPr>
          <w:rFonts w:ascii="Times New Roman;serif" w:hAnsi="Times New Roman;serif"/>
          <w:b w:val="false"/>
          <w:sz w:val="22"/>
        </w:rPr>
        <w:t>Nominal Value” shall mean $0.00030465 per Share.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1.9</w:t>
      </w:r>
    </w:p>
    <w:p>
      <w:pPr>
        <w:pStyle w:val="TextBody"/>
        <w:spacing w:before="0" w:after="240"/>
        <w:jc w:val="left"/>
        <w:rPr>
          <w:rFonts w:ascii="Times New Roman;serif" w:hAnsi="Times New Roman;serif"/>
          <w:b w:val="false"/>
          <w:sz w:val="22"/>
          <w:u w:val="single"/>
        </w:rPr>
      </w:pPr>
      <w:r>
        <w:rPr>
          <w:rFonts w:ascii="Times New Roman;serif" w:hAnsi="Times New Roman;serif"/>
          <w:b w:val="false"/>
          <w:sz w:val="22"/>
          <w:u w:val="single"/>
        </w:rPr>
        <w:t>Performance-Based Restricted Share Units</w:t>
      </w:r>
    </w:p>
    <w:p>
      <w:pPr>
        <w:pStyle w:val="TextBody"/>
        <w:spacing w:before="0" w:after="240"/>
        <w:jc w:val="left"/>
        <w:rPr/>
      </w:pPr>
      <w:r>
        <w:rPr/>
        <w:t>“</w:t>
      </w:r>
      <w:r>
        <w:rPr>
          <w:rFonts w:ascii="Times New Roman;serif" w:hAnsi="Times New Roman;serif"/>
          <w:b w:val="false"/>
          <w:sz w:val="22"/>
        </w:rPr>
        <w:t>Performance-Based Restricted Share Units” or “PSUs” shall mean a conditional right to receive Shares, pursuant to the terms of the Plan and this Agreement upon vesting and settlement, subject to the attainment of certain Performance Objectives and the Colleague’s continued Service through the applicable Vesting Date.</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1.10</w:t>
      </w:r>
    </w:p>
    <w:p>
      <w:pPr>
        <w:pStyle w:val="TextBody"/>
        <w:spacing w:before="0" w:after="240"/>
        <w:jc w:val="left"/>
        <w:rPr/>
      </w:pPr>
      <w:r>
        <w:rPr/>
        <w:t xml:space="preserve">– </w:t>
      </w:r>
      <w:r>
        <w:rPr>
          <w:rFonts w:ascii="Times New Roman;serif" w:hAnsi="Times New Roman;serif"/>
          <w:b w:val="false"/>
          <w:sz w:val="22"/>
          <w:u w:val="single"/>
        </w:rPr>
        <w:t>Performance Objectives</w:t>
      </w:r>
    </w:p>
    <w:p>
      <w:pPr>
        <w:pStyle w:val="TextBody"/>
        <w:spacing w:before="0" w:after="240"/>
        <w:jc w:val="left"/>
        <w:rPr/>
      </w:pPr>
      <w:r>
        <w:rPr/>
        <w:t>“</w:t>
      </w:r>
      <w:r>
        <w:rPr>
          <w:rFonts w:ascii="Times New Roman;serif" w:hAnsi="Times New Roman;serif"/>
          <w:b w:val="false"/>
          <w:sz w:val="22"/>
        </w:rPr>
        <w:t>Performance Objectives” shall mean the performance objectives that are referenced in Section 3.1(b) and set forth in Schedule C to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Performance Period</w:t>
      </w:r>
    </w:p>
    <w:p>
      <w:pPr>
        <w:pStyle w:val="TextBody"/>
        <w:spacing w:before="0" w:after="240"/>
        <w:jc w:val="left"/>
        <w:rPr/>
      </w:pPr>
      <w:r>
        <w:rPr/>
        <w:t>“</w:t>
      </w:r>
      <w:r>
        <w:rPr>
          <w:rFonts w:ascii="Times New Roman;serif" w:hAnsi="Times New Roman;serif"/>
          <w:b w:val="false"/>
          <w:sz w:val="22"/>
        </w:rPr>
        <w:t>Performance Period” shall mean January 1, 2023 through December 31, 2025, for purposes of measuring the attainment level of the ANR Growth and AEPS Growth Performance Objectives, and means January 1, 2025 through December 31, 2025, for purposes of measuring the AOM Performance Objective.</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Plan</w:t>
      </w:r>
    </w:p>
    <w:p>
      <w:pPr>
        <w:pStyle w:val="TextBody"/>
        <w:spacing w:before="0" w:after="240"/>
        <w:jc w:val="left"/>
        <w:rPr/>
      </w:pPr>
      <w:r>
        <w:rPr/>
        <w:t>“</w:t>
      </w:r>
      <w:r>
        <w:rPr>
          <w:rFonts w:ascii="Times New Roman;serif" w:hAnsi="Times New Roman;serif"/>
          <w:b w:val="false"/>
          <w:sz w:val="22"/>
        </w:rPr>
        <w:t>Plan” shall mean the Willis Towers Watson Public Limited Company 2012 Equity Incentive Plan, as amended from time to time.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Qualifying Retirement</w:t>
      </w:r>
    </w:p>
    <w:p>
      <w:pPr>
        <w:pStyle w:val="TextBody"/>
        <w:spacing w:before="0" w:after="240"/>
        <w:jc w:val="left"/>
        <w:rPr/>
      </w:pPr>
      <w:r>
        <w:rPr/>
        <w:t>“</w:t>
      </w:r>
      <w:r>
        <w:rPr>
          <w:rFonts w:ascii="Times New Roman;serif" w:hAnsi="Times New Roman;serif"/>
          <w:b w:val="false"/>
          <w:sz w:val="22"/>
        </w:rPr>
        <w:t>Qualifying Retirement” shall mean a voluntary termination of Service by the Colleague after the Colleague’s attainment of either (i) 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RCA</w:t>
      </w:r>
    </w:p>
    <w:p>
      <w:pPr>
        <w:pStyle w:val="TextBody"/>
        <w:spacing w:before="0" w:after="240"/>
        <w:jc w:val="left"/>
        <w:rPr/>
      </w:pPr>
      <w:r>
        <w:rPr/>
        <w:t>“</w:t>
      </w:r>
      <w:r>
        <w:rPr>
          <w:rFonts w:ascii="Times New Roman;serif" w:hAnsi="Times New Roman;serif"/>
          <w:b w:val="false"/>
          <w:sz w:val="22"/>
        </w:rPr>
        <w:t>RCA” shall mean the Agreement of Restrictive Covenants and Other Obligations for Employees [For Executive Officers based in the U.S: in the United States] [For Executive Officers based outside of the U.S: Outside of the United States], which is attached to the Agreement as Schedule B.</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pPr>
      <w:r>
        <w:rPr/>
        <w:t> </w:t>
      </w:r>
    </w:p>
    <w:p>
      <w:pPr>
        <w:pStyle w:val="TextBody"/>
        <w:spacing w:before="0" w:after="24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1.15</w:t>
      </w:r>
    </w:p>
    <w:p>
      <w:pPr>
        <w:pStyle w:val="TextBody"/>
        <w:spacing w:before="0" w:after="240"/>
        <w:jc w:val="left"/>
        <w:rPr/>
      </w:pPr>
      <w:r>
        <w:rPr/>
        <w:t xml:space="preserve">– </w:t>
      </w:r>
      <w:r>
        <w:rPr>
          <w:rFonts w:ascii="Times New Roman;serif" w:hAnsi="Times New Roman;serif"/>
          <w:b w:val="false"/>
          <w:sz w:val="22"/>
          <w:u w:val="single"/>
        </w:rPr>
        <w:t>Service</w:t>
      </w:r>
    </w:p>
    <w:p>
      <w:pPr>
        <w:pStyle w:val="TextBody"/>
        <w:spacing w:before="0" w:after="240"/>
        <w:jc w:val="left"/>
        <w:rPr/>
      </w:pPr>
      <w:r>
        <w:rPr/>
        <w:t>“</w:t>
      </w:r>
      <w:r>
        <w:rPr>
          <w:rFonts w:ascii="Times New Roman;serif" w:hAnsi="Times New Roman;serif"/>
          <w:b w:val="false"/>
          <w:sz w:val="22"/>
        </w:rPr>
        <w:t>Service” shall mean service as an Employee with (or, subject to approval by the Committee, as a Consultant to) the Company, or a Subsidiary or Designated Associate Company thereof.</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Shares</w:t>
      </w:r>
    </w:p>
    <w:p>
      <w:pPr>
        <w:pStyle w:val="TextBody"/>
        <w:spacing w:before="0" w:after="240"/>
        <w:jc w:val="left"/>
        <w:rPr/>
      </w:pPr>
      <w:r>
        <w:rPr/>
        <w:t>“</w:t>
      </w:r>
      <w:r>
        <w:rPr>
          <w:rFonts w:ascii="Times New Roman;serif" w:hAnsi="Times New Roman;serif"/>
          <w:b w:val="false"/>
          <w:sz w:val="22"/>
        </w:rPr>
        <w:t>Shares” shall mean Ordinary Shares of the Company, Nominal Value per Share, which may be authorized but unissued.</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1.17</w:t>
      </w:r>
    </w:p>
    <w:p>
      <w:pPr>
        <w:pStyle w:val="TextBody"/>
        <w:spacing w:before="0" w:after="240"/>
        <w:jc w:val="left"/>
        <w:rPr>
          <w:u w:val="single"/>
        </w:rPr>
      </w:pPr>
      <w:r>
        <w:rPr>
          <w:u w:val="single"/>
        </w:rPr>
        <w:t xml:space="preserve">– </w:t>
      </w:r>
      <w:r>
        <w:rPr>
          <w:rFonts w:ascii="Times New Roman;serif" w:hAnsi="Times New Roman;serif"/>
          <w:b w:val="false"/>
          <w:sz w:val="22"/>
          <w:u w:val="single"/>
        </w:rPr>
        <w:t>Target Award</w:t>
      </w:r>
    </w:p>
    <w:p>
      <w:pPr>
        <w:pStyle w:val="TextBody"/>
        <w:spacing w:before="0" w:after="240"/>
        <w:jc w:val="left"/>
        <w:rPr/>
      </w:pPr>
      <w:r>
        <w:rPr/>
        <w:t>“</w:t>
      </w:r>
      <w:r>
        <w:rPr>
          <w:rFonts w:ascii="Times New Roman;serif" w:hAnsi="Times New Roman;serif"/>
          <w:b w:val="false"/>
          <w:sz w:val="22"/>
        </w:rPr>
        <w:t>Target Award” shall mean the target number of PSUs specified in a schedule to the Agreement or as stated in the Colleague’s online account with the Company’s designated broker/stock plan administrator.</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1.18</w:t>
      </w:r>
    </w:p>
    <w:p>
      <w:pPr>
        <w:pStyle w:val="TextBody"/>
        <w:spacing w:before="0" w:after="240"/>
        <w:jc w:val="left"/>
        <w:rPr>
          <w:u w:val="single"/>
        </w:rPr>
      </w:pPr>
      <w:r>
        <w:rPr>
          <w:u w:val="single"/>
        </w:rPr>
        <w:t xml:space="preserve">– </w:t>
      </w:r>
      <w:r>
        <w:rPr>
          <w:rFonts w:ascii="Times New Roman;serif" w:hAnsi="Times New Roman;serif"/>
          <w:b w:val="false"/>
          <w:sz w:val="22"/>
          <w:u w:val="single"/>
        </w:rPr>
        <w:t>Termination Date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PSUs to comply with Section 409A of the Code.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1.19</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Vesting Date</w:t>
      </w:r>
    </w:p>
    <w:p>
      <w:pPr>
        <w:pStyle w:val="TextBody"/>
        <w:spacing w:before="0" w:after="240"/>
        <w:jc w:val="left"/>
        <w:rPr/>
      </w:pPr>
      <w:r>
        <w:rPr/>
        <w:t>“</w:t>
      </w:r>
      <w:r>
        <w:rPr>
          <w:rFonts w:ascii="Times New Roman;serif" w:hAnsi="Times New Roman;serif"/>
          <w:b w:val="false"/>
          <w:sz w:val="22"/>
        </w:rPr>
        <w:t>Vesting Date” shall mean the third anniversary of the Grant Date.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1.20</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Years of Service</w:t>
      </w:r>
    </w:p>
    <w:p>
      <w:pPr>
        <w:pStyle w:val="TextBody"/>
        <w:spacing w:before="0" w:after="240"/>
        <w:jc w:val="left"/>
        <w:rPr/>
      </w:pPr>
      <w:r>
        <w:rPr/>
        <w:t>“</w:t>
      </w:r>
      <w:r>
        <w:rPr>
          <w:rFonts w:ascii="Times New Roman;serif" w:hAnsi="Times New Roman;serif"/>
          <w:b w:val="false"/>
          <w:sz w:val="22"/>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pStyle w:val="TextBody"/>
        <w:spacing w:before="0" w:after="240"/>
        <w:jc w:val="left"/>
        <w:rPr/>
      </w:pPr>
      <w:r>
        <w:rPr/>
        <w:t> </w:t>
      </w:r>
    </w:p>
    <w:p>
      <w:pPr>
        <w:pStyle w:val="TextBody"/>
        <w:spacing w:before="0" w:after="240"/>
        <w:jc w:val="center"/>
        <w:rPr>
          <w:rFonts w:ascii="Times New Roman" w:hAnsi="Times New Roman"/>
          <w:b w:val="false"/>
          <w:sz w:val="24"/>
        </w:rPr>
      </w:pPr>
      <w:r>
        <w:rPr>
          <w:rFonts w:ascii="Times New Roman" w:hAnsi="Times New Roman"/>
          <w:b w:val="false"/>
          <w:sz w:val="24"/>
        </w:rPr>
        <w:t>ARTICLE 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GRANT OF PERFORMANCE-BASED RESTRICTED SHARE UNITS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Grant of the Performance-Based Restricted Share Units</w:t>
      </w:r>
    </w:p>
    <w:p>
      <w:pPr>
        <w:pStyle w:val="TextBody"/>
        <w:spacing w:before="0" w:after="240"/>
        <w:jc w:val="left"/>
        <w:rPr>
          <w:rFonts w:ascii="Times New Roman" w:hAnsi="Times New Roman"/>
          <w:sz w:val="20"/>
        </w:rPr>
      </w:pPr>
      <w:r>
        <w:rPr>
          <w:rFonts w:ascii="Times New Roman;serif" w:hAnsi="Times New Roman;serif"/>
          <w:b w:val="false"/>
          <w:sz w:val="22"/>
        </w:rPr>
        <w:t>Subject to the terms and conditions of the Plan and the additional terms and conditions set forth in this Agreement and the restrictive covenants set forth in the RCA, the Company hereby grants to the Colleague a number of PSUs equal to the Target Award representing the right to vest in the Earned PSUs. The Colleague agrees that the grant of PSUs pursuant to this Agreement is sufficient consideration for the</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Colleague entering into the RCA. The Colleague agrees to execute and deliver or electronically accept this Agreement and the RCA within 60 days of the receipt of this Agreement. In the event the Colleague fails to execute and deliver or electronically accept the Agreement or the RCA in the manner and within the period specified in this Section 2.1, the Committee may, in its sole discretion, cancel the PSUs.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PSU Payment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accordance with Section 7(d)(ii) of the Plan, the Shares to be issued upon vesting and settlement of the PSUs must be fully paid up prior to issuance of Shares by payment of the Nominal Value per Share. The Committee shall ensure that payment of the Nominal Value for any Shares underlying the PSUs is received by it on behalf of the Colleague at the time the PSUs are settled from a non-Irish Subsidiary or other source and shall establish any procedures or protocols necessary to ensure that payment is timely received.</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2.3</w:t>
      </w:r>
    </w:p>
    <w:p>
      <w:pPr>
        <w:pStyle w:val="TextBody"/>
        <w:spacing w:before="0" w:after="240"/>
        <w:jc w:val="left"/>
        <w:rPr>
          <w:rFonts w:ascii="Times New Roman;serif" w:hAnsi="Times New Roman;serif"/>
          <w:b w:val="false"/>
          <w:sz w:val="22"/>
          <w:u w:val="single"/>
        </w:rPr>
      </w:pPr>
      <w:r>
        <w:rPr>
          <w:rFonts w:ascii="Times New Roman;serif" w:hAnsi="Times New Roman;serif"/>
          <w:b w:val="false"/>
          <w:sz w:val="22"/>
          <w:u w:val="single"/>
        </w:rPr>
        <w:t>Employment or Service Rights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Subject to the terms of the RCA, the rights and obligations of the Colleague under the terms of their Service shall not be affected by their participation in the Plan or any right which they may have to participate in it. The PSUs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PSUs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Adjustments in PSUs Pursuant to Change of Control or Similar Event, etc.</w:t>
      </w:r>
    </w:p>
    <w:p>
      <w:pPr>
        <w:pStyle w:val="TextBody"/>
        <w:spacing w:before="0" w:after="0"/>
        <w:jc w:val="left"/>
        <w:rPr>
          <w:rFonts w:ascii="Times New Roman" w:hAnsi="Times New Roman"/>
          <w:sz w:val="20"/>
        </w:rPr>
      </w:pPr>
      <w:r>
        <w:rPr>
          <w:rFonts w:ascii="Times New Roman;serif" w:hAnsi="Times New Roman;serif"/>
          <w:b w:val="false"/>
          <w:sz w:val="22"/>
        </w:rPr>
        <w:t>Subject to Sections 11 and 12 of the Plan, in the event that the outstanding Shares subject to the PSUs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PSUs; or (ii) the terms and conditions applicable to the PSUs (including without limitation, any applicable Performance Objectives with respect thereto). An adjustment may have the effect of reducing the price at which Shares may be acquired to less than their Nominal Value (the “</w:t>
      </w:r>
      <w:r>
        <w:rPr>
          <w:rFonts w:ascii="Times New Roman;serif" w:hAnsi="Times New Roman;serif"/>
          <w:b w:val="false"/>
          <w:sz w:val="22"/>
          <w:u w:val="single"/>
        </w:rPr>
        <w:t>Shortfall</w:t>
      </w:r>
      <w:r>
        <w:rPr>
          <w:rFonts w:ascii="Times New Roman" w:hAnsi="Times New Roman"/>
          <w:sz w:val="20"/>
        </w:rPr>
        <w:t>”</w:t>
      </w:r>
      <w:r>
        <w:rPr>
          <w:rFonts w:ascii="Times New Roman;serif" w:hAnsi="Times New Roman;serif"/>
          <w:b w:val="false"/>
          <w:sz w:val="22"/>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2.5</w:t>
      </w:r>
    </w:p>
    <w:p>
      <w:pPr>
        <w:pStyle w:val="TextBody"/>
        <w:spacing w:before="0" w:after="240"/>
        <w:jc w:val="left"/>
        <w:rPr/>
      </w:pPr>
      <w:r>
        <w:rPr/>
        <w:t xml:space="preserve">– </w:t>
      </w:r>
      <w:r>
        <w:rPr>
          <w:rFonts w:ascii="Times New Roman;serif" w:hAnsi="Times New Roman;serif"/>
          <w:b w:val="false"/>
          <w:sz w:val="22"/>
          <w:u w:val="single"/>
        </w:rPr>
        <w:t>Tax Withholding</w:t>
      </w:r>
    </w:p>
    <w:p>
      <w:pPr>
        <w:pStyle w:val="TextBody"/>
        <w:spacing w:before="0" w:after="240"/>
        <w:jc w:val="left"/>
        <w:rPr>
          <w:rFonts w:ascii="Times New Roman" w:hAnsi="Times New Roman"/>
          <w:sz w:val="20"/>
        </w:rPr>
      </w:pPr>
      <w:r>
        <w:rPr>
          <w:rFonts w:ascii="Times New Roman;serif" w:hAnsi="Times New Roman;serif"/>
          <w:b w:val="false"/>
          <w:sz w:val="22"/>
        </w:rPr>
        <w:t>The Colleague acknowledges that, regardless of any action taken by the Company or, if different, the entity that employs the Colleague (the “Employer”), the ultimate liability for all Tax-Related Items, is and remains the Colleague’s responsibility and may exceed the amount actually withheld by the Company or the Employer. The Colleague further acknowledges that the Company and/or the Employer (1) make no representations or undertakings regarding the treatment of any Tax-Related Items in connection with</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any aspect of the PSUs, including, but not limited to, the grant, vesting or settlement of the PSUs, the subsequent sale of Shares acquired pursuant to such settlement and the receipt of any dividends and/or any dividend equivalents; and (2) do not commit to and are under no obligation to structure the terms of the grant or any aspect of the PSUs to reduce or eliminate the Colleague’s liability for Tax-Related Items or achieve any particular tax result. Further, if the Colleague is subject to Tax-Related Items in more than one jurisdiction, the Colleague acknowledges that the Company</w:t>
      </w:r>
      <w:r>
        <w:rPr>
          <w:rFonts w:ascii="Times New Roman" w:hAnsi="Times New Roman"/>
          <w:sz w:val="20"/>
        </w:rPr>
        <w:t xml:space="preserve"> </w:t>
      </w:r>
      <w:r>
        <w:rPr>
          <w:rFonts w:ascii="Times New Roman;serif" w:hAnsi="Times New Roman;serif"/>
          <w:b w:val="false"/>
          <w:sz w:val="22"/>
        </w:rPr>
        <w:t>and/or the Employer (or former employer, as applicable) may be required to withhold or account for Tax-Related Items in more than one jurisdiction.</w:t>
      </w:r>
    </w:p>
    <w:p>
      <w:pPr>
        <w:pStyle w:val="TextBody"/>
        <w:spacing w:before="0" w:after="240"/>
        <w:jc w:val="both"/>
        <w:rPr>
          <w:rFonts w:ascii="Times New Roman" w:hAnsi="Times New Roman"/>
          <w:sz w:val="20"/>
        </w:rPr>
      </w:pPr>
      <w:r>
        <w:rPr>
          <w:rFonts w:ascii="Times New Roman;serif" w:hAnsi="Times New Roman;serif"/>
          <w:b w:val="false"/>
          <w:sz w:val="22"/>
        </w:rPr>
        <w:t>Prior to any relevant taxable or tax withholding event, as applicable, the Colleague agrees to make adequate arrangements satisfactory to the Company and/or the Employer to satisfy all Tax-Related Items.</w:t>
      </w:r>
      <w:r>
        <w:rPr>
          <w:rFonts w:ascii="Times New Roman" w:hAnsi="Times New Roman"/>
          <w:sz w:val="20"/>
        </w:rPr>
        <w:t xml:space="preserve">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this regard, the Colleague authorizes the Company and/or the Employer, or their respective agents, in their discretion, to satisfy the obligations with regard to all Tax-Related Items by withholding in Shares to be issued upon settlement of the PSUs,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PSUs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PSUs,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PSUs, notwithstanding that a number of Shares are held back solely for the purpose of paying the Tax-Related Items.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Dividend Equivalents</w:t>
      </w:r>
    </w:p>
    <w:p>
      <w:pPr>
        <w:pStyle w:val="TextBody"/>
        <w:spacing w:before="0" w:after="240"/>
        <w:jc w:val="left"/>
        <w:rPr>
          <w:rFonts w:ascii="Times New Roman" w:hAnsi="Times New Roman"/>
          <w:sz w:val="20"/>
        </w:rPr>
      </w:pPr>
      <w:r>
        <w:rPr>
          <w:rFonts w:ascii="Times New Roman;serif" w:hAnsi="Times New Roman;serif"/>
          <w:b w:val="false"/>
          <w:sz w:val="22"/>
        </w:rPr>
        <w:t>On each date that a cash dividend is paid to holders of Shares from the Grant Date through the date immediately prior to the date the PSUs are settled, an amount (the “Dividend Equivalent Amount”) equal to the cash dividend that is paid on each Share, multiplied by the total number of PSUs and any Dividend Equivalent Units (as defined below) that remain unvested and outstanding as of the dividend payment record date, will be credited to the Colleague, and such credited amount will be converted into</w:t>
      </w:r>
      <w:r>
        <w:rPr>
          <w:rFonts w:ascii="Times New Roman" w:hAnsi="Times New Roman"/>
          <w:sz w:val="20"/>
        </w:rPr>
        <w:t xml:space="preserve">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an additional number of PSUs (“Dividend Equivalent Units”) determined by dividing the Dividend Equivalent Amount by the Fair Market Value of a Share on the date of the dividend payment. At the end of the Performance Period, the number of Dividend Equivalent Units will be adjusted to reflect the number of Dividend Equivalent Units that would have been credited to the Colleague as of the Grant Date if such calculations had been based on the number of Earned PSUs (such adjusted number, the “Earned Dividend Equivalent Units”). During the period beginning immediately following the last day of the Performance Period and ending on the date the Earned PSUs are paid pursuant to Section 3.2(a) below, Dividend Equivalent Units will accrue on any Earned PSUs and any Earned Dividend Equivalent Units. Dividend Equivalent Units and Earned Dividend Equivalent Units will be subject to the same conditions as the underlying PSUs with respect to which Dividend Equivalent Units and Earned Dividend Equivalent Units were credited, including without limitation, the vesting condition and the provisions governing time and form of settlement applicable to the underlying PSUs. Unless expressly provided otherwise, as used elsewhere in this Agreement, references to PSUs in this Agreement shall also include Dividend Equivalent Units and Earned Dividend Equivalent Units that have been credited to the Colleague pursuant to this Section 2.6.</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2.7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Clawback / Repayment</w:t>
      </w:r>
    </w:p>
    <w:p>
      <w:pPr>
        <w:pStyle w:val="TextBody"/>
        <w:spacing w:before="0" w:after="0"/>
        <w:jc w:val="left"/>
        <w:rPr>
          <w:rFonts w:ascii="Times New Roman" w:hAnsi="Times New Roman"/>
          <w:sz w:val="20"/>
        </w:rPr>
      </w:pPr>
      <w:r>
        <w:rPr>
          <w:rFonts w:ascii="Times New Roman;serif" w:hAnsi="Times New Roman;serif"/>
          <w:b w:val="false"/>
          <w:sz w:val="22"/>
        </w:rPr>
        <w:t>The PSUs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applicable PSU award is granted or as may be adopted thereafter as required under applicable laws; and/or (ii) applicable laws. Further, to the extent that the Colleague receives any amount in excess of the amount that the Colleague should otherwise have received under the terms of the PSU award for any reason (including, without limitation, by reason of a financial restatement, mistake in calculations or other administrative error), the Colleague shall be required to repay any such excess amount to the Company.</w:t>
      </w:r>
      <w:r>
        <w:rPr>
          <w:rFonts w:ascii="Times New Roman" w:hAnsi="Times New Roman"/>
          <w:sz w:val="20"/>
        </w:rPr>
        <w:t xml:space="preserve"> </w:t>
      </w:r>
    </w:p>
    <w:p>
      <w:pPr>
        <w:pStyle w:val="TextBody"/>
        <w:spacing w:before="0" w:after="0"/>
        <w:jc w:val="left"/>
        <w:rPr/>
      </w:pPr>
      <w:r>
        <w:rPr/>
        <w:t> </w:t>
      </w:r>
    </w:p>
    <w:p>
      <w:pPr>
        <w:pStyle w:val="TextBody"/>
        <w:spacing w:before="0" w:after="240"/>
        <w:jc w:val="center"/>
        <w:rPr>
          <w:rFonts w:ascii="Times New Roman" w:hAnsi="Times New Roman"/>
          <w:b w:val="false"/>
          <w:sz w:val="24"/>
        </w:rPr>
      </w:pPr>
      <w:r>
        <w:rPr>
          <w:rFonts w:ascii="Times New Roman" w:hAnsi="Times New Roman"/>
          <w:b w:val="false"/>
          <w:sz w:val="24"/>
        </w:rPr>
        <w:t>ARTICLE III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PERFORMANCE-BASED AND TIME-BASED VESTING REQUIREMENTS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Earned PSUs Determination and Forfeiture</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Subject to the other provisions of this Section 3.1 and the terms of the Colleague’s employment agreement, if any, the PSUs that are determined to constitute Earned PSUs as of the Earned Date shall vest on the Vesting Date, subject to the Colleague’s continued Service through the Vesting Date, and the Earned PSUs that vest shall become payable in accordance with Section 3.2 below.</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As of the Earned Date, the Committee shall determine the attainment level of the applicable Performance Objectives set forth in Schedule C to this Agreement, and based on such determination, shall determine the number of PSUs that shall constitute Earned PSUs. Anything to the contrary in this Section 3.1 and Schedule C to this Agreement notwithstanding, the Committee retains sole discretion to determine the number of PSUs that shall constitute Earned PSUs.</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Colleague understands and agrees that the terms under which the PSUs shall be determined to constitute Earned PSUs (as described in this Section 3.1 and in Schedule C) is confidential and the Colleague agrees not to disclose, reproduce or distribute such confidential information concerning the Company, except as required in the course of the Colleague’s employment with the Company, its Subsidiaries or a Designated Associate Company, without the prior written consent of the Company. The Colleague’s failure to abide by this condition may result in the immediate cancellation of the PSUs.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Any PSUs that are not determined by the Committee to constitute Earned PSUs on the Earned Date, except as otherwise provided under this Section 3.1, shall be forfeited immediately.</w:t>
      </w:r>
    </w:p>
    <w:p>
      <w:pPr>
        <w:pStyle w:val="TextBody"/>
        <w:spacing w:before="0" w:after="240"/>
        <w:jc w:val="left"/>
        <w:rPr>
          <w:rFonts w:ascii="Times New Roman" w:hAnsi="Times New Roman"/>
          <w:b w:val="false"/>
          <w:sz w:val="22"/>
        </w:rPr>
      </w:pPr>
      <w:r>
        <w:rPr>
          <w:rFonts w:ascii="Times New Roman" w:hAnsi="Times New Roman"/>
          <w:b w:val="false"/>
          <w:sz w:val="22"/>
        </w:rPr>
        <w:t>(e)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the event of the Colleague’s termination of Service prior to the Vesting Date, any unvested Earned PSUs shall be forfeited immediately by the Colleague, subject to, and except as otherwise specified in, the terms and conditions of the other subsections of this Section 3.1.</w:t>
      </w:r>
    </w:p>
    <w:p>
      <w:pPr>
        <w:pStyle w:val="TextBody"/>
        <w:spacing w:before="0" w:after="240"/>
        <w:jc w:val="left"/>
        <w:rPr>
          <w:rFonts w:ascii="Times New Roman" w:hAnsi="Times New Roman"/>
          <w:b w:val="false"/>
          <w:sz w:val="22"/>
        </w:rPr>
      </w:pPr>
      <w:r>
        <w:rPr>
          <w:rFonts w:ascii="Times New Roman" w:hAnsi="Times New Roman"/>
          <w:b w:val="false"/>
          <w:sz w:val="22"/>
        </w:rPr>
        <w:t>(f)</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[For Executive Officers other than Mr. Garrard: In the event of the Colleague’s termination of Service after the first anniversary of the Grant Date and prior to the Vesting Date due to a Qualifying Retirement, a number of PSUs equal to the Earned PSUs shall vest on the Vesting Date, subject to the Colleague’s compliance with the restrictive covenants and other obligations contemplated under Article VI of this Agreement. For the avoidance of any doubt, the provisions of this Section 3.1(f) shall prevail over the provisions of Sections 3.1(g) and (h).] [For Mr. Garrard: In the event of the Colleague’s termination of Service prior to the Vesting Date due to a Qualifying Retirement, a number of PSUs equal to the Earned PSUs shall vest on the Vesting Date, subject to the Colleague’s compliance with the restrictive covenants and other obligations contemplated under Article VI of this Agreement.] </w:t>
      </w:r>
    </w:p>
    <w:p>
      <w:pPr>
        <w:pStyle w:val="TextBody"/>
        <w:spacing w:before="0" w:after="240"/>
        <w:jc w:val="left"/>
        <w:rPr>
          <w:rFonts w:ascii="Times New Roman" w:hAnsi="Times New Roman"/>
          <w:b w:val="false"/>
          <w:sz w:val="22"/>
        </w:rPr>
      </w:pPr>
      <w:r>
        <w:rPr>
          <w:rFonts w:ascii="Times New Roman" w:hAnsi="Times New Roman"/>
          <w:b w:val="false"/>
          <w:sz w:val="22"/>
        </w:rPr>
        <w:t>(g)</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the event the PSUs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 number of PSUs equal to the Target Award shall vest on the Termination Date.</w:t>
      </w:r>
    </w:p>
    <w:p>
      <w:pPr>
        <w:pStyle w:val="TextBody"/>
        <w:spacing w:before="0" w:after="240"/>
        <w:jc w:val="left"/>
        <w:rPr>
          <w:rFonts w:ascii="Times New Roman" w:hAnsi="Times New Roman"/>
          <w:b w:val="false"/>
          <w:sz w:val="22"/>
        </w:rPr>
      </w:pPr>
      <w:r>
        <w:rPr>
          <w:rFonts w:ascii="Times New Roman" w:hAnsi="Times New Roman"/>
          <w:b w:val="false"/>
          <w:sz w:val="22"/>
        </w:rPr>
        <w:t>(h)</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[For Executive Officers other than Mr. Garrard: 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 pro rata number of PSUs shall vest on the Vesting Date equal to the product of the number of Earned PSUs, multiplied by a fraction, the numerator of which shall be equal to the number of completed days of continuous Service from the Grant Date through the Termination Date, and the denominator of which is 1,095. The vesting acceleration benefit provided under this Section 3.1(h) shall be subject to the Colleague’s compliance with the restrictive covenants and other obligations contemplated under Article VI of this Agreement.] [For Mr. Garrard: In the event of the Colleague’s (i) termination of Service without Cause by the Company or (ii) termination of Service by the Colleague for Good Reason, in each case, prior to the effective date of a Change of Control or after the 24-month period commencing on the effective date of a Change of Control, a number of PSUs equal to the Earned PSUs shall vest on the Vesting Date. The vesting acceleration benefit provided under this Section 3.1(h) shall be subject to the Colleague’s compliance with the restrictive covenants and other obligations contemplated under Article VI of this Agreement.]</w:t>
      </w:r>
    </w:p>
    <w:p>
      <w:pPr>
        <w:pStyle w:val="TextBody"/>
        <w:spacing w:before="0" w:after="240"/>
        <w:jc w:val="left"/>
        <w:rPr>
          <w:rFonts w:ascii="Times New Roman" w:hAnsi="Times New Roman"/>
          <w:b w:val="false"/>
          <w:sz w:val="22"/>
        </w:rPr>
      </w:pPr>
      <w:r>
        <w:rPr>
          <w:rFonts w:ascii="Times New Roman" w:hAnsi="Times New Roman"/>
          <w:b w:val="false"/>
          <w:sz w:val="22"/>
        </w:rPr>
        <w:t>(i)</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the event of the Colleague’s termination of Service as a result of the Colleague’s Permanent Disability or death, a number of PSUs equal to the Earned PSUs shall vest on the Vesting Date.</w:t>
      </w:r>
    </w:p>
    <w:p>
      <w:pPr>
        <w:pStyle w:val="TextBody"/>
        <w:spacing w:before="0" w:after="240"/>
        <w:jc w:val="left"/>
        <w:rPr>
          <w:rFonts w:ascii="Times New Roman" w:hAnsi="Times New Roman"/>
          <w:b w:val="false"/>
          <w:sz w:val="22"/>
        </w:rPr>
      </w:pPr>
      <w:r>
        <w:rPr>
          <w:rFonts w:ascii="Times New Roman" w:hAnsi="Times New Roman"/>
          <w:b w:val="false"/>
          <w:sz w:val="22"/>
        </w:rPr>
        <w:t>(j)</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the event the PSUs are not assumed or otherwise substituted or replaced by the successor corporation or an affiliate thereof in connection with a Change of Control, a number of PSUs equal to the Target Award shall vest immediately prior to the effective date of the Change of Control.</w:t>
      </w:r>
    </w:p>
    <w:p>
      <w:pPr>
        <w:pStyle w:val="TextBody"/>
        <w:spacing w:before="0" w:after="240"/>
        <w:jc w:val="left"/>
        <w:rPr>
          <w:rFonts w:ascii="Times New Roman" w:hAnsi="Times New Roman"/>
          <w:b w:val="false"/>
          <w:sz w:val="22"/>
        </w:rPr>
      </w:pPr>
      <w:r>
        <w:rPr>
          <w:rFonts w:ascii="Times New Roman" w:hAnsi="Times New Roman"/>
          <w:b w:val="false"/>
          <w:sz w:val="22"/>
        </w:rPr>
        <w:t>(k)</w:t>
      </w:r>
    </w:p>
    <w:p>
      <w:pPr>
        <w:pStyle w:val="TextBody"/>
        <w:spacing w:before="0" w:after="240"/>
        <w:jc w:val="left"/>
        <w:rPr/>
      </w:pPr>
      <w:r>
        <w:rPr>
          <w:rFonts w:ascii="Times New Roman;serif" w:hAnsi="Times New Roman;serif"/>
          <w:b w:val="false"/>
          <w:sz w:val="22"/>
        </w:rPr>
        <w:t>[For Executive Officers other than Mr. Garrard: Notwithstanding anything to the contrary in this Section 3.1, no PSUs shall vest prior to the first anniversary of the Grant Date (i) except in the case of the Colleague’s termination of Service resulting from death or Permanent Disability or in connection with a Change of Control, or (ii) unless the Committee, in its sole discretion, determines that the PSUs shall be sourced from the Unrestricted Pool.</w:t>
      </w:r>
      <w:r>
        <w:rPr>
          <w:rFonts w:ascii="Times New Roman;serif" w:hAnsi="Times New Roman;serif"/>
          <w:b w:val="false"/>
          <w:sz w:val="24"/>
        </w:rPr>
        <w:t>]</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3.2</w:t>
      </w:r>
    </w:p>
    <w:p>
      <w:pPr>
        <w:pStyle w:val="TextBody"/>
        <w:spacing w:before="0" w:after="240"/>
        <w:jc w:val="left"/>
        <w:rPr/>
      </w:pPr>
      <w:r>
        <w:rPr>
          <w:rFonts w:ascii="Times New Roman;serif" w:hAnsi="Times New Roman;serif"/>
          <w:b/>
          <w:sz w:val="22"/>
        </w:rPr>
        <w:t xml:space="preserve">- </w:t>
      </w:r>
      <w:r>
        <w:rPr>
          <w:rFonts w:ascii="Times New Roman;serif" w:hAnsi="Times New Roman;serif"/>
          <w:b w:val="false"/>
          <w:sz w:val="22"/>
          <w:u w:val="single"/>
        </w:rPr>
        <w:t>Settlement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Except as otherwise provided in Section 3.2(b), PSUs that become vested shall be settled on the Vesting Date, or, if earlier, upon an accelerated vesting event pursuant to Sections 3.1(g) or (j), or as soon as practicable, but no later than 30 days, thereafter. Unless the Company provides otherwise, any fractional PSU that is vested as of the final Vesting Date or an accelerated vesting event shall be rounded down to the next whole PSU. For the avoidance of any doubt, no fractional Shares shall be issued pursuant to this Agreement.</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Notwithstanding the foregoing, if the PSUs are considered non-qualified deferred compensation subject to Section 409A of the Code, as determined in the sole discretion of the Company, and the Colleague is a U.S. Taxpayer, PSUs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and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PSUs shall instead be settled on the first business day of the seventh month following the Colleague’s Separation from Service, to the extent such delayed payment is required in order to avoid a prohibited distribution under Section 409A of the Code.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Conditions to Issuance of Shares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Earned PSUs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vesting of the PSUs prior to fulfillment of all of the following conditions, and in any event, subject to Section 409A of the Code for United States taxpayers:</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obtaining of approval or other clearance from any state, federal, local or foreign governmental agency which the Committee shall, in its absolute discretion, determine to be necessary or advisable; and</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Colleague has paid or made arrangements to pay the Tax-Related Items pursuant to Section 2.5.</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Without limiting the generality of the foregoing, the Committee may require an opinion of counsel reasonably acceptable to it to the effect that any subsequent transfer of Shares acquired on the settlement of PSUs does not violate the Exchange Act and may issue stop-transfer orders covering such Shares.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Rights as Shareholder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Colleague shall not be, nor have any of the rights or privileges of, a shareholder of the Company in respect of any Shares that may be received upon the settlement of the PSUs unless and until certificates representing such Shares or their electronic equivalent shall have been issued by the Company to the Colleague.</w:t>
      </w:r>
    </w:p>
    <w:p>
      <w:pPr>
        <w:pStyle w:val="TextBody"/>
        <w:spacing w:before="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3.5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Limitation on Obligations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Company’s obligation with respect to the PSUs granted hereunder is limited solely to the issuance to the Colleague of Shares within the period when such Shares are due to be issued hereunder, and in no event shall the Company become obligated to pay cash in respect of such obligation. The PSUs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pStyle w:val="TextBody"/>
        <w:spacing w:before="0" w:after="0"/>
        <w:jc w:val="left"/>
        <w:rPr/>
      </w:pPr>
      <w:r>
        <w:rPr/>
        <w:t> </w:t>
      </w:r>
    </w:p>
    <w:p>
      <w:pPr>
        <w:pStyle w:val="TextBody"/>
        <w:spacing w:before="0" w:after="240"/>
        <w:jc w:val="left"/>
        <w:rPr>
          <w:rFonts w:ascii="Times New Roman" w:hAnsi="Times New Roman"/>
          <w:b w:val="false"/>
          <w:sz w:val="24"/>
        </w:rPr>
      </w:pPr>
      <w:r>
        <w:rPr>
          <w:rFonts w:ascii="Times New Roman" w:hAnsi="Times New Roman"/>
          <w:b w:val="false"/>
          <w:sz w:val="24"/>
        </w:rPr>
        <w:t>ARTICLE IV</w:t>
      </w:r>
    </w:p>
    <w:p>
      <w:pPr>
        <w:pStyle w:val="TextBody"/>
        <w:spacing w:before="0" w:after="0"/>
        <w:jc w:val="center"/>
        <w:rPr>
          <w:rFonts w:ascii="Times New Roman;serif" w:hAnsi="Times New Roman;serif"/>
          <w:b w:val="false"/>
          <w:sz w:val="22"/>
          <w:u w:val="single"/>
        </w:rPr>
      </w:pPr>
      <w:r>
        <w:rPr>
          <w:rFonts w:ascii="Times New Roman;serif" w:hAnsi="Times New Roman;serif"/>
          <w:b w:val="false"/>
          <w:sz w:val="22"/>
          <w:u w:val="single"/>
        </w:rPr>
        <w:t>ADDITIONAL TERMS AND CONDITIONS OF THE PSUs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4.1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Nature of Award</w:t>
      </w:r>
      <w:r>
        <w:rPr/>
        <w:t xml:space="preserve"> </w:t>
      </w:r>
    </w:p>
    <w:p>
      <w:pPr>
        <w:pStyle w:val="TextBody"/>
        <w:spacing w:before="0" w:after="240"/>
        <w:jc w:val="both"/>
        <w:rPr>
          <w:rFonts w:ascii="Times New Roman;serif" w:hAnsi="Times New Roman;serif"/>
          <w:b w:val="false"/>
          <w:sz w:val="22"/>
        </w:rPr>
      </w:pPr>
      <w:r>
        <w:rPr>
          <w:rFonts w:ascii="Times New Roman;serif" w:hAnsi="Times New Roman;serif"/>
          <w:b w:val="false"/>
          <w:sz w:val="22"/>
        </w:rPr>
        <w:t>In accepting the PSUs, the Colleague acknowledges, understands and agrees that:</w:t>
      </w:r>
    </w:p>
    <w:p>
      <w:pPr>
        <w:pStyle w:val="TextBody"/>
        <w:spacing w:before="0" w:after="240"/>
        <w:jc w:val="left"/>
        <w:rPr>
          <w:rFonts w:ascii="Times New Roman" w:hAnsi="Times New Roman"/>
          <w:b w:val="false"/>
          <w:sz w:val="22"/>
        </w:rPr>
      </w:pPr>
      <w:r>
        <w:rPr>
          <w:rFonts w:ascii="Times New Roman" w:hAnsi="Times New Roman"/>
          <w:b w:val="false"/>
          <w:sz w:val="22"/>
        </w:rPr>
        <w:t>(a)</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Plan is established voluntarily by the Company, is discretionary in nature and may be amended, suspended or terminated by the Company at any time, to the extent permitted by the Plan; </w:t>
      </w:r>
    </w:p>
    <w:p>
      <w:pPr>
        <w:pStyle w:val="TextBody"/>
        <w:spacing w:before="0" w:after="240"/>
        <w:jc w:val="left"/>
        <w:rPr>
          <w:rFonts w:ascii="Times New Roman" w:hAnsi="Times New Roman"/>
          <w:b w:val="false"/>
          <w:sz w:val="22"/>
        </w:rPr>
      </w:pPr>
      <w:r>
        <w:rPr>
          <w:rFonts w:ascii="Times New Roman" w:hAnsi="Times New Roman"/>
          <w:b w:val="false"/>
          <w:sz w:val="22"/>
        </w:rPr>
        <w:t>(b)</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PSU award is exceptional, voluntary and occasional and does not create any contractual or other right to receive future PSU awards, or benefits in lieu of PSU awards, even if PSUs have been granted in the past; </w:t>
      </w:r>
    </w:p>
    <w:p>
      <w:pPr>
        <w:pStyle w:val="TextBody"/>
        <w:spacing w:before="0" w:after="240"/>
        <w:jc w:val="left"/>
        <w:rPr>
          <w:rFonts w:ascii="Times New Roman" w:hAnsi="Times New Roman"/>
          <w:b w:val="false"/>
          <w:sz w:val="22"/>
        </w:rPr>
      </w:pPr>
      <w:r>
        <w:rPr>
          <w:rFonts w:ascii="Times New Roman" w:hAnsi="Times New Roman"/>
          <w:b w:val="false"/>
          <w:sz w:val="22"/>
        </w:rPr>
        <w:t>(c)</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all decisions with respect to future PSUs or other grants, if any, will be at the sole discretion of the Company; </w:t>
      </w:r>
    </w:p>
    <w:p>
      <w:pPr>
        <w:pStyle w:val="TextBody"/>
        <w:spacing w:before="0" w:after="240"/>
        <w:jc w:val="left"/>
        <w:rPr>
          <w:rFonts w:ascii="Times New Roman" w:hAnsi="Times New Roman"/>
          <w:b w:val="false"/>
          <w:sz w:val="22"/>
        </w:rPr>
      </w:pPr>
      <w:r>
        <w:rPr>
          <w:rFonts w:ascii="Times New Roman" w:hAnsi="Times New Roman"/>
          <w:b w:val="false"/>
          <w:sz w:val="22"/>
        </w:rPr>
        <w:t>(d)</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Colleague’s participation in the Plan is voluntary;</w:t>
      </w:r>
    </w:p>
    <w:p>
      <w:pPr>
        <w:pStyle w:val="TextBody"/>
        <w:spacing w:before="0" w:after="240"/>
        <w:jc w:val="left"/>
        <w:rPr>
          <w:rFonts w:ascii="Times New Roman" w:hAnsi="Times New Roman"/>
          <w:b w:val="false"/>
          <w:sz w:val="22"/>
        </w:rPr>
      </w:pPr>
      <w:r>
        <w:rPr>
          <w:rFonts w:ascii="Times New Roman" w:hAnsi="Times New Roman"/>
          <w:b w:val="false"/>
          <w:sz w:val="22"/>
        </w:rPr>
        <w:t>(e)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PSUs and any Shares acquired under the Plan, and the income and the value of same, are not intended to replace any pension rights or compensation under any pension arrangement;</w:t>
      </w:r>
    </w:p>
    <w:p>
      <w:pPr>
        <w:pStyle w:val="TextBody"/>
        <w:spacing w:before="0" w:after="240"/>
        <w:jc w:val="left"/>
        <w:rPr>
          <w:rFonts w:ascii="Times New Roman" w:hAnsi="Times New Roman"/>
          <w:b w:val="false"/>
          <w:sz w:val="22"/>
        </w:rPr>
      </w:pPr>
      <w:r>
        <w:rPr>
          <w:rFonts w:ascii="Times New Roman" w:hAnsi="Times New Roman"/>
          <w:b w:val="false"/>
          <w:sz w:val="22"/>
        </w:rPr>
        <w:t>(f)</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PSUs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 </w:t>
      </w:r>
    </w:p>
    <w:p>
      <w:pPr>
        <w:pStyle w:val="TextBody"/>
        <w:spacing w:before="0" w:after="240"/>
        <w:jc w:val="left"/>
        <w:rPr>
          <w:rFonts w:ascii="Times New Roman" w:hAnsi="Times New Roman"/>
          <w:b w:val="false"/>
          <w:sz w:val="22"/>
        </w:rPr>
      </w:pPr>
      <w:r>
        <w:rPr>
          <w:rFonts w:ascii="Times New Roman" w:hAnsi="Times New Roman"/>
          <w:b w:val="false"/>
          <w:sz w:val="22"/>
        </w:rPr>
        <w:t>(g)</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unless otherwise agreed with the Company, the PSUs and the Shares subject to the PSUs, and the income and value of same, are not granted as consideration for, or in connection with, services the Colleague may provide as a director of any Subsidiary or affiliate;</w:t>
      </w:r>
    </w:p>
    <w:p>
      <w:pPr>
        <w:pStyle w:val="TextBody"/>
        <w:spacing w:before="0" w:after="240"/>
        <w:jc w:val="left"/>
        <w:rPr>
          <w:rFonts w:ascii="Times New Roman" w:hAnsi="Times New Roman"/>
          <w:b w:val="false"/>
          <w:sz w:val="22"/>
        </w:rPr>
      </w:pPr>
      <w:r>
        <w:rPr>
          <w:rFonts w:ascii="Times New Roman" w:hAnsi="Times New Roman"/>
          <w:b w:val="false"/>
          <w:sz w:val="22"/>
        </w:rPr>
        <w:t>(h)</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the future value of the Shares underlying the PSUs is unknown, indeterminable, and cannot be predicted with certainty; </w:t>
      </w:r>
    </w:p>
    <w:p>
      <w:pPr>
        <w:pStyle w:val="TextBody"/>
        <w:spacing w:before="0" w:after="0"/>
        <w:jc w:val="left"/>
        <w:rPr>
          <w:rFonts w:ascii="Times New Roman" w:hAnsi="Times New Roman"/>
          <w:b w:val="false"/>
          <w:sz w:val="22"/>
        </w:rPr>
      </w:pPr>
      <w:r>
        <w:rPr>
          <w:rFonts w:ascii="Times New Roman" w:hAnsi="Times New Roman"/>
          <w:b w:val="false"/>
          <w:sz w:val="22"/>
        </w:rPr>
        <w:t>(i)</w:t>
      </w:r>
    </w:p>
    <w:p>
      <w:pPr>
        <w:pStyle w:val="TextBody"/>
        <w:jc w:val="left"/>
        <w:rPr>
          <w:rFonts w:ascii="Times New Roman;serif" w:hAnsi="Times New Roman;serif"/>
          <w:b w:val="false"/>
          <w:sz w:val="22"/>
        </w:rPr>
      </w:pPr>
      <w:r>
        <w:rPr>
          <w:rFonts w:ascii="Times New Roman;serif" w:hAnsi="Times New Roman;serif"/>
          <w:b w:val="false"/>
          <w:sz w:val="22"/>
        </w:rPr>
        <w:t xml:space="preserve">no claim or entitlement to compensation or damages shall arise from forfeiture of the PSUs or the underlying Shares resulting from the Colleague’s termination of Service (for any reason whatsoever,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10</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jc w:val="left"/>
        <w:rPr/>
      </w:pPr>
      <w:r>
        <w:rPr>
          <w:rFonts w:ascii="Times New Roman;serif" w:hAnsi="Times New Roman;serif"/>
          <w:b w:val="false"/>
          <w:sz w:val="22"/>
        </w:rPr>
        <w:t>whether or not later found to be invalid or in breach of employment laws in the jurisdiction where the Colleague is employed or the terms of their employment agreement, if any);</w:t>
      </w:r>
      <w:r>
        <w:rPr/>
        <w:t xml:space="preserve"> </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(j)</w:t>
      </w:r>
    </w:p>
    <w:p>
      <w:pPr>
        <w:pStyle w:val="TextBody"/>
        <w:jc w:val="left"/>
        <w:rPr>
          <w:rFonts w:ascii="Times New Roman;serif" w:hAnsi="Times New Roman;serif"/>
          <w:b w:val="false"/>
          <w:sz w:val="22"/>
        </w:rPr>
      </w:pPr>
      <w:r>
        <w:rPr>
          <w:rFonts w:ascii="Times New Roman;serif" w:hAnsi="Times New Roman;serif"/>
          <w:b w:val="false"/>
          <w:sz w:val="22"/>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Change of Control or similar event affecting the Shares of the Company; and</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(k)</w:t>
      </w:r>
    </w:p>
    <w:p>
      <w:pPr>
        <w:pStyle w:val="TextBody"/>
        <w:jc w:val="left"/>
        <w:rPr>
          <w:rFonts w:ascii="Times New Roman;serif" w:hAnsi="Times New Roman;serif"/>
          <w:b w:val="false"/>
          <w:sz w:val="22"/>
        </w:rPr>
      </w:pPr>
      <w:r>
        <w:rPr>
          <w:rFonts w:ascii="Times New Roman;serif" w:hAnsi="Times New Roman;serif"/>
          <w:b w:val="false"/>
          <w:sz w:val="22"/>
        </w:rPr>
        <w:t>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PSUs or of any amounts due to the Colleague pursuant to the settlement of the PSUs or the subsequent sale of any Shares acquired upon settlement.</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4.2</w:t>
      </w:r>
    </w:p>
    <w:p>
      <w:pPr>
        <w:pStyle w:val="TextBody"/>
        <w:spacing w:before="0" w:after="240"/>
        <w:jc w:val="left"/>
        <w:rPr/>
      </w:pPr>
      <w:r>
        <w:rPr>
          <w:rFonts w:ascii="Times New Roman;serif" w:hAnsi="Times New Roman;serif"/>
          <w:b w:val="false"/>
          <w:sz w:val="22"/>
        </w:rPr>
        <w:t>-</w:t>
      </w:r>
      <w:r>
        <w:rPr>
          <w:u w:val="single"/>
        </w:rPr>
        <w:t xml:space="preserve"> </w:t>
      </w:r>
      <w:r>
        <w:rPr>
          <w:rFonts w:ascii="Times New Roman;serif" w:hAnsi="Times New Roman;serif"/>
          <w:b w:val="false"/>
          <w:sz w:val="22"/>
          <w:u w:val="single"/>
        </w:rPr>
        <w:t>No Advice Regarding Grant</w:t>
      </w:r>
      <w:r>
        <w:rPr/>
        <w:t xml:space="preserv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Company its Subsidiaries and Designated Associate Companies are not providing any tax, legal or financial advice, nor is the Company making any recommendations regarding the Colleague’s participation in the Plan, the issuance of Shares upon vesting of the PSUs or sale of the Shares. The Colleague should consult with their own personal tax, legal and financial advisors regarding their participation in the Plan before taking any action related to the Plan.</w:t>
      </w:r>
    </w:p>
    <w:p>
      <w:pPr>
        <w:pStyle w:val="TextBody"/>
        <w:spacing w:before="0" w:after="240"/>
        <w:jc w:val="center"/>
        <w:rPr>
          <w:rFonts w:ascii="Times New Roman" w:hAnsi="Times New Roman"/>
          <w:b w:val="false"/>
          <w:sz w:val="24"/>
        </w:rPr>
      </w:pPr>
      <w:r>
        <w:rPr>
          <w:rFonts w:ascii="Times New Roman" w:hAnsi="Times New Roman"/>
          <w:b w:val="false"/>
          <w:sz w:val="24"/>
        </w:rPr>
        <w:t>ARTICLE V</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 xml:space="preserve">DATA PRIVACY NOTICE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5.1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Data Privacy</w:t>
      </w:r>
      <w:r>
        <w:rPr/>
        <w:t xml:space="preserve"> </w:t>
      </w:r>
    </w:p>
    <w:p>
      <w:pPr>
        <w:pStyle w:val="TextBody"/>
        <w:spacing w:before="0" w:after="210"/>
        <w:jc w:val="left"/>
        <w:rPr>
          <w:rFonts w:ascii="Times New Roman" w:hAnsi="Times New Roman"/>
          <w:sz w:val="20"/>
        </w:rPr>
      </w:pPr>
      <w:r>
        <w:rPr>
          <w:rFonts w:ascii="Times New Roman;serif" w:hAnsi="Times New Roman;serif"/>
          <w:b/>
          <w:i/>
          <w:sz w:val="22"/>
        </w:rPr>
        <w:t xml:space="preserve">The Company is located at </w:t>
      </w:r>
      <w:r>
        <w:rPr>
          <w:rFonts w:ascii="Times New Roman;serif" w:hAnsi="Times New Roman;serif"/>
          <w:b/>
          <w:sz w:val="22"/>
        </w:rPr>
        <w:t>5</w:t>
      </w:r>
      <w:r>
        <w:rPr>
          <w:rFonts w:ascii="Times New Roman;serif" w:hAnsi="Times New Roman;serif"/>
          <w:b/>
          <w:i/>
          <w:sz w:val="22"/>
        </w:rPr>
        <w:t>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D to this Agreement.</w:t>
      </w:r>
    </w:p>
    <w:p>
      <w:pPr>
        <w:pStyle w:val="TextBody"/>
        <w:spacing w:before="0" w:after="240"/>
        <w:jc w:val="center"/>
        <w:rPr>
          <w:rFonts w:ascii="Times New Roman" w:hAnsi="Times New Roman"/>
          <w:b w:val="false"/>
          <w:sz w:val="24"/>
        </w:rPr>
      </w:pPr>
      <w:r>
        <w:rPr>
          <w:rFonts w:ascii="Times New Roman" w:hAnsi="Times New Roman"/>
          <w:b w:val="false"/>
          <w:sz w:val="24"/>
        </w:rPr>
        <w:t>ARTICLE VI</w:t>
      </w:r>
    </w:p>
    <w:p>
      <w:pPr>
        <w:pStyle w:val="TextBody"/>
        <w:spacing w:before="0" w:after="240"/>
        <w:jc w:val="center"/>
        <w:rPr>
          <w:rFonts w:ascii="Times New Roman;serif" w:hAnsi="Times New Roman;serif"/>
          <w:b w:val="false"/>
          <w:sz w:val="22"/>
          <w:u w:val="single"/>
        </w:rPr>
      </w:pPr>
      <w:r>
        <w:rPr>
          <w:rFonts w:ascii="Times New Roman;serif" w:hAnsi="Times New Roman;serif"/>
          <w:b w:val="false"/>
          <w:sz w:val="22"/>
          <w:u w:val="single"/>
        </w:rPr>
        <w:t>AGREEMENT OF RESTRICTIVE COVENANTS AND OTHER OBLIGATIONS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6.1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Restrictive Covenants and Other Obligations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In consideration of the grant of PSUs,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PSUs.</w:t>
      </w:r>
    </w:p>
    <w:p>
      <w:pPr>
        <w:pStyle w:val="TextBody"/>
        <w:spacing w:before="0" w:after="240"/>
        <w:jc w:val="center"/>
        <w:rPr>
          <w:rFonts w:ascii="Times New Roman" w:hAnsi="Times New Roman"/>
          <w:b w:val="false"/>
          <w:sz w:val="24"/>
        </w:rPr>
      </w:pPr>
      <w:r>
        <w:rPr>
          <w:rFonts w:ascii="Times New Roman" w:hAnsi="Times New Roman"/>
          <w:b w:val="false"/>
          <w:sz w:val="24"/>
        </w:rPr>
        <w:t>ARTICLE VII</w:t>
      </w:r>
    </w:p>
    <w:p>
      <w:pPr>
        <w:pStyle w:val="TextBody"/>
        <w:spacing w:before="0" w:after="240"/>
        <w:jc w:val="center"/>
        <w:rPr/>
      </w:pPr>
      <w:r>
        <w:rPr>
          <w:rFonts w:ascii="Times New Roman;serif" w:hAnsi="Times New Roman;serif"/>
          <w:b w:val="false"/>
          <w:sz w:val="22"/>
        </w:rPr>
        <w:br/>
        <w:br/>
      </w:r>
      <w:r>
        <w:rPr>
          <w:rFonts w:ascii="Times New Roman;serif" w:hAnsi="Times New Roman;serif"/>
          <w:b w:val="false"/>
          <w:sz w:val="22"/>
          <w:u w:val="single"/>
        </w:rPr>
        <w:t>MISCELLANEOUS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Administration</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PSUs. In its absolute discretion, the Committee may at any time and from time to time exercise any and all rights and duties of the Committee under the Plan and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PSUs Not Transferable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Neither the PSUs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Binding Effect</w:t>
      </w:r>
    </w:p>
    <w:p>
      <w:pPr>
        <w:pStyle w:val="TextBody"/>
        <w:spacing w:before="0" w:after="240"/>
        <w:jc w:val="left"/>
        <w:rPr>
          <w:rFonts w:ascii="Times New Roman" w:hAnsi="Times New Roman"/>
          <w:sz w:val="20"/>
        </w:rPr>
      </w:pPr>
      <w:r>
        <w:rPr>
          <w:rFonts w:ascii="Times New Roman;serif" w:hAnsi="Times New Roman;serif"/>
          <w:b w:val="false"/>
          <w:sz w:val="22"/>
        </w:rPr>
        <w:t>The provisions of this Agreement shall be binding upon and accrue to the benefit of the parties hereto and their respective heirs, legal representatives, successors and assigns.</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Notices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Any notice to be given under the terms of this Agreement to the Company shall be addressed to the Company at the following address:</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Willis Towers Watson plc</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c/o Matthew S. Furman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General Counsel</w:t>
      </w:r>
    </w:p>
    <w:p>
      <w:pPr>
        <w:pStyle w:val="TextBody"/>
        <w:spacing w:before="0" w:after="0"/>
        <w:jc w:val="left"/>
        <w:rPr>
          <w:rFonts w:ascii="Times New Roman;serif" w:hAnsi="Times New Roman;serif"/>
          <w:b w:val="false"/>
          <w:sz w:val="22"/>
        </w:rPr>
      </w:pPr>
      <w:r>
        <w:rPr>
          <w:rFonts w:ascii="Times New Roman;serif" w:hAnsi="Times New Roman;serif"/>
          <w:b w:val="false"/>
          <w:sz w:val="22"/>
        </w:rPr>
        <w:t>200 Liberty Street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New York, NY 10281</w:t>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and any notice to be given to the Colleague shall be at their address.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7.5</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Titles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Titles are provided herein for convenience only and are not to serve as a basis for interpretation or construction of this Agreement.</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 xml:space="preserve">Applicability of Plan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PSUs and the Shares underlying the PSUs shall be subject to all of the terms and provisions of the Plan, to the extent applicable to the PSUs and the underlying Shares. In the event of any conflict between this Agreement and the Plan, the terms of the Plan shall control.</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Amendment</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7.8</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Governing Law</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pStyle w:val="TextBody"/>
        <w:spacing w:before="0" w:after="0"/>
        <w:jc w:val="left"/>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7.9</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Jurisdiction</w:t>
      </w:r>
    </w:p>
    <w:p>
      <w:pPr>
        <w:pStyle w:val="TextBody"/>
        <w:spacing w:before="0" w:after="0"/>
        <w:jc w:val="left"/>
        <w:rPr>
          <w:rFonts w:ascii="Times New Roman" w:hAnsi="Times New Roman"/>
          <w:sz w:val="20"/>
        </w:rPr>
      </w:pPr>
      <w:r>
        <w:rPr>
          <w:rFonts w:ascii="Times New Roman;serif" w:hAnsi="Times New Roman;serif"/>
          <w:b w:val="false"/>
          <w:sz w:val="22"/>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7.10</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Electronic Delivery and Acceptance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7.11</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Choice of Language</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7.12</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Severability</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provisions of this Agreement are severable and if any one or more provisions are determined to be illegal or otherwise unenforceable, in whole or in part, the remaining provisions shall nevertheless be binding and enforceable.</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7.13</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Schedule A</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PSUs shall be subject to any special provisions set forth in Schedule A for the Colleague’s country of residence, if any. If the Colleague relocates to one of the countries included in Schedule A prior to the vesting of the PSUs, the special provisions for such country shall apply to the Colleague, to the extent the Company determines that the application of such provisions is necessary or advisable for legal or administrative reasons. Schedule A constitutes part of this Agreement.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7.14</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Imposition of Other Requirements</w:t>
      </w:r>
      <w:r>
        <w:rPr/>
        <w:t xml:space="preserve">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Company reserves the right to impose other requirements on the PSUs and the Shares acquired upon vesting of the PSUs, to the extent the Company determines it is necessary or advisable for legal or administrative reasons, and to require the Colleague to sign any additional agreements or undertakings that may be necessary to accomplish the foregoing.</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7.15</w:t>
      </w:r>
    </w:p>
    <w:p>
      <w:pPr>
        <w:pStyle w:val="TextBody"/>
        <w:spacing w:before="0" w:after="240"/>
        <w:jc w:val="left"/>
        <w:rPr>
          <w:rFonts w:ascii="Times New Roman;serif" w:hAnsi="Times New Roman;serif"/>
          <w:b w:val="false"/>
          <w:sz w:val="22"/>
          <w:u w:val="single"/>
        </w:rPr>
      </w:pPr>
      <w:r>
        <w:rPr>
          <w:rFonts w:ascii="Times New Roman;serif" w:hAnsi="Times New Roman;serif"/>
          <w:b w:val="false"/>
          <w:sz w:val="22"/>
          <w:u w:val="single"/>
        </w:rPr>
        <w:t xml:space="preserve">- Insider Trading / Market Abuse Laws </w:t>
      </w:r>
    </w:p>
    <w:p>
      <w:pPr>
        <w:pStyle w:val="TextBody"/>
        <w:spacing w:before="0" w:after="240"/>
        <w:jc w:val="left"/>
        <w:rPr>
          <w:rFonts w:ascii="Times New Roman" w:hAnsi="Times New Roman"/>
          <w:sz w:val="20"/>
        </w:rPr>
      </w:pPr>
      <w:r>
        <w:rPr>
          <w:rFonts w:ascii="Times New Roman;serif" w:hAnsi="Times New Roman;serif"/>
          <w:b w:val="false"/>
          <w:sz w:val="22"/>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serif" w:hAnsi="Times New Roman;serif"/>
          <w:b w:val="false"/>
          <w:i/>
          <w:sz w:val="22"/>
        </w:rPr>
        <w:t>e.g.</w:t>
      </w:r>
      <w:r>
        <w:rPr>
          <w:rFonts w:ascii="Times New Roman;serif" w:hAnsi="Times New Roman;serif"/>
          <w:b w:val="false"/>
          <w:sz w:val="22"/>
        </w:rPr>
        <w:t>, PSUs)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r>
        <w:rPr>
          <w:rFonts w:ascii="Times New Roman" w:hAnsi="Times New Roman"/>
          <w:sz w:val="20"/>
        </w:rPr>
        <w:t xml:space="preserve">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7.16</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Foreign Asset/Account Reporting Requirements and Exchange Controls</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7.17</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Waiver</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pStyle w:val="TextBody"/>
        <w:spacing w:before="0" w:after="0"/>
        <w:jc w:val="both"/>
        <w:rPr/>
      </w:pPr>
      <w:r>
        <w:rPr/>
        <w:t> </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7.18</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Counterparts</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This Agreement may be executed in any number of counterparts, each of which shall be deemed to be an original and all of which together shall constitute one and the same instrument.</w:t>
      </w:r>
    </w:p>
    <w:p>
      <w:pPr>
        <w:pStyle w:val="TextBody"/>
        <w:spacing w:before="0" w:after="240"/>
        <w:jc w:val="left"/>
        <w:rPr>
          <w:rFonts w:ascii="Times New Roman" w:hAnsi="Times New Roman"/>
          <w:b w:val="false"/>
          <w:sz w:val="22"/>
          <w:u w:val="single"/>
        </w:rPr>
      </w:pPr>
      <w:r>
        <w:rPr>
          <w:rFonts w:ascii="Times New Roman" w:hAnsi="Times New Roman"/>
          <w:b w:val="false"/>
          <w:sz w:val="22"/>
          <w:u w:val="single"/>
        </w:rPr>
        <w:t>Section 7.19</w:t>
      </w:r>
    </w:p>
    <w:p>
      <w:pPr>
        <w:pStyle w:val="TextBody"/>
        <w:spacing w:before="0" w:after="240"/>
        <w:jc w:val="left"/>
        <w:rPr/>
      </w:pPr>
      <w:r>
        <w:rPr>
          <w:rFonts w:ascii="Times New Roman;serif" w:hAnsi="Times New Roman;serif"/>
          <w:b w:val="false"/>
          <w:sz w:val="22"/>
        </w:rPr>
        <w:t xml:space="preserve">- </w:t>
      </w:r>
      <w:r>
        <w:rPr>
          <w:rFonts w:ascii="Times New Roman;serif" w:hAnsi="Times New Roman;serif"/>
          <w:b w:val="false"/>
          <w:sz w:val="22"/>
          <w:u w:val="single"/>
        </w:rPr>
        <w:t>Code Section 409A</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For purposes of United States taxpayers, it is intended that the terms of the PSUs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pStyle w:val="TextBody"/>
        <w:spacing w:before="100" w:after="100"/>
        <w:jc w:val="left"/>
        <w:rPr>
          <w:rFonts w:ascii="Times New Roman;serif" w:hAnsi="Times New Roman;serif"/>
          <w:b/>
          <w:i/>
          <w:sz w:val="22"/>
        </w:rPr>
      </w:pPr>
      <w:r>
        <w:rPr>
          <w:rFonts w:ascii="Times New Roman;serif" w:hAnsi="Times New Roman;serif"/>
          <w:b/>
          <w:i/>
          <w:sz w:val="22"/>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PSUs are granted under and governed by the terms and conditions of the Plan and this Agreement (including the Schedules attached hereto).</w:t>
      </w:r>
    </w:p>
    <w:p>
      <w:pPr>
        <w:pStyle w:val="TextBody"/>
        <w:spacing w:before="100" w:after="10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Chief Human Resources Officer</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 _______Colleague 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0" w:after="240"/>
        <w:jc w:val="left"/>
        <w:rPr/>
      </w:pPr>
      <w:r>
        <w:rPr/>
        <w:t> </w:t>
      </w:r>
    </w:p>
    <w:p>
      <w:pPr>
        <w:pStyle w:val="TextBody"/>
        <w:spacing w:before="0" w:after="240"/>
        <w:jc w:val="righ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15</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240"/>
        <w:jc w:val="right"/>
        <w:rPr>
          <w:rFonts w:ascii="Times New Roman;serif" w:hAnsi="Times New Roman;serif"/>
          <w:b/>
          <w:caps/>
          <w:sz w:val="22"/>
          <w:u w:val="single"/>
        </w:rPr>
      </w:pPr>
      <w:r>
        <w:rPr>
          <w:rFonts w:ascii="Times New Roman;serif" w:hAnsi="Times New Roman;serif"/>
          <w:b/>
          <w:caps/>
          <w:sz w:val="22"/>
          <w:u w:val="single"/>
        </w:rPr>
        <w:t>Schedule A</w:t>
      </w:r>
    </w:p>
    <w:p>
      <w:pPr>
        <w:pStyle w:val="TextBody"/>
        <w:spacing w:before="0" w:after="0"/>
        <w:jc w:val="center"/>
        <w:rPr>
          <w:rFonts w:ascii="Times New Roman;serif" w:hAnsi="Times New Roman;serif"/>
          <w:b/>
          <w:sz w:val="22"/>
        </w:rPr>
      </w:pPr>
      <w:r>
        <w:rPr>
          <w:rFonts w:ascii="Times New Roman;serif" w:hAnsi="Times New Roman;serif"/>
          <w:b/>
          <w:sz w:val="22"/>
        </w:rPr>
        <w:t>COUNTRY-SPECIFIC APPENDIX TO RESTRICTED SHARE UNIT AWARD AGREEMENT</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caps/>
          <w:sz w:val="22"/>
        </w:rPr>
        <w:t>WILLIS TOWERS WATSON PUBLIC LIMITED COMPANY</w:t>
      </w:r>
      <w:r>
        <w:rPr>
          <w:rFonts w:ascii="Times New Roman" w:hAnsi="Times New Roman"/>
          <w:caps/>
          <w:sz w:val="20"/>
        </w:rPr>
        <w:t xml:space="preserve"> </w:t>
      </w:r>
    </w:p>
    <w:p>
      <w:pPr>
        <w:pStyle w:val="TextBody"/>
        <w:spacing w:before="0" w:after="0"/>
        <w:jc w:val="center"/>
        <w:rPr>
          <w:rFonts w:ascii="Times New Roman;serif" w:hAnsi="Times New Roman;serif"/>
          <w:b/>
          <w:caps/>
          <w:sz w:val="22"/>
        </w:rPr>
      </w:pPr>
      <w:r>
        <w:rPr>
          <w:rFonts w:ascii="Times New Roman;serif" w:hAnsi="Times New Roman;serif"/>
          <w:b/>
          <w:caps/>
          <w:sz w:val="22"/>
        </w:rPr>
        <w:t>2012 EQUITY INCENTIVE PLAN</w:t>
      </w:r>
    </w:p>
    <w:p>
      <w:pPr>
        <w:pStyle w:val="TextBody"/>
        <w:spacing w:before="0" w:after="0"/>
        <w:jc w:val="center"/>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Capitalized terms used but not defined herein shall have the meanings ascribed to them in the Agreement or the Plan.</w:t>
      </w:r>
    </w:p>
    <w:p>
      <w:pPr>
        <w:pStyle w:val="TextBody"/>
        <w:spacing w:before="0" w:after="24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left"/>
        <w:rPr>
          <w:rFonts w:ascii="Times New Roman" w:hAnsi="Times New Roman"/>
          <w:sz w:val="20"/>
        </w:rPr>
      </w:pPr>
      <w:r>
        <w:rPr>
          <w:rFonts w:ascii="Times New Roman;serif" w:hAnsi="Times New Roman;serif"/>
          <w:b w:val="false"/>
          <w:sz w:val="22"/>
        </w:rPr>
        <w:t>This Schedule A includes additional terms and conditions that govern the Performance-Based Restricted Share Unit Award granted to the Colleague under the Willis Towers Watson Public Limited Company 2012 Equity Incentive Plan, as amended from time to time (the “Plan”) and the applicable Performance-Based Restricted Share Unit Agreement (the “Agreement”) if the Colleague resides in one of the countries listed below.</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Notwithstanding Section 1.13 and 3.1(f) of the Agreement, if the Company receives a legal opinion that there has been a legal judgment and/or legal development in the Colleague’s jurisdiction that likely would result in the favorable treatment that applies to the PSUs as a result of the Colleague’s retirement or reaching a certain age being unlawful and/or discriminatory, the favorable treatment contemplated under Section 1.13 and 3.1(f) shall not apply and Section 3.1 shall apply to the Colleague without giving effect to Section 3.1(f).</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Notifications</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Schedule A also includes information based on the securities, exchange control and other laws in effect in the Colleague’s country as of March 2023.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PSUs vest under the Plan.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 xml:space="preserve">In addition, the information is general in nature. The Company is not providing the Colleague with any tax advice with respect to the PSUs. The information provided below may not apply to the Colleague’s particular situation, and the Company is not in a position to assure the Colleague of any particular result. </w:t>
      </w:r>
      <w:r>
        <w:rPr>
          <w:rFonts w:ascii="Times New Roman;serif" w:hAnsi="Times New Roman;serif"/>
          <w:b w:val="false"/>
          <w:i/>
          <w:sz w:val="22"/>
        </w:rPr>
        <w:t>Accordingly, the Colleague should seek appropriate professional advice as to how the tax or other laws in the Colleague’s country apply to the Colleague’s situation.</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caps/>
          <w:sz w:val="22"/>
          <w:u w:val="single"/>
        </w:rPr>
      </w:pPr>
      <w:r>
        <w:rPr>
          <w:rFonts w:ascii="Times New Roman;serif" w:hAnsi="Times New Roman;serif"/>
          <w:b/>
          <w:caps/>
          <w:sz w:val="22"/>
          <w:u w:val="single"/>
        </w:rPr>
        <w:t>IRELAND</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PSU Payment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provision supplements Section 2.2 of the Agreement:</w:t>
      </w:r>
    </w:p>
    <w:p>
      <w:pPr>
        <w:pStyle w:val="TextBody"/>
        <w:spacing w:before="0" w:after="0"/>
        <w:jc w:val="left"/>
        <w:rPr>
          <w:rFonts w:ascii="Times New Roman" w:hAnsi="Times New Roman"/>
          <w:sz w:val="20"/>
        </w:rPr>
      </w:pPr>
      <w:r>
        <w:rPr>
          <w:rFonts w:ascii="Times New Roman;serif" w:hAnsi="Times New Roman;serif"/>
          <w:b w:val="false"/>
          <w:sz w:val="22"/>
        </w:rPr>
        <w:t>Notwithstanding any discretion in the Plan or anything to the contrary in the Agreement, the PSUs do not provide any right for the Colleague to receive a cash payment and the PSUs will be settled in Shares only.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Notifications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Director Reporting Obligation</w:t>
      </w:r>
    </w:p>
    <w:p>
      <w:pPr>
        <w:pStyle w:val="TextBody"/>
        <w:spacing w:before="0" w:after="0"/>
        <w:jc w:val="left"/>
        <w:rPr>
          <w:rFonts w:ascii="Times New Roman" w:hAnsi="Times New Roman"/>
          <w:sz w:val="20"/>
        </w:rPr>
      </w:pPr>
      <w:r>
        <w:rPr>
          <w:rFonts w:ascii="Times New Roman;serif" w:hAnsi="Times New Roman;serif"/>
          <w:b w:val="false"/>
          <w:sz w:val="22"/>
        </w:rPr>
        <w:t>If the Colleague is a director, shadow director or secretary of the Company or an Irish Subsidiary, they must notify the Company or the Irish Subsidiary in writing if the Colleague receives or disposes of an interest exceeding 1% of the Company (</w:t>
      </w:r>
      <w:r>
        <w:rPr>
          <w:rFonts w:ascii="Times New Roman;serif" w:hAnsi="Times New Roman;serif"/>
          <w:b w:val="false"/>
          <w:i/>
          <w:sz w:val="22"/>
        </w:rPr>
        <w:t>e.g</w:t>
      </w:r>
      <w:r>
        <w:rPr>
          <w:rFonts w:ascii="Times New Roman;serif" w:hAnsi="Times New Roman;serif"/>
          <w:b w:val="false"/>
          <w:sz w:val="22"/>
        </w:rPr>
        <w:t>., PSUs, Shares, etc.), if the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pStyle w:val="TextBody"/>
        <w:spacing w:before="0" w:after="0"/>
        <w:jc w:val="left"/>
        <w:rPr/>
      </w:pPr>
      <w:r>
        <w:rPr/>
        <w:t> </w:t>
      </w:r>
    </w:p>
    <w:p>
      <w:pPr>
        <w:pStyle w:val="TextBody"/>
        <w:spacing w:before="0" w:after="0"/>
        <w:jc w:val="left"/>
        <w:rPr>
          <w:rFonts w:ascii="Times New Roman;serif" w:hAnsi="Times New Roman;serif"/>
          <w:b/>
          <w:caps/>
          <w:sz w:val="22"/>
          <w:u w:val="single"/>
        </w:rPr>
      </w:pPr>
      <w:r>
        <w:rPr>
          <w:rFonts w:ascii="Times New Roman;serif" w:hAnsi="Times New Roman;serif"/>
          <w:b/>
          <w:caps/>
          <w:sz w:val="22"/>
          <w:u w:val="single"/>
        </w:rPr>
        <w:t>United Kingdom</w:t>
      </w:r>
    </w:p>
    <w:p>
      <w:pPr>
        <w:pStyle w:val="TextBody"/>
        <w:spacing w:before="0" w:after="0"/>
        <w:jc w:val="left"/>
        <w:rPr/>
      </w:pPr>
      <w:r>
        <w:rPr/>
        <w:t> </w:t>
      </w:r>
    </w:p>
    <w:p>
      <w:pPr>
        <w:pStyle w:val="TextBody"/>
        <w:spacing w:before="0" w:after="0"/>
        <w:jc w:val="left"/>
        <w:rPr>
          <w:rFonts w:ascii="Times New Roman;serif" w:hAnsi="Times New Roman;serif"/>
          <w:b/>
          <w:i/>
          <w:sz w:val="22"/>
        </w:rPr>
      </w:pPr>
      <w:r>
        <w:rPr>
          <w:rFonts w:ascii="Times New Roman;serif" w:hAnsi="Times New Roman;serif"/>
          <w:b/>
          <w:i/>
          <w:sz w:val="22"/>
        </w:rPr>
        <w:t>Terms and Conditions</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PSU Payment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This provision supplements Section 2.2 of the Agreement:</w:t>
      </w:r>
    </w:p>
    <w:p>
      <w:pPr>
        <w:pStyle w:val="TextBody"/>
        <w:spacing w:before="0" w:after="0"/>
        <w:jc w:val="left"/>
        <w:rPr>
          <w:rFonts w:ascii="Times New Roman" w:hAnsi="Times New Roman"/>
          <w:sz w:val="20"/>
        </w:rPr>
      </w:pPr>
      <w:r>
        <w:rPr>
          <w:rFonts w:ascii="Times New Roman;serif" w:hAnsi="Times New Roman;serif"/>
          <w:b w:val="false"/>
          <w:sz w:val="22"/>
        </w:rPr>
        <w:t>Notwithstanding any discretion in the Plan or anything to the contrary in the Agreement, the PSUs do not provide any right for the Colleague to receive a cash payment and the PSUs will be settled in Shares only.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Tax Withholding</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following provisions supplement Section 2.5 of the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Without limitation to Section 2.5 of the Agreement, the Colleague agrees that they are liable for all Tax-Related Items and hereby covenants to pay all such Tax-Related Items, as and when requested by the Company or the Employer or by Her Majesty’s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r>
        <w:rPr>
          <w:rFonts w:ascii="Times New Roman" w:hAnsi="Times New Roman"/>
          <w:sz w:val="20"/>
        </w:rPr>
        <w:t xml:space="preserve"> </w:t>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w:t>
      </w:r>
      <w:r>
        <w:rPr>
          <w:rFonts w:ascii="Times New Roman" w:hAnsi="Times New Roman"/>
          <w:sz w:val="20"/>
        </w:rPr>
        <w:t xml:space="preserv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sz w:val="20"/>
        </w:rPr>
      </w:pPr>
      <w:r>
        <w:rPr>
          <w:rFonts w:ascii="Times New Roman;serif" w:hAnsi="Times New Roman;serif"/>
          <w:b w:val="false"/>
          <w:sz w:val="22"/>
        </w:rPr>
        <w:t>Colleague by the Company or the Employer at any time thereafter by any of the means referred to in Section 2.5 of the Agreement.</w:t>
      </w:r>
      <w:r>
        <w:rPr>
          <w:rFonts w:ascii="Times New Roman" w:hAnsi="Times New Roman"/>
          <w:sz w:val="20"/>
        </w:rPr>
        <w:t xml:space="preserve"> </w:t>
      </w:r>
    </w:p>
    <w:p>
      <w:pPr>
        <w:pStyle w:val="TextBody"/>
        <w:spacing w:before="0" w:after="240"/>
        <w:jc w:val="left"/>
        <w:rPr>
          <w:rFonts w:ascii="Times New Roman;serif" w:hAnsi="Times New Roman;serif"/>
          <w:b/>
          <w:sz w:val="22"/>
          <w:u w:val="single"/>
        </w:rPr>
      </w:pPr>
      <w:r>
        <w:rPr>
          <w:rFonts w:ascii="Times New Roman;serif" w:hAnsi="Times New Roman;serif"/>
          <w:b/>
          <w:sz w:val="22"/>
          <w:u w:val="single"/>
        </w:rPr>
        <w:t>UNITED STATES OF AMERICA</w:t>
      </w:r>
    </w:p>
    <w:p>
      <w:pPr>
        <w:pStyle w:val="TextBody"/>
        <w:spacing w:before="0" w:after="0"/>
        <w:jc w:val="left"/>
        <w:rPr>
          <w:rFonts w:ascii="Times New Roman" w:hAnsi="Times New Roman"/>
          <w:sz w:val="20"/>
        </w:rPr>
      </w:pPr>
      <w:r>
        <w:rPr>
          <w:rFonts w:ascii="Times New Roman;serif" w:hAnsi="Times New Roman;serif"/>
          <w:b/>
          <w:i/>
          <w:sz w:val="22"/>
        </w:rPr>
        <w:t>Notifications</w:t>
        <w:br/>
        <w:br/>
      </w:r>
      <w:r>
        <w:rPr>
          <w:rFonts w:ascii="Times New Roman;serif" w:hAnsi="Times New Roman;serif"/>
          <w:b/>
          <w:sz w:val="22"/>
        </w:rPr>
        <w:t>Exchange Control Information</w:t>
      </w:r>
    </w:p>
    <w:p>
      <w:pPr>
        <w:pStyle w:val="TextBody"/>
        <w:spacing w:before="0" w:after="0"/>
        <w:jc w:val="left"/>
        <w:rPr>
          <w:rFonts w:ascii="Times New Roman" w:hAnsi="Times New Roman"/>
          <w:sz w:val="20"/>
        </w:rPr>
      </w:pPr>
      <w:r>
        <w:rPr>
          <w:rFonts w:ascii="Times New Roman;serif" w:hAnsi="Times New Roman;serif"/>
          <w:b w:val="false"/>
          <w:sz w:val="22"/>
        </w:rPr>
        <w:t>Under the Foreign Account Tax Compliance Act (“FATCA”), United States taxpayers who hold Shares or rights to acquire Shares (</w:t>
      </w:r>
      <w:r>
        <w:rPr>
          <w:rFonts w:ascii="Times New Roman;serif" w:hAnsi="Times New Roman;serif"/>
          <w:b w:val="false"/>
          <w:i/>
          <w:sz w:val="22"/>
        </w:rPr>
        <w:t>i.e</w:t>
      </w:r>
      <w:r>
        <w:rPr>
          <w:rFonts w:ascii="Times New Roman;serif" w:hAnsi="Times New Roman;serif"/>
          <w:b w:val="false"/>
          <w:sz w:val="22"/>
        </w:rPr>
        <w:t>., PSUs) may be required to report certain information related to their holdings to the extent the aggregate value of the PSUs/Shares exceeds certain thresholds (depending on the Colleague’s filing status) with the Colleague’s annual tax return. The Colleague should consult with their personal tax or legal advisor regarding any FATCA reporting requirements with respect to the PSUs or any Shares acquired under the Plan.</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left"/>
        <w:rPr/>
      </w:pPr>
      <w:r>
        <w:rPr/>
        <w:t> </w:t>
      </w:r>
    </w:p>
    <w:p>
      <w:pPr>
        <w:pStyle w:val="TextBody"/>
        <w:spacing w:before="0" w:after="240"/>
        <w:jc w:val="right"/>
        <w:rPr>
          <w:rFonts w:ascii="Times New Roman;serif" w:hAnsi="Times New Roman;serif"/>
          <w:b/>
          <w:sz w:val="22"/>
          <w:u w:val="single"/>
        </w:rPr>
      </w:pPr>
      <w:r>
        <w:rPr>
          <w:rFonts w:ascii="Times New Roman;serif" w:hAnsi="Times New Roman;serif"/>
          <w:b/>
          <w:sz w:val="22"/>
          <w:u w:val="single"/>
        </w:rPr>
        <w:t>SCHEDULE B- US</w:t>
      </w:r>
    </w:p>
    <w:p>
      <w:pPr>
        <w:pStyle w:val="TextBody"/>
        <w:spacing w:before="0" w:after="240"/>
        <w:jc w:val="center"/>
        <w:rPr>
          <w:rFonts w:ascii="Times New Roman;serif" w:hAnsi="Times New Roman;serif"/>
          <w:b/>
          <w:sz w:val="22"/>
        </w:rPr>
      </w:pPr>
      <w:r>
        <w:rPr>
          <w:rFonts w:ascii="Times New Roman;serif" w:hAnsi="Times New Roman;serif"/>
          <w:b/>
          <w:sz w:val="22"/>
        </w:rPr>
        <w:t>AGREEMENT OF RESTRICTIVE COVENANTS AND OTHER OBLIGATIONS FOR EMPLOYEES IN THE UNITED STATES</w:t>
      </w:r>
    </w:p>
    <w:p>
      <w:pPr>
        <w:pStyle w:val="TextBody"/>
        <w:spacing w:before="0" w:after="0"/>
        <w:jc w:val="both"/>
        <w:rPr>
          <w:rFonts w:ascii="Times New Roman" w:hAnsi="Times New Roman"/>
          <w:sz w:val="20"/>
        </w:rPr>
      </w:pPr>
      <w:r>
        <w:rPr>
          <w:rFonts w:ascii="Times New Roman;serif" w:hAnsi="Times New Roman;serif"/>
          <w:b w:val="false"/>
          <w:sz w:val="22"/>
        </w:rPr>
        <w:t>This Agreement of Restrictive Covenants and Other Obligations for Employees in the United States (the “</w:t>
      </w:r>
      <w:r>
        <w:rPr>
          <w:rFonts w:ascii="Times New Roman;serif" w:hAnsi="Times New Roman;serif"/>
          <w:b w:val="false"/>
          <w:sz w:val="22"/>
          <w:u w:val="single"/>
        </w:rPr>
        <w:t>RCA</w:t>
      </w:r>
      <w:r>
        <w:rPr>
          <w:rFonts w:ascii="Times New Roman" w:hAnsi="Times New Roman"/>
          <w:sz w:val="20"/>
        </w:rPr>
        <w:t>”</w:t>
      </w:r>
      <w:r>
        <w:rPr>
          <w:rFonts w:ascii="Times New Roman;serif" w:hAnsi="Times New Roman;serif"/>
          <w:b w:val="false"/>
          <w:sz w:val="22"/>
        </w:rPr>
        <w:t>) is entered into by and between Willis Towers Watson Public Limited Company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the Colleague (the “</w:t>
      </w:r>
      <w:r>
        <w:rPr>
          <w:rFonts w:ascii="Times New Roman;serif" w:hAnsi="Times New Roman;serif"/>
          <w:b w:val="false"/>
          <w:sz w:val="22"/>
          <w:u w:val="single"/>
        </w:rPr>
        <w:t>Colleague</w:t>
      </w:r>
      <w:r>
        <w:rPr>
          <w:rFonts w:ascii="Times New Roman" w:hAnsi="Times New Roman"/>
          <w:sz w:val="20"/>
        </w:rPr>
        <w:t>”</w:t>
      </w:r>
      <w:r>
        <w:rPr>
          <w:rFonts w:ascii="Times New Roman;serif" w:hAnsi="Times New Roman;serif"/>
          <w:b w:val="false"/>
          <w:sz w:val="22"/>
        </w:rPr>
        <w:t>) to be effective as of the date the Colleague signs or electronically accepts this RCA.</w:t>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RECITALS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Colleague is employed by a Subsidiary of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subject to approval by the Committee or the Company’s Share Award Committee, the Colleague has been designated to receive a grant of performance-based restricted share units (“</w:t>
      </w:r>
      <w:r>
        <w:rPr>
          <w:rFonts w:ascii="Times New Roman;serif" w:hAnsi="Times New Roman;serif"/>
          <w:b w:val="false"/>
          <w:sz w:val="22"/>
          <w:u w:val="single"/>
        </w:rPr>
        <w:t>PSUs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Awards</w:t>
      </w:r>
      <w:r>
        <w:rPr>
          <w:rFonts w:ascii="Times New Roman" w:hAnsi="Times New Roman"/>
          <w:sz w:val="20"/>
        </w:rPr>
        <w:t>”</w:t>
      </w:r>
      <w:r>
        <w:rPr>
          <w:rFonts w:ascii="Times New Roman;serif" w:hAnsi="Times New Roman;serif"/>
          <w:b w:val="false"/>
          <w:sz w:val="22"/>
        </w:rPr>
        <w:t>) under the Company’s 2012 Equity Incentive Plan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any Award granted to the Colleague is subject to the terms and conditions of the Plan, the award agreement evidencing the Colleague’s Award (including any country specific terms thereto) and this RCA, and in consideration of the Award, the Colleague shall enter into and acknowledge their agreement to the terms and conditions of the Plan, the award agreement and this RCA; and</w:t>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Colleague acknowledges and agrees that they desire to receive the Award and understands and agrees any Award is subject to the terms and conditions set forth in the Plan, the applicable award agreement and this RCA.</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promises contained herein and for other valuable consideration, in particular the Award, the receipt and sufficiency of which is hereby acknowledged in this recital and within Section 6.4 below, the Parties hereto agree, with the intent to be bound, as follows:</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Recitals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Recitals set forth above are an integral part of this RCA, and are incorporated herein by reference.</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2</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Definitions</w:t>
      </w:r>
    </w:p>
    <w:p>
      <w:pPr>
        <w:pStyle w:val="TextBody"/>
        <w:spacing w:before="0" w:after="210"/>
        <w:jc w:val="left"/>
        <w:rPr>
          <w:rFonts w:ascii="Times New Roman" w:hAnsi="Times New Roman"/>
          <w:b w:val="false"/>
          <w:sz w:val="22"/>
        </w:rPr>
      </w:pPr>
      <w:r>
        <w:rPr>
          <w:rFonts w:ascii="Times New Roman" w:hAnsi="Times New Roman"/>
          <w:b w:val="false"/>
          <w:sz w:val="22"/>
        </w:rPr>
        <w:t>1.1.</w:t>
      </w:r>
    </w:p>
    <w:p>
      <w:pPr>
        <w:pStyle w:val="TextBody"/>
        <w:spacing w:before="0" w:after="210"/>
        <w:jc w:val="left"/>
        <w:rPr/>
      </w:pPr>
      <w:r>
        <w:rPr/>
        <w:t>“</w:t>
      </w:r>
      <w:r>
        <w:rPr>
          <w:rFonts w:ascii="Times New Roman;serif" w:hAnsi="Times New Roman;serif"/>
          <w:b/>
          <w:sz w:val="22"/>
        </w:rPr>
        <w:t>Award</w:t>
      </w:r>
      <w:r>
        <w:rPr/>
        <w:t xml:space="preserve">” </w:t>
      </w:r>
      <w:r>
        <w:rPr>
          <w:rFonts w:ascii="Times New Roman;serif" w:hAnsi="Times New Roman;serif"/>
          <w:b w:val="false"/>
          <w:sz w:val="22"/>
        </w:rPr>
        <w:t>shall have the meaning as set forth in the recitals.</w:t>
      </w:r>
    </w:p>
    <w:p>
      <w:pPr>
        <w:pStyle w:val="TextBody"/>
        <w:spacing w:before="0" w:after="210"/>
        <w:jc w:val="both"/>
        <w:rPr>
          <w:rFonts w:ascii="Times New Roman" w:hAnsi="Times New Roman"/>
          <w:b w:val="false"/>
          <w:sz w:val="22"/>
        </w:rPr>
      </w:pPr>
      <w:r>
        <w:rPr>
          <w:rFonts w:ascii="Times New Roman" w:hAnsi="Times New Roman"/>
          <w:b w:val="false"/>
          <w:sz w:val="22"/>
        </w:rPr>
        <w:t>1.2.</w:t>
      </w:r>
    </w:p>
    <w:p>
      <w:pPr>
        <w:pStyle w:val="TextBody"/>
        <w:spacing w:before="0" w:after="210"/>
        <w:jc w:val="both"/>
        <w:rPr/>
      </w:pPr>
      <w:r>
        <w:rPr/>
        <w:t>“</w:t>
      </w:r>
      <w:r>
        <w:rPr>
          <w:rFonts w:ascii="Times New Roman;serif" w:hAnsi="Times New Roman;serif"/>
          <w:b/>
          <w:sz w:val="22"/>
        </w:rPr>
        <w:t>Business</w:t>
      </w:r>
      <w:r>
        <w:rPr/>
        <w:t xml:space="preserve">” </w:t>
      </w:r>
      <w:r>
        <w:rPr>
          <w:rFonts w:ascii="Times New Roman;serif" w:hAnsi="Times New Roman;serif"/>
          <w:b w:val="false"/>
          <w:sz w:val="22"/>
        </w:rPr>
        <w:t xml:space="preserve">shall mean insurance brokerage, reinsurance brokerage, surety brokerage, bond brokerage, insurance agency, underwriting agency, managing general agency, risk management, claims administration, self-insurance, risk management consulting or other business performed by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1.3.</w:t>
      </w:r>
    </w:p>
    <w:p>
      <w:pPr>
        <w:pStyle w:val="TextBody"/>
        <w:spacing w:before="0" w:after="210"/>
        <w:jc w:val="both"/>
        <w:rPr/>
      </w:pPr>
      <w:r>
        <w:rPr/>
        <w:t>“</w:t>
      </w:r>
      <w:r>
        <w:rPr>
          <w:rFonts w:ascii="Times New Roman;serif" w:hAnsi="Times New Roman;serif"/>
          <w:b/>
          <w:sz w:val="22"/>
        </w:rPr>
        <w:t>Committee</w:t>
      </w:r>
      <w:r>
        <w:rPr/>
        <w:t xml:space="preserve">” </w:t>
      </w:r>
      <w:r>
        <w:rPr>
          <w:rFonts w:ascii="Times New Roman;serif" w:hAnsi="Times New Roman;serif"/>
          <w:b w:val="false"/>
          <w:sz w:val="22"/>
        </w:rPr>
        <w:t xml:space="preserve">shall have the same meaning as set forth in the Plan or the applicable award agreement. </w:t>
      </w:r>
    </w:p>
    <w:p>
      <w:pPr>
        <w:pStyle w:val="TextBody"/>
        <w:spacing w:before="0" w:after="210"/>
        <w:jc w:val="both"/>
        <w:rPr>
          <w:rFonts w:ascii="Times New Roman" w:hAnsi="Times New Roman"/>
          <w:b w:val="false"/>
          <w:sz w:val="22"/>
        </w:rPr>
      </w:pPr>
      <w:r>
        <w:rPr>
          <w:rFonts w:ascii="Times New Roman" w:hAnsi="Times New Roman"/>
          <w:b w:val="false"/>
          <w:sz w:val="22"/>
        </w:rPr>
        <w:t>1.4.</w:t>
      </w:r>
    </w:p>
    <w:p>
      <w:pPr>
        <w:pStyle w:val="TextBody"/>
        <w:spacing w:before="0" w:after="210"/>
        <w:jc w:val="both"/>
        <w:rPr/>
      </w:pPr>
      <w:r>
        <w:rPr/>
        <w:t>“</w:t>
      </w:r>
      <w:r>
        <w:rPr>
          <w:rFonts w:ascii="Times New Roman;serif" w:hAnsi="Times New Roman;serif"/>
          <w:b/>
          <w:sz w:val="22"/>
        </w:rPr>
        <w:t>Competitor</w:t>
      </w:r>
      <w:r>
        <w:rPr/>
        <w:t xml:space="preserve">” </w:t>
      </w:r>
      <w:r>
        <w:rPr>
          <w:rFonts w:ascii="Times New Roman;serif" w:hAnsi="Times New Roman;serif"/>
          <w:b w:val="false"/>
          <w:sz w:val="22"/>
        </w:rPr>
        <w:t xml:space="preserve">shall mean any business principally engaged in insurance brokerage, reinsurance brokerage, surety brokerage, bond brokerage, insurance agency, underwriting agency, managing general agency, risk management, claims administration, self-insurance,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risk management consulting or other business which is either performed by the Restricted Group or is a business in which the Restricted Group has taken steps toward engaging.</w:t>
      </w:r>
      <w:r>
        <w:rPr/>
        <w:t xml:space="preserve"> </w:t>
      </w:r>
    </w:p>
    <w:p>
      <w:pPr>
        <w:pStyle w:val="TextBody"/>
        <w:spacing w:before="0" w:after="210"/>
        <w:jc w:val="both"/>
        <w:rPr>
          <w:rFonts w:ascii="Times New Roman" w:hAnsi="Times New Roman"/>
          <w:b w:val="false"/>
          <w:sz w:val="22"/>
        </w:rPr>
      </w:pPr>
      <w:r>
        <w:rPr>
          <w:rFonts w:ascii="Times New Roman" w:hAnsi="Times New Roman"/>
          <w:b w:val="false"/>
          <w:sz w:val="22"/>
        </w:rPr>
        <w:t>1.5.</w:t>
      </w:r>
    </w:p>
    <w:p>
      <w:pPr>
        <w:pStyle w:val="TextBody"/>
        <w:spacing w:before="0" w:after="210"/>
        <w:jc w:val="both"/>
        <w:rPr/>
      </w:pPr>
      <w:r>
        <w:rPr/>
        <w:t>“</w:t>
      </w:r>
      <w:r>
        <w:rPr>
          <w:rFonts w:ascii="Times New Roman;serif" w:hAnsi="Times New Roman;serif"/>
          <w:b/>
          <w:sz w:val="22"/>
        </w:rPr>
        <w:t>Confidential Information</w:t>
      </w:r>
      <w:r>
        <w:rPr/>
        <w:t xml:space="preserve">” </w:t>
      </w:r>
      <w:r>
        <w:rPr>
          <w:rFonts w:ascii="Times New Roman;serif" w:hAnsi="Times New Roman;serif"/>
          <w:b w:val="false"/>
          <w:sz w:val="22"/>
        </w:rPr>
        <w:t>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pStyle w:val="TextBody"/>
        <w:spacing w:before="0" w:after="210"/>
        <w:jc w:val="both"/>
        <w:rPr>
          <w:rFonts w:ascii="Times New Roman" w:hAnsi="Times New Roman"/>
          <w:b w:val="false"/>
          <w:sz w:val="22"/>
        </w:rPr>
      </w:pPr>
      <w:r>
        <w:rPr>
          <w:rFonts w:ascii="Times New Roman" w:hAnsi="Times New Roman"/>
          <w:b w:val="false"/>
          <w:sz w:val="22"/>
        </w:rPr>
        <w:t>1.6.</w:t>
      </w:r>
    </w:p>
    <w:p>
      <w:pPr>
        <w:pStyle w:val="TextBody"/>
        <w:spacing w:before="0" w:after="210"/>
        <w:jc w:val="both"/>
        <w:rPr/>
      </w:pPr>
      <w:r>
        <w:rPr/>
        <w:t>“</w:t>
      </w:r>
      <w:r>
        <w:rPr>
          <w:rFonts w:ascii="Times New Roman;serif" w:hAnsi="Times New Roman;serif"/>
          <w:b/>
          <w:sz w:val="22"/>
        </w:rPr>
        <w:t>Directly or indirectly</w:t>
      </w:r>
      <w:r>
        <w:rPr/>
        <w:t xml:space="preserve">” </w:t>
      </w:r>
      <w:r>
        <w:rPr>
          <w:rFonts w:ascii="Times New Roman;serif" w:hAnsi="Times New Roman;serif"/>
          <w:b w:val="false"/>
          <w:sz w:val="22"/>
        </w:rPr>
        <w:t>shall mean the Colleague acting either alone or jointly with or on behalf of or by means of or in concert with any other person, firm or company (whether as principal, partner, manager, employee, contractor, director, consultant, investor or similar capacity) or otherwise.</w:t>
      </w:r>
    </w:p>
    <w:p>
      <w:pPr>
        <w:pStyle w:val="TextBody"/>
        <w:spacing w:before="0" w:after="210"/>
        <w:jc w:val="both"/>
        <w:rPr>
          <w:rFonts w:ascii="Times New Roman" w:hAnsi="Times New Roman"/>
          <w:b w:val="false"/>
          <w:sz w:val="22"/>
        </w:rPr>
      </w:pPr>
      <w:r>
        <w:rPr>
          <w:rFonts w:ascii="Times New Roman" w:hAnsi="Times New Roman"/>
          <w:b w:val="false"/>
          <w:sz w:val="22"/>
        </w:rPr>
        <w:t>1.7.</w:t>
      </w:r>
    </w:p>
    <w:p>
      <w:pPr>
        <w:pStyle w:val="TextBody"/>
        <w:spacing w:before="0" w:after="210"/>
        <w:jc w:val="both"/>
        <w:rPr/>
      </w:pPr>
      <w:r>
        <w:rPr/>
        <w:t>“</w:t>
      </w:r>
      <w:r>
        <w:rPr>
          <w:rFonts w:ascii="Times New Roman;serif" w:hAnsi="Times New Roman;serif"/>
          <w:b/>
          <w:sz w:val="22"/>
        </w:rPr>
        <w:t>Employer</w:t>
      </w:r>
      <w:r>
        <w:rPr/>
        <w:t xml:space="preserve">” </w:t>
      </w:r>
      <w:r>
        <w:rPr>
          <w:rFonts w:ascii="Times New Roman;serif" w:hAnsi="Times New Roman;serif"/>
          <w:b w:val="false"/>
          <w:sz w:val="22"/>
        </w:rPr>
        <w:t>shall mean the Subsidiary that employs the Colleague. If the Company ever becomes an employer of the Colleague, then the term Employer shall refer to the Company.</w:t>
      </w:r>
    </w:p>
    <w:p>
      <w:pPr>
        <w:pStyle w:val="TextBody"/>
        <w:spacing w:before="0" w:after="210"/>
        <w:jc w:val="both"/>
        <w:rPr>
          <w:rFonts w:ascii="Times New Roman" w:hAnsi="Times New Roman"/>
          <w:b w:val="false"/>
          <w:sz w:val="22"/>
        </w:rPr>
      </w:pPr>
      <w:r>
        <w:rPr>
          <w:rFonts w:ascii="Times New Roman" w:hAnsi="Times New Roman"/>
          <w:b w:val="false"/>
          <w:sz w:val="22"/>
        </w:rPr>
        <w:t>1.8.</w:t>
      </w:r>
    </w:p>
    <w:p>
      <w:pPr>
        <w:pStyle w:val="TextBody"/>
        <w:spacing w:before="0" w:after="210"/>
        <w:jc w:val="both"/>
        <w:rPr/>
      </w:pPr>
      <w:r>
        <w:rPr/>
        <w:t>“</w:t>
      </w:r>
      <w:r>
        <w:rPr>
          <w:rFonts w:ascii="Times New Roman;serif" w:hAnsi="Times New Roman;serif"/>
          <w:b/>
          <w:sz w:val="22"/>
        </w:rPr>
        <w:t>Employment Agreement</w:t>
      </w:r>
      <w:r>
        <w:rPr/>
        <w:t xml:space="preserve">” </w:t>
      </w:r>
      <w:r>
        <w:rPr>
          <w:rFonts w:ascii="Times New Roman;serif" w:hAnsi="Times New Roman;serif"/>
          <w:b w:val="false"/>
          <w:sz w:val="22"/>
        </w:rPr>
        <w:t>shall mean the contractual terms and conditions which govern the employment of the Colleague by Employer.</w:t>
      </w:r>
    </w:p>
    <w:p>
      <w:pPr>
        <w:pStyle w:val="TextBody"/>
        <w:spacing w:before="0" w:after="210"/>
        <w:jc w:val="both"/>
        <w:rPr>
          <w:rFonts w:ascii="Times New Roman" w:hAnsi="Times New Roman"/>
          <w:b w:val="false"/>
          <w:sz w:val="22"/>
        </w:rPr>
      </w:pPr>
      <w:r>
        <w:rPr>
          <w:rFonts w:ascii="Times New Roman" w:hAnsi="Times New Roman"/>
          <w:b w:val="false"/>
          <w:sz w:val="22"/>
        </w:rPr>
        <w:t>1.9.</w:t>
      </w:r>
    </w:p>
    <w:p>
      <w:pPr>
        <w:pStyle w:val="TextBody"/>
        <w:spacing w:before="0" w:after="210"/>
        <w:jc w:val="both"/>
        <w:rPr/>
      </w:pPr>
      <w:r>
        <w:rPr/>
        <w:t>“</w:t>
      </w:r>
      <w:r>
        <w:rPr>
          <w:rFonts w:ascii="Times New Roman;serif" w:hAnsi="Times New Roman;serif"/>
          <w:b/>
          <w:sz w:val="22"/>
        </w:rPr>
        <w:t>Key Personnel</w:t>
      </w:r>
      <w:r>
        <w:rPr/>
        <w:t xml:space="preserve">” </w:t>
      </w:r>
      <w:r>
        <w:rPr>
          <w:rFonts w:ascii="Times New Roman;serif" w:hAnsi="Times New Roman;serif"/>
          <w:b w:val="false"/>
          <w:sz w:val="22"/>
        </w:rPr>
        <w:t>shall mean any person who is at the date the Colleague ceases to be an employee of Employer or was (i) at any time during the period of twelve (12) months prior to that date employed by the Restricted Group, (ii) an employee with whom Colleague had dealings, and (iii) employed by or engaged in the Business in a managerial capacity, or was an employee with insurance, reinsurance or other technical expertise.</w:t>
      </w:r>
    </w:p>
    <w:p>
      <w:pPr>
        <w:pStyle w:val="TextBody"/>
        <w:spacing w:before="0" w:after="210"/>
        <w:jc w:val="both"/>
        <w:rPr>
          <w:rFonts w:ascii="Times New Roman" w:hAnsi="Times New Roman"/>
          <w:b w:val="false"/>
          <w:sz w:val="22"/>
        </w:rPr>
      </w:pPr>
      <w:r>
        <w:rPr>
          <w:rFonts w:ascii="Times New Roman" w:hAnsi="Times New Roman"/>
          <w:b w:val="false"/>
          <w:sz w:val="22"/>
        </w:rPr>
        <w:t>1.10.</w:t>
      </w:r>
    </w:p>
    <w:p>
      <w:pPr>
        <w:pStyle w:val="TextBody"/>
        <w:spacing w:before="0" w:after="210"/>
        <w:jc w:val="both"/>
        <w:rPr/>
      </w:pPr>
      <w:r>
        <w:rPr/>
        <w:t>“</w:t>
      </w:r>
      <w:r>
        <w:rPr>
          <w:rFonts w:ascii="Times New Roman;serif" w:hAnsi="Times New Roman;serif"/>
          <w:b/>
          <w:sz w:val="22"/>
        </w:rPr>
        <w:t>Plan</w:t>
      </w:r>
      <w:r>
        <w:rPr/>
        <w:t xml:space="preserve">” </w:t>
      </w:r>
      <w:r>
        <w:rPr>
          <w:rFonts w:ascii="Times New Roman;serif" w:hAnsi="Times New Roman;serif"/>
          <w:b w:val="false"/>
          <w:sz w:val="22"/>
        </w:rPr>
        <w:t>shall have the meaning set forth in the recitals.</w:t>
      </w:r>
    </w:p>
    <w:p>
      <w:pPr>
        <w:pStyle w:val="TextBody"/>
        <w:spacing w:before="0" w:after="210"/>
        <w:jc w:val="both"/>
        <w:rPr>
          <w:rFonts w:ascii="Times New Roman" w:hAnsi="Times New Roman"/>
          <w:b w:val="false"/>
          <w:sz w:val="22"/>
        </w:rPr>
      </w:pPr>
      <w:r>
        <w:rPr>
          <w:rFonts w:ascii="Times New Roman" w:hAnsi="Times New Roman"/>
          <w:b w:val="false"/>
          <w:sz w:val="22"/>
        </w:rPr>
        <w:t>1.11.</w:t>
      </w:r>
    </w:p>
    <w:p>
      <w:pPr>
        <w:pStyle w:val="TextBody"/>
        <w:spacing w:before="0" w:after="210"/>
        <w:jc w:val="both"/>
        <w:rPr/>
      </w:pPr>
      <w:r>
        <w:rPr/>
        <w:t>“</w:t>
      </w:r>
      <w:r>
        <w:rPr>
          <w:rFonts w:ascii="Times New Roman;serif" w:hAnsi="Times New Roman;serif"/>
          <w:b/>
          <w:sz w:val="22"/>
        </w:rPr>
        <w:t>Relevant Area</w:t>
      </w:r>
      <w:r>
        <w:rPr/>
        <w:t xml:space="preserve">” </w:t>
      </w:r>
      <w:r>
        <w:rPr>
          <w:rFonts w:ascii="Times New Roman;serif" w:hAnsi="Times New Roman;serif"/>
          <w:b w:val="false"/>
          <w:sz w:val="22"/>
        </w:rPr>
        <w:t>shall mean the counties, parishes, districts, municipalities, cities, metropolitan regions, localities and similar geographic and political subdivisions, within and outside of the United States of America, in which the Employer, the Company or any of its Subsidiaries has carried on Business in which the Colleague has been involved or concerned or working on at any time during the period of twelve (12) months prior to the date on which the Colleague ceases to be employed by Employer.</w:t>
      </w:r>
    </w:p>
    <w:p>
      <w:pPr>
        <w:pStyle w:val="TextBody"/>
        <w:spacing w:before="0" w:after="210"/>
        <w:jc w:val="both"/>
        <w:rPr>
          <w:rFonts w:ascii="Times New Roman" w:hAnsi="Times New Roman"/>
          <w:b w:val="false"/>
          <w:sz w:val="22"/>
        </w:rPr>
      </w:pPr>
      <w:r>
        <w:rPr>
          <w:rFonts w:ascii="Times New Roman" w:hAnsi="Times New Roman"/>
          <w:b w:val="false"/>
          <w:sz w:val="22"/>
        </w:rPr>
        <w:t>1.12.</w:t>
      </w:r>
    </w:p>
    <w:p>
      <w:pPr>
        <w:pStyle w:val="TextBody"/>
        <w:spacing w:before="0" w:after="210"/>
        <w:jc w:val="both"/>
        <w:rPr/>
      </w:pPr>
      <w:r>
        <w:rPr/>
        <w:t>“</w:t>
      </w:r>
      <w:r>
        <w:rPr>
          <w:rFonts w:ascii="Times New Roman;serif" w:hAnsi="Times New Roman;serif"/>
          <w:b/>
          <w:sz w:val="22"/>
        </w:rPr>
        <w:t>Relevant Client</w:t>
      </w:r>
      <w:r>
        <w:rPr/>
        <w:t xml:space="preserve">” </w:t>
      </w:r>
      <w:r>
        <w:rPr>
          <w:rFonts w:ascii="Times New Roman;serif" w:hAnsi="Times New Roman;serif"/>
          <w:b w:val="false"/>
          <w:sz w:val="22"/>
        </w:rPr>
        <w:t>shall mean any person, firm or company who or which at any time during the period of twelve (12) months prior to the date on which the Colleague ceases to be employed by Employer is or was a client or customer of the Employer, the Company or any of its Subsidiaries or was in the habit and/or practice of dealing under contract with the Employer, the Company or any of its Subsidiaries and with whom or which the Colleague had dealings related to the Business or for whose relationship with the Employer, the Company or any of its Subsidiaries the Colleague had responsibility at any time during the said period.</w:t>
      </w:r>
    </w:p>
    <w:p>
      <w:pPr>
        <w:pStyle w:val="TextBody"/>
        <w:spacing w:before="0" w:after="210"/>
        <w:jc w:val="left"/>
        <w:rPr>
          <w:rFonts w:ascii="Times New Roman" w:hAnsi="Times New Roman"/>
          <w:b w:val="false"/>
          <w:sz w:val="22"/>
        </w:rPr>
      </w:pPr>
      <w:r>
        <w:rPr>
          <w:rFonts w:ascii="Times New Roman" w:hAnsi="Times New Roman"/>
          <w:b w:val="false"/>
          <w:sz w:val="22"/>
        </w:rPr>
        <w:t>1.13.</w:t>
      </w:r>
    </w:p>
    <w:p>
      <w:pPr>
        <w:pStyle w:val="TextBody"/>
        <w:spacing w:before="0" w:after="210"/>
        <w:jc w:val="left"/>
        <w:rPr/>
      </w:pPr>
      <w:r>
        <w:rPr/>
        <w:t>“</w:t>
      </w:r>
      <w:r>
        <w:rPr>
          <w:rFonts w:ascii="Times New Roman;serif" w:hAnsi="Times New Roman;serif"/>
          <w:b/>
          <w:sz w:val="22"/>
        </w:rPr>
        <w:t>Relevant Period</w:t>
      </w:r>
      <w:r>
        <w:rPr/>
        <w:t xml:space="preserve">” </w:t>
      </w:r>
      <w:r>
        <w:rPr>
          <w:rFonts w:ascii="Times New Roman;serif" w:hAnsi="Times New Roman;serif"/>
          <w:b w:val="false"/>
          <w:sz w:val="22"/>
        </w:rPr>
        <w:t>shall mean the period of twenty four (24) months following the date on which the Colleague ceases to be employed by Employer.</w:t>
      </w:r>
    </w:p>
    <w:p>
      <w:pPr>
        <w:pStyle w:val="TextBody"/>
        <w:spacing w:before="0" w:after="210"/>
        <w:jc w:val="both"/>
        <w:rPr>
          <w:rFonts w:ascii="Times New Roman" w:hAnsi="Times New Roman"/>
          <w:b w:val="false"/>
          <w:sz w:val="22"/>
        </w:rPr>
      </w:pPr>
      <w:r>
        <w:rPr>
          <w:rFonts w:ascii="Times New Roman" w:hAnsi="Times New Roman"/>
          <w:b w:val="false"/>
          <w:sz w:val="22"/>
        </w:rPr>
        <w:t>1.14.</w:t>
      </w:r>
    </w:p>
    <w:p>
      <w:pPr>
        <w:pStyle w:val="TextBody"/>
        <w:spacing w:before="0" w:after="210"/>
        <w:jc w:val="both"/>
        <w:rPr/>
      </w:pPr>
      <w:r>
        <w:rPr/>
        <w:t>“</w:t>
      </w:r>
      <w:r>
        <w:rPr>
          <w:rFonts w:ascii="Times New Roman;serif" w:hAnsi="Times New Roman;serif"/>
          <w:b/>
          <w:sz w:val="22"/>
        </w:rPr>
        <w:t>Relevant Prospect</w:t>
      </w:r>
      <w:r>
        <w:rPr/>
        <w:t xml:space="preserve">” </w:t>
      </w:r>
      <w:r>
        <w:rPr>
          <w:rFonts w:ascii="Times New Roman;serif" w:hAnsi="Times New Roman;serif"/>
          <w:b w:val="false"/>
          <w:sz w:val="22"/>
        </w:rPr>
        <w:t xml:space="preserve">shall mean any person, firm or company who or which at any time during the period of six (6) months prior to the date on which the Colleague ceases to be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employed by Employer was an active prospective client of the Employer, the Company or any of its Subsidiaries with whom or with which the Colleague had dealings related to the Business (other than in a minimal and non-material way).</w:t>
      </w:r>
    </w:p>
    <w:p>
      <w:pPr>
        <w:pStyle w:val="TextBody"/>
        <w:spacing w:before="0" w:after="210"/>
        <w:jc w:val="both"/>
        <w:rPr>
          <w:rFonts w:ascii="Times New Roman" w:hAnsi="Times New Roman"/>
          <w:b w:val="false"/>
          <w:sz w:val="22"/>
        </w:rPr>
      </w:pPr>
      <w:r>
        <w:rPr>
          <w:rFonts w:ascii="Times New Roman" w:hAnsi="Times New Roman"/>
          <w:b w:val="false"/>
          <w:sz w:val="22"/>
        </w:rPr>
        <w:t>1.15.</w:t>
      </w:r>
    </w:p>
    <w:p>
      <w:pPr>
        <w:pStyle w:val="TextBody"/>
        <w:spacing w:before="0" w:after="210"/>
        <w:jc w:val="both"/>
        <w:rPr/>
      </w:pPr>
      <w:r>
        <w:rPr/>
        <w:t>“</w:t>
      </w:r>
      <w:r>
        <w:rPr>
          <w:rFonts w:ascii="Times New Roman;serif" w:hAnsi="Times New Roman;serif"/>
          <w:b/>
          <w:sz w:val="22"/>
        </w:rPr>
        <w:t>Restricted Group</w:t>
      </w:r>
      <w:r>
        <w:rPr/>
        <w:t xml:space="preserve">” </w:t>
      </w:r>
      <w:r>
        <w:rPr>
          <w:rFonts w:ascii="Times New Roman;serif" w:hAnsi="Times New Roman;serif"/>
          <w:b w:val="false"/>
          <w:sz w:val="22"/>
        </w:rPr>
        <w:t xml:space="preserve">shall mean the Company and its Subsidiaries, including the Employer, as in existence during the Colleague’s employment with Employer and as of the date such employment ceases. </w:t>
      </w:r>
    </w:p>
    <w:p>
      <w:pPr>
        <w:pStyle w:val="TextBody"/>
        <w:spacing w:before="0" w:after="210"/>
        <w:jc w:val="both"/>
        <w:rPr>
          <w:rFonts w:ascii="Times New Roman" w:hAnsi="Times New Roman"/>
          <w:b w:val="false"/>
          <w:sz w:val="22"/>
        </w:rPr>
      </w:pPr>
      <w:r>
        <w:rPr>
          <w:rFonts w:ascii="Times New Roman" w:hAnsi="Times New Roman"/>
          <w:b w:val="false"/>
          <w:sz w:val="22"/>
        </w:rPr>
        <w:t>1.16.</w:t>
      </w:r>
    </w:p>
    <w:p>
      <w:pPr>
        <w:pStyle w:val="TextBody"/>
        <w:spacing w:before="0" w:after="210"/>
        <w:jc w:val="both"/>
        <w:rPr/>
      </w:pPr>
      <w:r>
        <w:rPr/>
        <w:t>“</w:t>
      </w:r>
      <w:r>
        <w:rPr>
          <w:rFonts w:ascii="Times New Roman;serif" w:hAnsi="Times New Roman;serif"/>
          <w:b/>
          <w:sz w:val="22"/>
        </w:rPr>
        <w:t>Subsidiary</w:t>
      </w:r>
      <w:r>
        <w:rPr/>
        <w:t xml:space="preserve">” </w:t>
      </w:r>
      <w:r>
        <w:rPr>
          <w:rFonts w:ascii="Times New Roman;serif" w:hAnsi="Times New Roman;serif"/>
          <w:b w:val="false"/>
          <w:sz w:val="22"/>
        </w:rPr>
        <w:t>shall mean a direct and/or indirect subsidiary of the Company as well as any associate company which is designated by the Company as being eligible for participation in the Plan.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3</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Restrictive Covenants and Other Obligations</w:t>
      </w:r>
    </w:p>
    <w:p>
      <w:pPr>
        <w:pStyle w:val="TextBody"/>
        <w:spacing w:before="0" w:after="210"/>
        <w:jc w:val="both"/>
        <w:rPr>
          <w:rFonts w:ascii="Times New Roman" w:hAnsi="Times New Roman"/>
          <w:b w:val="false"/>
          <w:sz w:val="22"/>
        </w:rPr>
      </w:pPr>
      <w:r>
        <w:rPr>
          <w:rFonts w:ascii="Times New Roman" w:hAnsi="Times New Roman"/>
          <w:b w:val="false"/>
          <w:sz w:val="22"/>
        </w:rPr>
        <w:t>3.1.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acknowledges that by virtue of their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3.2.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to a Competitor, or otherwise, except as reasonably may be required to be disclosed by the Colleague in the ordinary performance of their duties for Employer or as required by law. Notwithstanding the foregoing,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pStyle w:val="TextBody"/>
        <w:spacing w:before="0" w:after="210"/>
        <w:jc w:val="both"/>
        <w:rPr>
          <w:rFonts w:ascii="Times New Roman" w:hAnsi="Times New Roman"/>
          <w:b w:val="false"/>
          <w:sz w:val="22"/>
        </w:rPr>
      </w:pPr>
      <w:r>
        <w:rPr>
          <w:rFonts w:ascii="Times New Roman" w:hAnsi="Times New Roman"/>
          <w:b w:val="false"/>
          <w:sz w:val="22"/>
        </w:rPr>
        <w:t>3.3.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pStyle w:val="TextBody"/>
        <w:spacing w:before="0" w:after="210"/>
        <w:jc w:val="both"/>
        <w:rPr>
          <w:rFonts w:ascii="Times New Roman" w:hAnsi="Times New Roman"/>
          <w:b w:val="false"/>
          <w:sz w:val="22"/>
        </w:rPr>
      </w:pPr>
      <w:r>
        <w:rPr>
          <w:rFonts w:ascii="Times New Roman" w:hAnsi="Times New Roman"/>
          <w:b w:val="false"/>
          <w:sz w:val="22"/>
        </w:rPr>
        <w:t>3.4.</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shall not, for the Relevant Period, directly or indirectly for a Competitor or otherwise:</w:t>
      </w:r>
    </w:p>
    <w:p>
      <w:pPr>
        <w:pStyle w:val="TextBody"/>
        <w:spacing w:before="0" w:after="210"/>
        <w:jc w:val="both"/>
        <w:rPr>
          <w:rFonts w:ascii="Times New Roman" w:hAnsi="Times New Roman"/>
          <w:b w:val="false"/>
          <w:sz w:val="22"/>
        </w:rPr>
      </w:pPr>
      <w:r>
        <w:rPr>
          <w:rFonts w:ascii="Times New Roman" w:hAnsi="Times New Roman"/>
          <w:b w:val="false"/>
          <w:sz w:val="22"/>
        </w:rPr>
        <w:t>3.4.1.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within the Relevant Area, solicit any Relevant Client or Relevant Prospect for the purposes of any Business which competes or will compete or seeks to compete with the Restricted Group; </w:t>
      </w:r>
    </w:p>
    <w:p>
      <w:pPr>
        <w:pStyle w:val="TextBody"/>
        <w:spacing w:before="0" w:after="210"/>
        <w:jc w:val="both"/>
        <w:rPr>
          <w:rFonts w:ascii="Times New Roman" w:hAnsi="Times New Roman"/>
          <w:b w:val="false"/>
          <w:sz w:val="22"/>
        </w:rPr>
      </w:pPr>
      <w:r>
        <w:rPr>
          <w:rFonts w:ascii="Times New Roman" w:hAnsi="Times New Roman"/>
          <w:b w:val="false"/>
          <w:sz w:val="22"/>
        </w:rPr>
        <w:t>3.4.2.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within the Relevant Area, accept, perform services for, or deal with any Relevant Client or Relevant Prospect for the purposes of any Business which competes or will compete or seeks to compete with the Restricted Group;</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3.4.3.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solicit for employment or entice away from the Restricted Group any Key Personnel; or</w:t>
      </w:r>
    </w:p>
    <w:p>
      <w:pPr>
        <w:pStyle w:val="TextBody"/>
        <w:spacing w:before="0" w:after="210"/>
        <w:jc w:val="left"/>
        <w:rPr>
          <w:rFonts w:ascii="Times New Roman" w:hAnsi="Times New Roman"/>
          <w:b w:val="false"/>
          <w:sz w:val="22"/>
        </w:rPr>
      </w:pPr>
      <w:r>
        <w:rPr>
          <w:rFonts w:ascii="Times New Roman" w:hAnsi="Times New Roman"/>
          <w:b w:val="false"/>
          <w:sz w:val="22"/>
        </w:rPr>
        <w:t>3.4.4.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employ or engage or endeavour to employ or engage any Key Personnel. </w:t>
      </w:r>
    </w:p>
    <w:p>
      <w:pPr>
        <w:pStyle w:val="TextBody"/>
        <w:spacing w:before="0" w:after="210"/>
        <w:jc w:val="both"/>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3.5.</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To the extent the Colleague is a party to an Employment Agreement or other agreement with the Employer, the Company or any Subsidiary that contains post-employment covenants and restrictions, those post-employment covenants and restrictions shall be separate and apart and independent from the covenants and restrictions set forth in Section 3.2, Section 3.3 and Section 3.4 herein. </w:t>
      </w:r>
    </w:p>
    <w:p>
      <w:pPr>
        <w:pStyle w:val="TextBody"/>
        <w:spacing w:before="0" w:after="210"/>
        <w:jc w:val="both"/>
        <w:rPr>
          <w:rFonts w:ascii="Times New Roman" w:hAnsi="Times New Roman"/>
          <w:b w:val="false"/>
          <w:sz w:val="22"/>
        </w:rPr>
      </w:pPr>
      <w:r>
        <w:rPr>
          <w:rFonts w:ascii="Times New Roman" w:hAnsi="Times New Roman"/>
          <w:b w:val="false"/>
          <w:sz w:val="22"/>
        </w:rPr>
        <w:t>3.6.</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shall not directly or indirectly, at any time during or after the Colleague’s employment with any Employer, take any action or make any statement, written or oral, that disparages or criticizes the business or management of the Employer, the Company or any Subsidiary or any of its or their respective directors, officers, agents, employees, products or services. Nothing contained herein limits or restricts any rights Colleague may have to engage in protected concerted activity under the National Labor Relations Act.</w:t>
      </w:r>
    </w:p>
    <w:p>
      <w:pPr>
        <w:pStyle w:val="TextBody"/>
        <w:spacing w:before="0" w:after="210"/>
        <w:jc w:val="both"/>
        <w:rPr>
          <w:rFonts w:ascii="Times New Roman" w:hAnsi="Times New Roman"/>
          <w:b w:val="false"/>
          <w:sz w:val="22"/>
        </w:rPr>
      </w:pPr>
      <w:r>
        <w:rPr>
          <w:rFonts w:ascii="Times New Roman" w:hAnsi="Times New Roman"/>
          <w:b w:val="false"/>
          <w:sz w:val="22"/>
        </w:rPr>
        <w:t>3.7.</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recognizes and agrees that the payment of damages will not be an adequate remedy for any breach by Colleague of any of the covenants set forth in Section 3 of this RCA. Colleague recognizes that irreparable injury will result to Company and/or its Subsidiaries in the event of any such breach and therefore Colleague agrees that Company may, in addition to recovering damages, proceed in equity to enjoin Colleague from violating any such covenant. </w:t>
      </w:r>
    </w:p>
    <w:p>
      <w:pPr>
        <w:pStyle w:val="TextBody"/>
        <w:spacing w:before="0" w:after="210"/>
        <w:jc w:val="both"/>
        <w:rPr>
          <w:rFonts w:ascii="Times New Roman" w:hAnsi="Times New Roman"/>
          <w:b w:val="false"/>
          <w:sz w:val="22"/>
        </w:rPr>
      </w:pPr>
      <w:r>
        <w:rPr>
          <w:rFonts w:ascii="Times New Roman" w:hAnsi="Times New Roman"/>
          <w:b w:val="false"/>
          <w:sz w:val="22"/>
        </w:rPr>
        <w:t>3.8.</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that the provisions of this Section 3 are fair, reasonable and necessary to protect the goodwill and interests of the Restricted Group.</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4</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Governing Law &amp; Jurisdiction</w:t>
      </w:r>
    </w:p>
    <w:p>
      <w:pPr>
        <w:pStyle w:val="TextBody"/>
        <w:spacing w:before="0" w:after="210"/>
        <w:jc w:val="both"/>
        <w:rPr>
          <w:rFonts w:ascii="Times New Roman" w:hAnsi="Times New Roman"/>
          <w:b w:val="false"/>
          <w:sz w:val="22"/>
        </w:rPr>
      </w:pPr>
      <w:r>
        <w:rPr>
          <w:rFonts w:ascii="Times New Roman" w:hAnsi="Times New Roman"/>
          <w:b w:val="false"/>
          <w:sz w:val="22"/>
        </w:rPr>
        <w:t>4.1.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This RCA shall be governed by and construed in accordance with the laws of the state of New York, without regard to its conflicts of law principles.</w:t>
      </w:r>
    </w:p>
    <w:p>
      <w:pPr>
        <w:pStyle w:val="TextBody"/>
        <w:spacing w:before="0" w:after="210"/>
        <w:jc w:val="both"/>
        <w:rPr>
          <w:rFonts w:ascii="Times New Roman" w:hAnsi="Times New Roman"/>
          <w:b w:val="false"/>
          <w:sz w:val="22"/>
        </w:rPr>
      </w:pPr>
      <w:r>
        <w:rPr>
          <w:rFonts w:ascii="Times New Roman" w:hAnsi="Times New Roman"/>
          <w:b w:val="false"/>
          <w:sz w:val="22"/>
        </w:rPr>
        <w:t>4.2.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Any suit, action or proceeding arising out of or relating to this RCA shall only be brought in the State and Federal Courts located in the County of New York, State of New York and the Parties hereto irrevocably and unconditionally submit accordingly to the exclusive jurisdiction of such courts for the purpose of any such suit, action or proceeding. The Colleague hereby irrevocably and unconditionally waives any objections they may now have or hereafter have to the laying of the venue of any suit, action or proceeding arising out of or relating to this RCA in the foregoing courts. The Colleague further acknowledges that for purposes of N.Y.C.P.L.R. 327(b) and N.Y. G.O.L. Section 5-1402, the value of the Plan is in excess of One Million Dollars ($1,000,000) and the Colleague hereby further irrevocably and unconditionally waives any claim that any such suit, action or proceeding brought in the foregoing courts has been brought in an inconvenient forum. </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5</w:t>
      </w:r>
    </w:p>
    <w:p>
      <w:pPr>
        <w:pStyle w:val="TextBody"/>
        <w:spacing w:before="240" w:after="240"/>
        <w:jc w:val="both"/>
        <w:rPr/>
      </w:pPr>
      <w:r>
        <w:rPr>
          <w:rFonts w:ascii="Times New Roman;serif" w:hAnsi="Times New Roman;serif"/>
          <w:b w:val="false"/>
          <w:sz w:val="22"/>
        </w:rPr>
        <w:t xml:space="preserve">- </w:t>
      </w:r>
      <w:r>
        <w:rPr>
          <w:rFonts w:ascii="Times New Roman;serif" w:hAnsi="Times New Roman;serif"/>
          <w:b w:val="false"/>
          <w:sz w:val="22"/>
          <w:u w:val="single"/>
        </w:rPr>
        <w:t xml:space="preserve">Consideration, Severability, Beneficiaries &amp; Effect on other agreements </w:t>
      </w:r>
    </w:p>
    <w:p>
      <w:pPr>
        <w:pStyle w:val="TextBody"/>
        <w:spacing w:before="0" w:after="210"/>
        <w:jc w:val="both"/>
        <w:rPr>
          <w:rFonts w:ascii="Times New Roman" w:hAnsi="Times New Roman"/>
          <w:b w:val="false"/>
          <w:sz w:val="22"/>
        </w:rPr>
      </w:pPr>
      <w:r>
        <w:rPr>
          <w:rFonts w:ascii="Times New Roman" w:hAnsi="Times New Roman"/>
          <w:b w:val="false"/>
          <w:sz w:val="22"/>
        </w:rPr>
        <w:t>5.1.</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Parties acknowledge that the provisions of this RCA are severable. If any part or provision of this RCA shall be determined by any court or tribunal to be invalid, then such partial invalidity shall not cause the remainder of this RCA to be or become invalid. If any provision hereof is held unenforceable on the basis that it exceeds what is reasonable for the protection of the goodwill and interests of the Restricted Group, but would be valid if part of the wording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were modified or deleted, as permitted by applicable law, then such restriction or obligation shall apply with such deletions or modifications as may be necessary to make it enforceable.</w:t>
      </w:r>
      <w:r>
        <w:rPr/>
        <w:t xml:space="preserve"> </w:t>
      </w:r>
    </w:p>
    <w:p>
      <w:pPr>
        <w:pStyle w:val="TextBody"/>
        <w:spacing w:before="0" w:after="210"/>
        <w:jc w:val="both"/>
        <w:rPr>
          <w:rFonts w:ascii="Times New Roman" w:hAnsi="Times New Roman"/>
          <w:b w:val="false"/>
          <w:sz w:val="22"/>
        </w:rPr>
      </w:pPr>
      <w:r>
        <w:rPr>
          <w:rFonts w:ascii="Times New Roman" w:hAnsi="Times New Roman"/>
          <w:b w:val="false"/>
          <w:sz w:val="22"/>
        </w:rPr>
        <w:t>5.2.</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Colleague acknowledges that they remain bound by any Employment Agreement or any other agreement currently in effect by and between the Colleague, on the one hand, and the Employer, the Company or any Subsidiary, on the other hand, including but not limited to any post-employment covenants and restrictions, and this RCA shall be in addition to, and not in place of any such agreements. </w:t>
      </w:r>
    </w:p>
    <w:p>
      <w:pPr>
        <w:pStyle w:val="TextBody"/>
        <w:spacing w:before="0" w:after="210"/>
        <w:jc w:val="both"/>
        <w:rPr>
          <w:rFonts w:ascii="Times New Roman" w:hAnsi="Times New Roman"/>
          <w:b w:val="false"/>
          <w:sz w:val="22"/>
        </w:rPr>
      </w:pPr>
      <w:r>
        <w:rPr>
          <w:rFonts w:ascii="Times New Roman" w:hAnsi="Times New Roman"/>
          <w:b w:val="false"/>
          <w:sz w:val="22"/>
        </w:rPr>
        <w:t>5.3.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Nothing contained in this RCA constitutes a promise or agreement to employ the Colleague for a guaranteed term or otherwise modify the terms and conditions of the Colleague’s employment with the Employer.</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6</w:t>
      </w:r>
    </w:p>
    <w:p>
      <w:pPr>
        <w:pStyle w:val="TextBody"/>
        <w:spacing w:before="240" w:after="240"/>
        <w:jc w:val="both"/>
        <w:rPr/>
      </w:pPr>
      <w:r>
        <w:rPr/>
        <w:t xml:space="preserve">– </w:t>
      </w:r>
      <w:r>
        <w:rPr>
          <w:rFonts w:ascii="Times New Roman;serif" w:hAnsi="Times New Roman;serif"/>
          <w:b w:val="false"/>
          <w:sz w:val="22"/>
          <w:u w:val="single"/>
        </w:rPr>
        <w:t>Miscellaneous</w:t>
      </w:r>
    </w:p>
    <w:p>
      <w:pPr>
        <w:pStyle w:val="TextBody"/>
        <w:spacing w:before="0" w:after="210"/>
        <w:jc w:val="left"/>
        <w:rPr>
          <w:rFonts w:ascii="Times New Roman" w:hAnsi="Times New Roman"/>
          <w:b w:val="false"/>
          <w:sz w:val="22"/>
        </w:rPr>
      </w:pPr>
      <w:r>
        <w:rPr>
          <w:rFonts w:ascii="Times New Roman" w:hAnsi="Times New Roman"/>
          <w:b w:val="false"/>
          <w:sz w:val="22"/>
        </w:rPr>
        <w:t>6.1.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RCA, and the provisions hereof, may not be modified, amended, terminated, or limited in any fashion except by written agreement signed by both parties hereto, which specifically states that it is modifying, amending or terminating this RCA. </w:t>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6.2.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rights and remedies of the Restricted Group under this RCA shall inure to the benefit of any and all of its/their successors, assigns, parent companies, sister companies, subsidiaries and other affiliated corporations, and the successors and assigns of each of them.</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6.3.</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The waiver by either party of any breach of this RCA shall not operate or be construed as a waiver of that party’s rights on any subsequent breach. </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6.4.</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that the Award constitutes adequate consideration to support the covenants and promises made by the Colleague within this RCA regardless of whether such Award is ultimately beneficial to Colleague.</w:t>
      </w:r>
    </w:p>
    <w:p>
      <w:pPr>
        <w:pStyle w:val="TextBody"/>
        <w:spacing w:before="0" w:after="0"/>
        <w:jc w:val="left"/>
        <w:rPr/>
      </w:pPr>
      <w:r>
        <w:rPr/>
        <w:t> </w:t>
      </w:r>
    </w:p>
    <w:p>
      <w:pPr>
        <w:pStyle w:val="TextBody"/>
        <w:spacing w:before="0" w:after="210"/>
        <w:jc w:val="both"/>
        <w:rPr>
          <w:rFonts w:ascii="Times New Roman" w:hAnsi="Times New Roman"/>
          <w:b w:val="false"/>
          <w:sz w:val="22"/>
        </w:rPr>
      </w:pPr>
      <w:r>
        <w:rPr>
          <w:rFonts w:ascii="Times New Roman" w:hAnsi="Times New Roman"/>
          <w:b w:val="false"/>
          <w:sz w:val="22"/>
        </w:rPr>
        <w:t>6.5.</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Colleague acknowledges and agrees that the Colleague shall be obliged to draw the provisions of Section 3 of this RCA to the attention of any third party who may, at any time before or after the termination of the Colleague’s employment with Employer, offer to employ or engage them and for or with whom Colleague intends to work within the Relevant Period.</w:t>
      </w:r>
    </w:p>
    <w:p>
      <w:pPr>
        <w:pStyle w:val="TextBody"/>
        <w:spacing w:before="0" w:after="210"/>
        <w:jc w:val="left"/>
        <w:rPr>
          <w:rFonts w:ascii="Times New Roman" w:hAnsi="Times New Roman"/>
          <w:b w:val="false"/>
          <w:sz w:val="22"/>
        </w:rPr>
      </w:pPr>
      <w:r>
        <w:rPr>
          <w:rFonts w:ascii="Times New Roman" w:hAnsi="Times New Roman"/>
          <w:b w:val="false"/>
          <w:sz w:val="22"/>
        </w:rPr>
        <w:t>6.6.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various section headings contained in this RCA are for the purpose of convenience only and are not intended to define or limit the contents of such sections.</w:t>
      </w:r>
    </w:p>
    <w:p>
      <w:pPr>
        <w:pStyle w:val="TextBody"/>
        <w:spacing w:before="0" w:after="210"/>
        <w:jc w:val="left"/>
        <w:rPr>
          <w:rFonts w:ascii="Times New Roman" w:hAnsi="Times New Roman"/>
          <w:b w:val="false"/>
          <w:sz w:val="22"/>
        </w:rPr>
      </w:pPr>
      <w:r>
        <w:rPr>
          <w:rFonts w:ascii="Times New Roman" w:hAnsi="Times New Roman"/>
          <w:b w:val="false"/>
          <w:sz w:val="22"/>
        </w:rPr>
        <w:t>6.7.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RCA may be executed in one or more counterparts, each of which shall constitute an original and all of which taken together shall constitute one and the same document. This RCA will be binding, notwithstanding that either party’s signature is displayed only on a facsimile or electronic copy of the signature page. </w:t>
      </w:r>
    </w:p>
    <w:p>
      <w:pPr>
        <w:pStyle w:val="TextBody"/>
        <w:spacing w:before="0" w:after="210"/>
        <w:jc w:val="left"/>
        <w:rPr>
          <w:rFonts w:ascii="Times New Roman" w:hAnsi="Times New Roman"/>
          <w:b w:val="false"/>
          <w:sz w:val="22"/>
        </w:rPr>
      </w:pPr>
      <w:r>
        <w:rPr>
          <w:rFonts w:ascii="Times New Roman" w:hAnsi="Times New Roman"/>
          <w:b w:val="false"/>
          <w:sz w:val="22"/>
        </w:rPr>
        <w:t>6.8.</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Any provisions which by their nature survive termination of this RCA, including the obligations set forth in Section 3 and Section 4, shall survive termination of this RCA.</w:t>
      </w:r>
    </w:p>
    <w:p>
      <w:pPr>
        <w:pStyle w:val="TextBody"/>
        <w:spacing w:before="0" w:after="210"/>
        <w:jc w:val="left"/>
        <w:rPr>
          <w:rFonts w:ascii="Times New Roman" w:hAnsi="Times New Roman"/>
          <w:b w:val="false"/>
          <w:sz w:val="22"/>
        </w:rPr>
      </w:pPr>
      <w:r>
        <w:rPr>
          <w:rFonts w:ascii="Times New Roman" w:hAnsi="Times New Roman"/>
          <w:b w:val="false"/>
          <w:sz w:val="22"/>
        </w:rPr>
        <w:t>6.9.</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RCA has been executed on behalf of the Company electronically and the Colleague accepts the electronic signature of the Company.</w:t>
      </w:r>
    </w:p>
    <w:p>
      <w:pPr>
        <w:pStyle w:val="TextBody"/>
        <w:spacing w:before="0" w:after="210"/>
        <w:jc w:val="left"/>
        <w:rPr>
          <w:rFonts w:ascii="Times New Roman" w:hAnsi="Times New Roman"/>
          <w:b w:val="false"/>
          <w:sz w:val="22"/>
        </w:rPr>
      </w:pPr>
      <w:r>
        <w:rPr>
          <w:rFonts w:ascii="Times New Roman" w:hAnsi="Times New Roman"/>
          <w:b w:val="false"/>
          <w:sz w:val="22"/>
        </w:rPr>
        <w:t>6.10.</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Colleague understands that they have the right to consult with an attorney prior to signing this RCA.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240"/>
        <w:jc w:val="both"/>
        <w:rPr>
          <w:rFonts w:ascii="Times New Roman;serif" w:hAnsi="Times New Roman;serif"/>
          <w:b/>
          <w:i/>
          <w:sz w:val="22"/>
        </w:rPr>
      </w:pPr>
      <w:r>
        <w:rPr>
          <w:rFonts w:ascii="Times New Roman;serif" w:hAnsi="Times New Roman;serif"/>
          <w:b/>
          <w:i/>
          <w:sz w:val="22"/>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Chief Human Resources Officer</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Print Name: _______Colleague 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240"/>
        <w:jc w:val="righ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240"/>
        <w:jc w:val="right"/>
        <w:rPr>
          <w:rFonts w:ascii="Times New Roman;serif" w:hAnsi="Times New Roman;serif"/>
          <w:b/>
          <w:sz w:val="22"/>
          <w:u w:val="single"/>
        </w:rPr>
      </w:pPr>
      <w:r>
        <w:rPr>
          <w:rFonts w:ascii="Times New Roman;serif" w:hAnsi="Times New Roman;serif"/>
          <w:b/>
          <w:sz w:val="22"/>
          <w:u w:val="single"/>
        </w:rPr>
        <w:t>SCHEDULE B- OUS</w:t>
      </w:r>
    </w:p>
    <w:p>
      <w:pPr>
        <w:pStyle w:val="TextBody"/>
        <w:spacing w:before="120" w:after="120"/>
        <w:jc w:val="center"/>
        <w:rPr/>
      </w:pPr>
      <w:r>
        <w:rPr/>
        <w:t> </w:t>
      </w:r>
    </w:p>
    <w:p>
      <w:pPr>
        <w:pStyle w:val="TextBody"/>
        <w:spacing w:before="0" w:after="240"/>
        <w:jc w:val="center"/>
        <w:rPr>
          <w:rFonts w:ascii="Times New Roman;serif" w:hAnsi="Times New Roman;serif"/>
          <w:b/>
          <w:sz w:val="22"/>
        </w:rPr>
      </w:pPr>
      <w:r>
        <w:rPr>
          <w:rFonts w:ascii="Times New Roman;serif" w:hAnsi="Times New Roman;serif"/>
          <w:b/>
          <w:sz w:val="22"/>
        </w:rPr>
        <w:t>AGREEMENT OF RESTRICTIVE COVENANTS AND OTHER OBLIGATIONS FOR EMPLOYEES OUTSIDE OF THE UNITED STATES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This Agreement of Restrictive Covenants and Other Obligations for Employees Outside of the United States (the “</w:t>
      </w:r>
      <w:r>
        <w:rPr>
          <w:rFonts w:ascii="Times New Roman;serif" w:hAnsi="Times New Roman;serif"/>
          <w:b w:val="false"/>
          <w:sz w:val="22"/>
          <w:u w:val="single"/>
        </w:rPr>
        <w:t>Non-U.S. RCA</w:t>
      </w:r>
      <w:r>
        <w:rPr>
          <w:rFonts w:ascii="Times New Roman" w:hAnsi="Times New Roman"/>
          <w:sz w:val="20"/>
        </w:rPr>
        <w:t>”</w:t>
      </w:r>
      <w:r>
        <w:rPr>
          <w:rFonts w:ascii="Times New Roman;serif" w:hAnsi="Times New Roman;serif"/>
          <w:b w:val="false"/>
          <w:sz w:val="22"/>
        </w:rPr>
        <w:t>) is entered into by and between Willis Towers Watson Public Limited Company (the “</w:t>
      </w:r>
      <w:r>
        <w:rPr>
          <w:rFonts w:ascii="Times New Roman;serif" w:hAnsi="Times New Roman;serif"/>
          <w:b w:val="false"/>
          <w:sz w:val="22"/>
          <w:u w:val="single"/>
        </w:rPr>
        <w:t>Company</w:t>
      </w:r>
      <w:r>
        <w:rPr>
          <w:rFonts w:ascii="Times New Roman" w:hAnsi="Times New Roman"/>
          <w:sz w:val="20"/>
        </w:rPr>
        <w:t>”</w:t>
      </w:r>
      <w:r>
        <w:rPr>
          <w:rFonts w:ascii="Times New Roman;serif" w:hAnsi="Times New Roman;serif"/>
          <w:b w:val="false"/>
          <w:sz w:val="22"/>
        </w:rPr>
        <w:t>) and the Colleague (the “</w:t>
      </w:r>
      <w:r>
        <w:rPr>
          <w:rFonts w:ascii="Times New Roman;serif" w:hAnsi="Times New Roman;serif"/>
          <w:b w:val="false"/>
          <w:sz w:val="22"/>
          <w:u w:val="single"/>
        </w:rPr>
        <w:t>Colleague</w:t>
      </w:r>
      <w:r>
        <w:rPr>
          <w:rFonts w:ascii="Times New Roman" w:hAnsi="Times New Roman"/>
          <w:sz w:val="20"/>
        </w:rPr>
        <w:t>”</w:t>
      </w:r>
      <w:r>
        <w:rPr>
          <w:rFonts w:ascii="Times New Roman;serif" w:hAnsi="Times New Roman;serif"/>
          <w:b w:val="false"/>
          <w:sz w:val="22"/>
        </w:rPr>
        <w:t>) to be effective as of the date the Colleague signs or electronically accepts this Non-U.S. RCA.</w:t>
      </w:r>
    </w:p>
    <w:p>
      <w:pPr>
        <w:pStyle w:val="TextBody"/>
        <w:spacing w:before="0" w:after="0"/>
        <w:jc w:val="both"/>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RECITALS</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Colleague is employed by a Subsidiary of the Company;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subject to approval by the Committee or the Company’s Share Award Committee, the Colleague has been designated to receive a grant of performance-based restricted share units (“</w:t>
      </w:r>
      <w:r>
        <w:rPr>
          <w:rFonts w:ascii="Times New Roman;serif" w:hAnsi="Times New Roman;serif"/>
          <w:b w:val="false"/>
          <w:sz w:val="22"/>
          <w:u w:val="single"/>
        </w:rPr>
        <w:t>PSUs</w:t>
      </w:r>
      <w:r>
        <w:rPr>
          <w:rFonts w:ascii="Times New Roman" w:hAnsi="Times New Roman"/>
          <w:sz w:val="20"/>
        </w:rPr>
        <w:t xml:space="preserve">” </w:t>
      </w:r>
      <w:r>
        <w:rPr>
          <w:rFonts w:ascii="Times New Roman;serif" w:hAnsi="Times New Roman;serif"/>
          <w:b w:val="false"/>
          <w:sz w:val="22"/>
        </w:rPr>
        <w:t>or “</w:t>
      </w:r>
      <w:r>
        <w:rPr>
          <w:rFonts w:ascii="Times New Roman;serif" w:hAnsi="Times New Roman;serif"/>
          <w:b w:val="false"/>
          <w:sz w:val="22"/>
          <w:u w:val="single"/>
        </w:rPr>
        <w:t>Awards</w:t>
      </w:r>
      <w:r>
        <w:rPr>
          <w:rFonts w:ascii="Times New Roman" w:hAnsi="Times New Roman"/>
          <w:sz w:val="20"/>
        </w:rPr>
        <w:t>”</w:t>
      </w:r>
      <w:r>
        <w:rPr>
          <w:rFonts w:ascii="Times New Roman;serif" w:hAnsi="Times New Roman;serif"/>
          <w:b w:val="false"/>
          <w:sz w:val="22"/>
        </w:rPr>
        <w:t>) under the Company’s 2012 Equity Incentive Plan (the “</w:t>
      </w:r>
      <w:r>
        <w:rPr>
          <w:rFonts w:ascii="Times New Roman;serif" w:hAnsi="Times New Roman;serif"/>
          <w:b w:val="false"/>
          <w:sz w:val="22"/>
          <w:u w:val="single"/>
        </w:rPr>
        <w:t>Plan</w:t>
      </w:r>
      <w:r>
        <w:rPr>
          <w:rFonts w:ascii="Times New Roman" w:hAnsi="Times New Roman"/>
          <w:sz w:val="20"/>
        </w:rPr>
        <w:t>”</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any Award granted to the Colleague is subject to the terms and conditions of the Plan, the award agreement evidencing the Colleague’s Award (including any country specific terms thereto) and this Non-U.S. RCA, and in consideration of the Award, the Colleague shall enter into and acknowledge their agreement to the terms and conditions of the Plan, the award agreement and this RCA; and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Whereas</w:t>
      </w:r>
      <w:r>
        <w:rPr>
          <w:rFonts w:ascii="Times New Roman;serif" w:hAnsi="Times New Roman;serif"/>
          <w:b w:val="false"/>
          <w:sz w:val="22"/>
        </w:rPr>
        <w:t>, the Colleague acknowledges and agrees that they desire to receive the Award and understands and agrees any such Award is subject to the terms and conditions set forth in the Plan, the applicable award agreement and this Non-U.S. RCA, and such other written agreements and documentation as the Company or the Employer may require.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mutual covenants and promises contained herein and for other valuable consideration, in particular the Award, the receipt and sufficiency of which is hereby acknowledged in this recital and within Section 6.4 below, the Parties hereto agree, with the intent to be bound, as follows:</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7</w:t>
      </w:r>
    </w:p>
    <w:p>
      <w:pPr>
        <w:pStyle w:val="TextBody"/>
        <w:spacing w:before="240" w:after="240"/>
        <w:jc w:val="both"/>
        <w:rPr>
          <w:u w:val="single"/>
        </w:rPr>
      </w:pPr>
      <w:r>
        <w:rPr>
          <w:u w:val="single"/>
        </w:rPr>
        <w:t xml:space="preserve">– </w:t>
      </w:r>
      <w:r>
        <w:rPr>
          <w:rFonts w:ascii="Times New Roman;serif" w:hAnsi="Times New Roman;serif"/>
          <w:b w:val="false"/>
          <w:sz w:val="22"/>
          <w:u w:val="single"/>
        </w:rPr>
        <w:t>Recitals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The Recitals set forth above are an integral part of this Non-U.S. RCA, and are incorporated herein by reference.</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8</w:t>
      </w:r>
    </w:p>
    <w:p>
      <w:pPr>
        <w:pStyle w:val="TextBody"/>
        <w:spacing w:before="240" w:after="240"/>
        <w:jc w:val="both"/>
        <w:rPr>
          <w:u w:val="single"/>
        </w:rPr>
      </w:pPr>
      <w:r>
        <w:rPr>
          <w:u w:val="single"/>
        </w:rPr>
        <w:t xml:space="preserve">– </w:t>
      </w:r>
      <w:r>
        <w:rPr>
          <w:rFonts w:ascii="Times New Roman;serif" w:hAnsi="Times New Roman;serif"/>
          <w:b w:val="false"/>
          <w:sz w:val="22"/>
          <w:u w:val="single"/>
        </w:rPr>
        <w:t>Definitions</w:t>
      </w:r>
    </w:p>
    <w:p>
      <w:pPr>
        <w:pStyle w:val="TextBody"/>
        <w:spacing w:before="0" w:after="210"/>
        <w:jc w:val="left"/>
        <w:rPr>
          <w:rFonts w:ascii="Times New Roman" w:hAnsi="Times New Roman"/>
          <w:b w:val="false"/>
          <w:sz w:val="22"/>
        </w:rPr>
      </w:pPr>
      <w:r>
        <w:rPr>
          <w:rFonts w:ascii="Times New Roman" w:hAnsi="Times New Roman"/>
          <w:b w:val="false"/>
          <w:sz w:val="22"/>
        </w:rPr>
        <w:t>2.1.</w:t>
      </w:r>
    </w:p>
    <w:p>
      <w:pPr>
        <w:pStyle w:val="TextBody"/>
        <w:spacing w:before="0" w:after="210"/>
        <w:jc w:val="left"/>
        <w:rPr/>
      </w:pPr>
      <w:r>
        <w:rPr/>
        <w:t>“</w:t>
      </w:r>
      <w:r>
        <w:rPr>
          <w:rFonts w:ascii="Times New Roman;serif" w:hAnsi="Times New Roman;serif"/>
          <w:b/>
          <w:sz w:val="22"/>
        </w:rPr>
        <w:t>Award</w:t>
      </w:r>
      <w:r>
        <w:rPr/>
        <w:t xml:space="preserve">” </w:t>
      </w:r>
      <w:r>
        <w:rPr>
          <w:rFonts w:ascii="Times New Roman;serif" w:hAnsi="Times New Roman;serif"/>
          <w:b w:val="false"/>
          <w:sz w:val="22"/>
        </w:rPr>
        <w:t>shall have the meaning as set forth in the recitals.</w:t>
      </w:r>
    </w:p>
    <w:p>
      <w:pPr>
        <w:pStyle w:val="TextBody"/>
        <w:spacing w:before="0" w:after="210"/>
        <w:jc w:val="left"/>
        <w:rPr>
          <w:rFonts w:ascii="Times New Roman" w:hAnsi="Times New Roman"/>
          <w:b w:val="false"/>
          <w:sz w:val="22"/>
        </w:rPr>
      </w:pPr>
      <w:r>
        <w:rPr>
          <w:rFonts w:ascii="Times New Roman" w:hAnsi="Times New Roman"/>
          <w:b w:val="false"/>
          <w:sz w:val="22"/>
        </w:rPr>
        <w:t>2.2.</w:t>
      </w:r>
    </w:p>
    <w:p>
      <w:pPr>
        <w:pStyle w:val="TextBody"/>
        <w:spacing w:before="0" w:after="210"/>
        <w:jc w:val="left"/>
        <w:rPr/>
      </w:pPr>
      <w:r>
        <w:rPr/>
        <w:t>“</w:t>
      </w:r>
      <w:r>
        <w:rPr>
          <w:rFonts w:ascii="Times New Roman;serif" w:hAnsi="Times New Roman;serif"/>
          <w:b/>
          <w:sz w:val="22"/>
        </w:rPr>
        <w:t>Business</w:t>
      </w:r>
      <w:r>
        <w:rPr/>
        <w:t xml:space="preserve">” </w:t>
      </w:r>
      <w:r>
        <w:rPr>
          <w:rFonts w:ascii="Times New Roman;serif" w:hAnsi="Times New Roman;serif"/>
          <w:b w:val="false"/>
          <w:sz w:val="22"/>
        </w:rPr>
        <w:t xml:space="preserve">shall mean insurance brokerage, reinsurance brokerage, surety brokerage, bond brokerage, insurance agency, underwriting agency, managing general agency, risk management, claims administration, self-insurance, risk management consulting or other business performed by the Restricted Group. </w:t>
      </w:r>
    </w:p>
    <w:p>
      <w:pPr>
        <w:pStyle w:val="TextBody"/>
        <w:spacing w:before="0" w:after="210"/>
        <w:jc w:val="left"/>
        <w:rPr>
          <w:rFonts w:ascii="Times New Roman" w:hAnsi="Times New Roman"/>
          <w:b w:val="false"/>
          <w:sz w:val="22"/>
        </w:rPr>
      </w:pPr>
      <w:r>
        <w:rPr>
          <w:rFonts w:ascii="Times New Roman" w:hAnsi="Times New Roman"/>
          <w:b w:val="false"/>
          <w:sz w:val="22"/>
        </w:rPr>
        <w:t>2.3.</w:t>
      </w:r>
    </w:p>
    <w:p>
      <w:pPr>
        <w:pStyle w:val="TextBody"/>
        <w:spacing w:before="0" w:after="210"/>
        <w:jc w:val="left"/>
        <w:rPr/>
      </w:pPr>
      <w:r>
        <w:rPr/>
        <w:t>“</w:t>
      </w:r>
      <w:r>
        <w:rPr>
          <w:rFonts w:ascii="Times New Roman;serif" w:hAnsi="Times New Roman;serif"/>
          <w:b/>
          <w:sz w:val="22"/>
        </w:rPr>
        <w:t>Committee</w:t>
      </w:r>
      <w:r>
        <w:rPr/>
        <w:t xml:space="preserve">” </w:t>
      </w:r>
      <w:r>
        <w:rPr>
          <w:rFonts w:ascii="Times New Roman;serif" w:hAnsi="Times New Roman;serif"/>
          <w:b w:val="false"/>
          <w:sz w:val="22"/>
        </w:rPr>
        <w:t>shall have the same meaning as set forth in the Plan or the applicable award agreement.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2.4.</w:t>
      </w:r>
    </w:p>
    <w:p>
      <w:pPr>
        <w:pStyle w:val="TextBody"/>
        <w:spacing w:before="0" w:after="210"/>
        <w:jc w:val="left"/>
        <w:rPr/>
      </w:pPr>
      <w:r>
        <w:rPr/>
        <w:t>“</w:t>
      </w:r>
      <w:r>
        <w:rPr>
          <w:rFonts w:ascii="Times New Roman;serif" w:hAnsi="Times New Roman;serif"/>
          <w:b/>
          <w:sz w:val="22"/>
        </w:rPr>
        <w:t>Competitor</w:t>
      </w:r>
      <w:r>
        <w:rPr/>
        <w:t xml:space="preserve">” </w:t>
      </w:r>
      <w:r>
        <w:rPr>
          <w:rFonts w:ascii="Times New Roman;serif" w:hAnsi="Times New Roman;serif"/>
          <w:b w:val="false"/>
          <w:sz w:val="22"/>
        </w:rPr>
        <w:t>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pStyle w:val="TextBody"/>
        <w:spacing w:before="0" w:after="210"/>
        <w:jc w:val="left"/>
        <w:rPr>
          <w:rFonts w:ascii="Times New Roman" w:hAnsi="Times New Roman"/>
          <w:b w:val="false"/>
          <w:sz w:val="22"/>
        </w:rPr>
      </w:pPr>
      <w:r>
        <w:rPr>
          <w:rFonts w:ascii="Times New Roman" w:hAnsi="Times New Roman"/>
          <w:b w:val="false"/>
          <w:sz w:val="22"/>
        </w:rPr>
        <w:t>2.5.</w:t>
      </w:r>
    </w:p>
    <w:p>
      <w:pPr>
        <w:pStyle w:val="TextBody"/>
        <w:spacing w:before="0" w:after="210"/>
        <w:jc w:val="left"/>
        <w:rPr/>
      </w:pPr>
      <w:r>
        <w:rPr/>
        <w:t>“</w:t>
      </w:r>
      <w:r>
        <w:rPr>
          <w:rFonts w:ascii="Times New Roman;serif" w:hAnsi="Times New Roman;serif"/>
          <w:b/>
          <w:sz w:val="22"/>
        </w:rPr>
        <w:t>Confidential Information</w:t>
      </w:r>
      <w:r>
        <w:rPr/>
        <w:t xml:space="preserve">” </w:t>
      </w:r>
      <w:r>
        <w:rPr>
          <w:rFonts w:ascii="Times New Roman;serif" w:hAnsi="Times New Roman;serif"/>
          <w:b w:val="false"/>
          <w:sz w:val="22"/>
        </w:rPr>
        <w:t>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pStyle w:val="TextBody"/>
        <w:spacing w:before="0" w:after="210"/>
        <w:jc w:val="left"/>
        <w:rPr>
          <w:rFonts w:ascii="Times New Roman" w:hAnsi="Times New Roman"/>
          <w:b w:val="false"/>
          <w:sz w:val="22"/>
        </w:rPr>
      </w:pPr>
      <w:r>
        <w:rPr>
          <w:rFonts w:ascii="Times New Roman" w:hAnsi="Times New Roman"/>
          <w:b w:val="false"/>
          <w:sz w:val="22"/>
        </w:rPr>
        <w:t>2.6.</w:t>
      </w:r>
    </w:p>
    <w:p>
      <w:pPr>
        <w:pStyle w:val="TextBody"/>
        <w:spacing w:before="0" w:after="210"/>
        <w:jc w:val="left"/>
        <w:rPr/>
      </w:pPr>
      <w:r>
        <w:rPr/>
        <w:t>“</w:t>
      </w:r>
      <w:r>
        <w:rPr>
          <w:rFonts w:ascii="Times New Roman;serif" w:hAnsi="Times New Roman;serif"/>
          <w:b/>
          <w:sz w:val="22"/>
        </w:rPr>
        <w:t>Directly or indirectly</w:t>
      </w:r>
      <w:r>
        <w:rPr/>
        <w:t xml:space="preserve">” </w:t>
      </w:r>
      <w:r>
        <w:rPr>
          <w:rFonts w:ascii="Times New Roman;serif" w:hAnsi="Times New Roman;serif"/>
          <w:b w:val="false"/>
          <w:sz w:val="22"/>
        </w:rPr>
        <w:t>shall mean the Colleague acting either alone or jointly with or on behalf of or by means of any other person, firm or company (whether as principal, partner, manager, employee, contractor, director, consultant, investor or similar capacity).</w:t>
      </w:r>
    </w:p>
    <w:p>
      <w:pPr>
        <w:pStyle w:val="TextBody"/>
        <w:spacing w:before="0" w:after="210"/>
        <w:jc w:val="left"/>
        <w:rPr>
          <w:rFonts w:ascii="Times New Roman" w:hAnsi="Times New Roman"/>
          <w:b w:val="false"/>
          <w:sz w:val="22"/>
        </w:rPr>
      </w:pPr>
      <w:r>
        <w:rPr>
          <w:rFonts w:ascii="Times New Roman" w:hAnsi="Times New Roman"/>
          <w:b w:val="false"/>
          <w:sz w:val="22"/>
        </w:rPr>
        <w:t>2.7.</w:t>
      </w:r>
    </w:p>
    <w:p>
      <w:pPr>
        <w:pStyle w:val="TextBody"/>
        <w:spacing w:before="0" w:after="210"/>
        <w:jc w:val="left"/>
        <w:rPr/>
      </w:pPr>
      <w:r>
        <w:rPr/>
        <w:t>“</w:t>
      </w:r>
      <w:r>
        <w:rPr>
          <w:rFonts w:ascii="Times New Roman;serif" w:hAnsi="Times New Roman;serif"/>
          <w:b/>
          <w:sz w:val="22"/>
        </w:rPr>
        <w:t>Employer</w:t>
      </w:r>
      <w:r>
        <w:rPr/>
        <w:t xml:space="preserve">” </w:t>
      </w:r>
      <w:r>
        <w:rPr>
          <w:rFonts w:ascii="Times New Roman;serif" w:hAnsi="Times New Roman;serif"/>
          <w:b w:val="false"/>
          <w:sz w:val="22"/>
        </w:rPr>
        <w:t>shall mean the Subsidiary that employs the Colleague. If the Company ever becomes an employer of the Colleague, then the term Employer shall refer to the Company.</w:t>
      </w:r>
    </w:p>
    <w:p>
      <w:pPr>
        <w:pStyle w:val="TextBody"/>
        <w:spacing w:before="0" w:after="210"/>
        <w:jc w:val="left"/>
        <w:rPr>
          <w:rFonts w:ascii="Times New Roman" w:hAnsi="Times New Roman"/>
          <w:b w:val="false"/>
          <w:sz w:val="22"/>
        </w:rPr>
      </w:pPr>
      <w:r>
        <w:rPr>
          <w:rFonts w:ascii="Times New Roman" w:hAnsi="Times New Roman"/>
          <w:b w:val="false"/>
          <w:sz w:val="22"/>
        </w:rPr>
        <w:t>2.8.</w:t>
      </w:r>
    </w:p>
    <w:p>
      <w:pPr>
        <w:pStyle w:val="TextBody"/>
        <w:spacing w:before="0" w:after="210"/>
        <w:jc w:val="left"/>
        <w:rPr/>
      </w:pPr>
      <w:r>
        <w:rPr/>
        <w:t>“</w:t>
      </w:r>
      <w:r>
        <w:rPr>
          <w:rFonts w:ascii="Times New Roman;serif" w:hAnsi="Times New Roman;serif"/>
          <w:b/>
          <w:sz w:val="22"/>
        </w:rPr>
        <w:t>Employment Agreement</w:t>
      </w:r>
      <w:r>
        <w:rPr/>
        <w:t xml:space="preserve">” </w:t>
      </w:r>
      <w:r>
        <w:rPr>
          <w:rFonts w:ascii="Times New Roman;serif" w:hAnsi="Times New Roman;serif"/>
          <w:b w:val="false"/>
          <w:sz w:val="22"/>
        </w:rPr>
        <w:t>shall mean the contractual terms and conditions which govern the employment of the Colleague by Employer.</w:t>
      </w:r>
    </w:p>
    <w:p>
      <w:pPr>
        <w:pStyle w:val="TextBody"/>
        <w:spacing w:before="0" w:after="210"/>
        <w:jc w:val="left"/>
        <w:rPr>
          <w:rFonts w:ascii="Times New Roman" w:hAnsi="Times New Roman"/>
          <w:b w:val="false"/>
          <w:sz w:val="22"/>
        </w:rPr>
      </w:pPr>
      <w:r>
        <w:rPr>
          <w:rFonts w:ascii="Times New Roman" w:hAnsi="Times New Roman"/>
          <w:b w:val="false"/>
          <w:sz w:val="22"/>
        </w:rPr>
        <w:t>2.9.</w:t>
      </w:r>
    </w:p>
    <w:p>
      <w:pPr>
        <w:pStyle w:val="TextBody"/>
        <w:spacing w:before="0" w:after="210"/>
        <w:jc w:val="left"/>
        <w:rPr/>
      </w:pPr>
      <w:r>
        <w:rPr/>
        <w:t>“</w:t>
      </w:r>
      <w:r>
        <w:rPr>
          <w:rFonts w:ascii="Times New Roman;serif" w:hAnsi="Times New Roman;serif"/>
          <w:b/>
          <w:sz w:val="22"/>
        </w:rPr>
        <w:t>Garden Leave</w:t>
      </w:r>
      <w:r>
        <w:rPr/>
        <w:t xml:space="preserve">” </w:t>
      </w:r>
      <w:r>
        <w:rPr>
          <w:rFonts w:ascii="Times New Roman;serif" w:hAnsi="Times New Roman;serif"/>
          <w:b w:val="false"/>
          <w:sz w:val="22"/>
        </w:rPr>
        <w:t xml:space="preserve">shall mean any period during any notice period where Employer requires the Colleague to remain available to respond to questions and requests from the Employer, but not to enter into the office(s) of the Restricted Group without the prior written consent of Employer. </w:t>
      </w:r>
    </w:p>
    <w:p>
      <w:pPr>
        <w:pStyle w:val="TextBody"/>
        <w:spacing w:before="0" w:after="210"/>
        <w:jc w:val="left"/>
        <w:rPr>
          <w:rFonts w:ascii="Times New Roman" w:hAnsi="Times New Roman"/>
          <w:b w:val="false"/>
          <w:sz w:val="22"/>
        </w:rPr>
      </w:pPr>
      <w:r>
        <w:rPr>
          <w:rFonts w:ascii="Times New Roman" w:hAnsi="Times New Roman"/>
          <w:b w:val="false"/>
          <w:sz w:val="22"/>
        </w:rPr>
        <w:t>2.10.</w:t>
      </w:r>
    </w:p>
    <w:p>
      <w:pPr>
        <w:pStyle w:val="TextBody"/>
        <w:spacing w:before="0" w:after="210"/>
        <w:jc w:val="left"/>
        <w:rPr/>
      </w:pPr>
      <w:r>
        <w:rPr/>
        <w:t>“</w:t>
      </w:r>
      <w:r>
        <w:rPr>
          <w:rFonts w:ascii="Times New Roman;serif" w:hAnsi="Times New Roman;serif"/>
          <w:b/>
          <w:sz w:val="22"/>
        </w:rPr>
        <w:t>Key Personnel</w:t>
      </w:r>
      <w:r>
        <w:rPr/>
        <w:t xml:space="preserve">” </w:t>
      </w:r>
      <w:r>
        <w:rPr>
          <w:rFonts w:ascii="Times New Roman;serif" w:hAnsi="Times New Roman;serif"/>
          <w:b w:val="false"/>
          <w:sz w:val="22"/>
        </w:rPr>
        <w:t>shall mean any person who is at the date the Colleague ceases to be an employee of Employer or was at any time during the period of twelve months prior to that date employed by the Restricted Group and who was an employee with whom the Colleague had dealings other than in a minimal and non-material way and who was employed by or engaged in the Business in an executive or senior managerial capacity, or was an employee with insurance, reinsurance or other technical expertise.</w:t>
      </w:r>
    </w:p>
    <w:p>
      <w:pPr>
        <w:pStyle w:val="TextBody"/>
        <w:spacing w:before="0" w:after="210"/>
        <w:jc w:val="left"/>
        <w:rPr>
          <w:rFonts w:ascii="Times New Roman" w:hAnsi="Times New Roman"/>
          <w:b w:val="false"/>
          <w:sz w:val="22"/>
        </w:rPr>
      </w:pPr>
      <w:r>
        <w:rPr>
          <w:rFonts w:ascii="Times New Roman" w:hAnsi="Times New Roman"/>
          <w:b w:val="false"/>
          <w:sz w:val="22"/>
        </w:rPr>
        <w:t>2.11.</w:t>
      </w:r>
    </w:p>
    <w:p>
      <w:pPr>
        <w:pStyle w:val="TextBody"/>
        <w:spacing w:before="0" w:after="210"/>
        <w:jc w:val="left"/>
        <w:rPr/>
      </w:pPr>
      <w:r>
        <w:rPr/>
        <w:t>“</w:t>
      </w:r>
      <w:r>
        <w:rPr>
          <w:rFonts w:ascii="Times New Roman;serif" w:hAnsi="Times New Roman;serif"/>
          <w:b/>
          <w:sz w:val="22"/>
        </w:rPr>
        <w:t>Plan</w:t>
      </w:r>
      <w:r>
        <w:rPr/>
        <w:t xml:space="preserve">” </w:t>
      </w:r>
      <w:r>
        <w:rPr>
          <w:rFonts w:ascii="Times New Roman;serif" w:hAnsi="Times New Roman;serif"/>
          <w:b w:val="false"/>
          <w:sz w:val="22"/>
        </w:rPr>
        <w:t>shall have the meaning set forth in the recitals.</w:t>
      </w:r>
    </w:p>
    <w:p>
      <w:pPr>
        <w:pStyle w:val="TextBody"/>
        <w:spacing w:before="0" w:after="210"/>
        <w:jc w:val="left"/>
        <w:rPr>
          <w:rFonts w:ascii="Times New Roman" w:hAnsi="Times New Roman"/>
          <w:b w:val="false"/>
          <w:sz w:val="22"/>
        </w:rPr>
      </w:pPr>
      <w:r>
        <w:rPr>
          <w:rFonts w:ascii="Times New Roman" w:hAnsi="Times New Roman"/>
          <w:b w:val="false"/>
          <w:sz w:val="22"/>
        </w:rPr>
        <w:t>2.12.</w:t>
      </w:r>
    </w:p>
    <w:p>
      <w:pPr>
        <w:pStyle w:val="TextBody"/>
        <w:spacing w:before="0" w:after="210"/>
        <w:jc w:val="left"/>
        <w:rPr/>
      </w:pPr>
      <w:r>
        <w:rPr/>
        <w:t>“</w:t>
      </w:r>
      <w:r>
        <w:rPr>
          <w:rFonts w:ascii="Times New Roman;serif" w:hAnsi="Times New Roman;serif"/>
          <w:b/>
          <w:sz w:val="22"/>
        </w:rPr>
        <w:t>Relevant Area</w:t>
      </w:r>
      <w:r>
        <w:rPr/>
        <w:t xml:space="preserve">” </w:t>
      </w:r>
      <w:r>
        <w:rPr>
          <w:rFonts w:ascii="Times New Roman;serif" w:hAnsi="Times New Roman;serif"/>
          <w:b w:val="false"/>
          <w:sz w:val="22"/>
        </w:rPr>
        <w:t>shall mean: such country or countries in which the Colleague has carried on Business on behalf of the Company or any of its Subsidiaries in which the Colleague has been involved or concerned or worked on other than in a minimal and non-material way at any time during the period of 12 months prior to the date on which the Colleague ceases to be employed by Employer.</w:t>
      </w:r>
    </w:p>
    <w:p>
      <w:pPr>
        <w:pStyle w:val="TextBody"/>
        <w:spacing w:before="0" w:after="210"/>
        <w:jc w:val="left"/>
        <w:rPr>
          <w:rFonts w:ascii="Times New Roman" w:hAnsi="Times New Roman"/>
          <w:b w:val="false"/>
          <w:sz w:val="22"/>
        </w:rPr>
      </w:pPr>
      <w:r>
        <w:rPr>
          <w:rFonts w:ascii="Times New Roman" w:hAnsi="Times New Roman"/>
          <w:b w:val="false"/>
          <w:sz w:val="22"/>
        </w:rPr>
        <w:t>2.13.</w:t>
      </w:r>
    </w:p>
    <w:p>
      <w:pPr>
        <w:pStyle w:val="TextBody"/>
        <w:spacing w:before="0" w:after="210"/>
        <w:jc w:val="left"/>
        <w:rPr/>
      </w:pPr>
      <w:r>
        <w:rPr/>
        <w:t>“</w:t>
      </w:r>
      <w:r>
        <w:rPr>
          <w:rFonts w:ascii="Times New Roman;serif" w:hAnsi="Times New Roman;serif"/>
          <w:b/>
          <w:sz w:val="22"/>
        </w:rPr>
        <w:t>Relevant Client</w:t>
      </w:r>
      <w:r>
        <w:rPr/>
        <w:t xml:space="preserve">” </w:t>
      </w:r>
      <w:r>
        <w:rPr>
          <w:rFonts w:ascii="Times New Roman;serif" w:hAnsi="Times New Roman;serif"/>
          <w:b w:val="false"/>
          <w:sz w:val="22"/>
        </w:rPr>
        <w:t xml:space="preserve">shall mean any person, firm or company who or which at any time during the period of twelve months prior to the date on which the Colleague ceases to be employed by Employer is or was a client or customer of the Company or any of its Subsidiaries or was in the habit and/or practice of dealing under contract with the Company or any of its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Subsidiaries and with whom or which the Colleague had dealings related to the Business (other than in a minimal and non-material way) or for whose relationship with the Company or any of its Subsidiaries the Colleague had responsibility at any time during the said period.</w:t>
      </w:r>
    </w:p>
    <w:p>
      <w:pPr>
        <w:pStyle w:val="TextBody"/>
        <w:spacing w:before="0" w:after="210"/>
        <w:jc w:val="left"/>
        <w:rPr>
          <w:rFonts w:ascii="Times New Roman" w:hAnsi="Times New Roman"/>
          <w:b w:val="false"/>
          <w:sz w:val="22"/>
        </w:rPr>
      </w:pPr>
      <w:r>
        <w:rPr>
          <w:rFonts w:ascii="Times New Roman" w:hAnsi="Times New Roman"/>
          <w:b w:val="false"/>
          <w:sz w:val="22"/>
        </w:rPr>
        <w:t>2.14.</w:t>
      </w:r>
    </w:p>
    <w:p>
      <w:pPr>
        <w:pStyle w:val="TextBody"/>
        <w:spacing w:before="0" w:after="210"/>
        <w:jc w:val="left"/>
        <w:rPr/>
      </w:pPr>
      <w:r>
        <w:rPr/>
        <w:t>“</w:t>
      </w:r>
      <w:r>
        <w:rPr>
          <w:rFonts w:ascii="Times New Roman;serif" w:hAnsi="Times New Roman;serif"/>
          <w:b/>
          <w:sz w:val="22"/>
        </w:rPr>
        <w:t>Relevant Period</w:t>
      </w:r>
      <w:r>
        <w:rPr/>
        <w:t xml:space="preserve">” </w:t>
      </w:r>
      <w:r>
        <w:rPr>
          <w:rFonts w:ascii="Times New Roman;serif" w:hAnsi="Times New Roman;serif"/>
          <w:b w:val="false"/>
          <w:sz w:val="22"/>
        </w:rPr>
        <w:t xml:space="preserve">shall mean the period of twelve months following the date on which the Colleague ceases to be employed by Employer reduced by the length of any period of Garden Leave (if applicable) observed by the Colleague at the instruction of Employer. </w:t>
      </w:r>
    </w:p>
    <w:p>
      <w:pPr>
        <w:pStyle w:val="TextBody"/>
        <w:spacing w:before="0" w:after="210"/>
        <w:jc w:val="left"/>
        <w:rPr>
          <w:rFonts w:ascii="Times New Roman" w:hAnsi="Times New Roman"/>
          <w:b w:val="false"/>
          <w:sz w:val="22"/>
        </w:rPr>
      </w:pPr>
      <w:r>
        <w:rPr>
          <w:rFonts w:ascii="Times New Roman" w:hAnsi="Times New Roman"/>
          <w:b w:val="false"/>
          <w:sz w:val="22"/>
        </w:rPr>
        <w:t>2.15.</w:t>
      </w:r>
    </w:p>
    <w:p>
      <w:pPr>
        <w:pStyle w:val="TextBody"/>
        <w:spacing w:before="0" w:after="210"/>
        <w:jc w:val="left"/>
        <w:rPr/>
      </w:pPr>
      <w:r>
        <w:rPr/>
        <w:t>“</w:t>
      </w:r>
      <w:r>
        <w:rPr>
          <w:rFonts w:ascii="Times New Roman;serif" w:hAnsi="Times New Roman;serif"/>
          <w:b/>
          <w:sz w:val="22"/>
        </w:rPr>
        <w:t>Relevant Prospect</w:t>
      </w:r>
      <w:r>
        <w:rPr/>
        <w:t xml:space="preserve">” </w:t>
      </w:r>
      <w:r>
        <w:rPr>
          <w:rFonts w:ascii="Times New Roman;serif" w:hAnsi="Times New Roman;serif"/>
          <w:b w:val="false"/>
          <w:sz w:val="22"/>
        </w:rPr>
        <w:t>shall mean any person, firm or company who or which at any time during the period of twelve months prior to the date on which the Colleague ceases to be employed by Employer was an active prospective client of the Company or any of its Subsidiaries with whom or with which the Colleague had dealings related to the Business (other than in a minimal and non-material way).</w:t>
      </w:r>
    </w:p>
    <w:p>
      <w:pPr>
        <w:pStyle w:val="TextBody"/>
        <w:spacing w:before="0" w:after="210"/>
        <w:jc w:val="left"/>
        <w:rPr>
          <w:rFonts w:ascii="Times New Roman" w:hAnsi="Times New Roman"/>
          <w:b w:val="false"/>
          <w:sz w:val="22"/>
        </w:rPr>
      </w:pPr>
      <w:r>
        <w:rPr>
          <w:rFonts w:ascii="Times New Roman" w:hAnsi="Times New Roman"/>
          <w:b w:val="false"/>
          <w:sz w:val="22"/>
        </w:rPr>
        <w:t>2.16.</w:t>
      </w:r>
    </w:p>
    <w:p>
      <w:pPr>
        <w:pStyle w:val="TextBody"/>
        <w:spacing w:before="0" w:after="210"/>
        <w:jc w:val="left"/>
        <w:rPr/>
      </w:pPr>
      <w:r>
        <w:rPr/>
        <w:t>“</w:t>
      </w:r>
      <w:r>
        <w:rPr>
          <w:rFonts w:ascii="Times New Roman;serif" w:hAnsi="Times New Roman;serif"/>
          <w:b/>
          <w:sz w:val="22"/>
        </w:rPr>
        <w:t>Restricted Group</w:t>
      </w:r>
      <w:r>
        <w:rPr/>
        <w:t xml:space="preserve">” </w:t>
      </w:r>
      <w:r>
        <w:rPr>
          <w:rFonts w:ascii="Times New Roman;serif" w:hAnsi="Times New Roman;serif"/>
          <w:b w:val="false"/>
          <w:sz w:val="22"/>
        </w:rPr>
        <w:t xml:space="preserve">shall mean the Company and its Subsidiaries, as in existence during the Colleague’s employment with Employer and as of the date such employment ceases. </w:t>
      </w:r>
    </w:p>
    <w:p>
      <w:pPr>
        <w:pStyle w:val="TextBody"/>
        <w:spacing w:before="0" w:after="210"/>
        <w:jc w:val="left"/>
        <w:rPr>
          <w:rFonts w:ascii="Times New Roman" w:hAnsi="Times New Roman"/>
          <w:b w:val="false"/>
          <w:sz w:val="22"/>
        </w:rPr>
      </w:pPr>
      <w:r>
        <w:rPr>
          <w:rFonts w:ascii="Times New Roman" w:hAnsi="Times New Roman"/>
          <w:b w:val="false"/>
          <w:sz w:val="22"/>
        </w:rPr>
        <w:t>2.17.</w:t>
      </w:r>
    </w:p>
    <w:p>
      <w:pPr>
        <w:pStyle w:val="TextBody"/>
        <w:spacing w:before="0" w:after="210"/>
        <w:jc w:val="left"/>
        <w:rPr/>
      </w:pPr>
      <w:r>
        <w:rPr/>
        <w:t>“</w:t>
      </w:r>
      <w:r>
        <w:rPr>
          <w:rFonts w:ascii="Times New Roman;serif" w:hAnsi="Times New Roman;serif"/>
          <w:b/>
          <w:sz w:val="22"/>
        </w:rPr>
        <w:t>Subsidiary</w:t>
      </w:r>
      <w:r>
        <w:rPr/>
        <w:t xml:space="preserve">” </w:t>
      </w:r>
      <w:r>
        <w:rPr>
          <w:rFonts w:ascii="Times New Roman;serif" w:hAnsi="Times New Roman;serif"/>
          <w:b w:val="false"/>
          <w:sz w:val="22"/>
        </w:rPr>
        <w:t>shall mean a direct and/or indirect subsidiary of the Company as well as any associate company which is designated by the Company as being eligible for participation in the Plan.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9</w:t>
      </w:r>
    </w:p>
    <w:p>
      <w:pPr>
        <w:pStyle w:val="TextBody"/>
        <w:spacing w:before="240" w:after="240"/>
        <w:jc w:val="both"/>
        <w:rPr>
          <w:rFonts w:ascii="Times New Roman;serif" w:hAnsi="Times New Roman;serif"/>
          <w:b w:val="false"/>
          <w:sz w:val="22"/>
          <w:u w:val="single"/>
        </w:rPr>
      </w:pPr>
      <w:r>
        <w:rPr>
          <w:rFonts w:ascii="Times New Roman;serif" w:hAnsi="Times New Roman;serif"/>
          <w:b w:val="false"/>
          <w:sz w:val="22"/>
          <w:u w:val="single"/>
        </w:rPr>
        <w:t>- Restrictive Covenants and Other Obligations</w:t>
      </w:r>
    </w:p>
    <w:p>
      <w:pPr>
        <w:pStyle w:val="TextBody"/>
        <w:spacing w:before="0" w:after="210"/>
        <w:jc w:val="left"/>
        <w:rPr>
          <w:rFonts w:ascii="Times New Roman" w:hAnsi="Times New Roman"/>
          <w:b w:val="false"/>
          <w:sz w:val="22"/>
        </w:rPr>
      </w:pPr>
      <w:r>
        <w:rPr>
          <w:rFonts w:ascii="Times New Roman" w:hAnsi="Times New Roman"/>
          <w:b w:val="false"/>
          <w:sz w:val="22"/>
        </w:rPr>
        <w:t>3.1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Colleague acknowledges that by virtue of their senior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 </w:t>
      </w:r>
    </w:p>
    <w:p>
      <w:pPr>
        <w:pStyle w:val="TextBody"/>
        <w:spacing w:before="0" w:after="210"/>
        <w:jc w:val="left"/>
        <w:rPr>
          <w:rFonts w:ascii="Times New Roman" w:hAnsi="Times New Roman"/>
          <w:b w:val="false"/>
          <w:sz w:val="22"/>
        </w:rPr>
      </w:pPr>
      <w:r>
        <w:rPr>
          <w:rFonts w:ascii="Times New Roman" w:hAnsi="Times New Roman"/>
          <w:b w:val="false"/>
          <w:sz w:val="22"/>
        </w:rPr>
        <w:t>3.2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except as reasonably may be required to be disclosed by the Colleague in the ordinary performance of their duties for Employer or as required by law. Notwithstanding,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pStyle w:val="TextBody"/>
        <w:spacing w:before="0" w:after="210"/>
        <w:jc w:val="left"/>
        <w:rPr>
          <w:rFonts w:ascii="Times New Roman" w:hAnsi="Times New Roman"/>
          <w:b w:val="false"/>
          <w:sz w:val="22"/>
        </w:rPr>
      </w:pPr>
      <w:r>
        <w:rPr>
          <w:rFonts w:ascii="Times New Roman" w:hAnsi="Times New Roman"/>
          <w:b w:val="false"/>
          <w:sz w:val="22"/>
        </w:rPr>
        <w:t>3.3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3.4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shall provide a minimum of three months’ notice or such notice contained in the Colleague’s Employment Agreement, whichever is the longer, in the event of their resignation from employment with Employer. The Colleague shall provide a written resignation letter to Employer prior to the commencement of any such notice period. To the extent allowed by applicable law, the Colleague may be placed on Garden Leave for all or any portion of any notice period. During the notice period, whether or not the Colleague is on Garden Leave, the Colleague shall remain an employee of Employer and shall continue to receive the Colleague’s full salary and benefits. The Company or Employer shall have the discretion to apply a shorter period than the three-month period set forth in 3.4.</w:t>
      </w:r>
    </w:p>
    <w:p>
      <w:pPr>
        <w:pStyle w:val="TextBody"/>
        <w:spacing w:before="0" w:after="210"/>
        <w:jc w:val="left"/>
        <w:rPr>
          <w:rFonts w:ascii="Times New Roman" w:hAnsi="Times New Roman"/>
          <w:b w:val="false"/>
          <w:sz w:val="22"/>
        </w:rPr>
      </w:pPr>
      <w:r>
        <w:rPr>
          <w:rFonts w:ascii="Times New Roman" w:hAnsi="Times New Roman"/>
          <w:b w:val="false"/>
          <w:sz w:val="22"/>
        </w:rPr>
        <w:t>3.5</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shall not, for the Relevant Period, directly or indirectly:</w:t>
      </w:r>
    </w:p>
    <w:p>
      <w:pPr>
        <w:pStyle w:val="TextBody"/>
        <w:spacing w:before="0" w:after="240"/>
        <w:jc w:val="left"/>
        <w:rPr>
          <w:rFonts w:ascii="Times New Roman" w:hAnsi="Times New Roman"/>
          <w:b w:val="false"/>
          <w:sz w:val="22"/>
        </w:rPr>
      </w:pPr>
      <w:r>
        <w:rPr>
          <w:rFonts w:ascii="Times New Roman" w:hAnsi="Times New Roman"/>
          <w:b w:val="false"/>
          <w:sz w:val="22"/>
        </w:rPr>
        <w:t>3.5.1.</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within the Relevant Area, solicit any Relevant Client or Relevant Prospect for the purposes of any Business which competes or will compete or seeks to compete with the Restricted Group; </w:t>
      </w:r>
    </w:p>
    <w:p>
      <w:pPr>
        <w:pStyle w:val="TextBody"/>
        <w:spacing w:before="0" w:after="240"/>
        <w:jc w:val="left"/>
        <w:rPr>
          <w:rFonts w:ascii="Times New Roman" w:hAnsi="Times New Roman"/>
          <w:b w:val="false"/>
          <w:sz w:val="22"/>
        </w:rPr>
      </w:pPr>
      <w:r>
        <w:rPr>
          <w:rFonts w:ascii="Times New Roman" w:hAnsi="Times New Roman"/>
          <w:b w:val="false"/>
          <w:sz w:val="22"/>
        </w:rPr>
        <w:t>3.5.2.</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within the Relevant Area, accept, perform services for, or deal with any Relevant Client or Relevant Prospect for the purposes of any Business which competes or will compete or seeks to compete with the Restricted Group;</w:t>
      </w:r>
    </w:p>
    <w:p>
      <w:pPr>
        <w:pStyle w:val="TextBody"/>
        <w:spacing w:before="0" w:after="240"/>
        <w:jc w:val="left"/>
        <w:rPr>
          <w:rFonts w:ascii="Times New Roman" w:hAnsi="Times New Roman"/>
          <w:b w:val="false"/>
          <w:sz w:val="22"/>
        </w:rPr>
      </w:pPr>
      <w:r>
        <w:rPr>
          <w:rFonts w:ascii="Times New Roman" w:hAnsi="Times New Roman"/>
          <w:b w:val="false"/>
          <w:sz w:val="22"/>
        </w:rPr>
        <w:t>3.5.3.</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solicit for employment or entice away from the Restricted Group any Key Personnel; or</w:t>
      </w:r>
    </w:p>
    <w:p>
      <w:pPr>
        <w:pStyle w:val="TextBody"/>
        <w:spacing w:before="0" w:after="240"/>
        <w:jc w:val="left"/>
        <w:rPr>
          <w:rFonts w:ascii="Times New Roman" w:hAnsi="Times New Roman"/>
          <w:b w:val="false"/>
          <w:sz w:val="22"/>
        </w:rPr>
      </w:pPr>
      <w:r>
        <w:rPr>
          <w:rFonts w:ascii="Times New Roman" w:hAnsi="Times New Roman"/>
          <w:b w:val="false"/>
          <w:sz w:val="22"/>
        </w:rPr>
        <w:t>3.5.4.</w:t>
      </w:r>
    </w:p>
    <w:p>
      <w:pPr>
        <w:pStyle w:val="TextBody"/>
        <w:spacing w:before="0" w:after="240"/>
        <w:jc w:val="left"/>
        <w:rPr>
          <w:rFonts w:ascii="Times New Roman;serif" w:hAnsi="Times New Roman;serif"/>
          <w:b w:val="false"/>
          <w:sz w:val="22"/>
        </w:rPr>
      </w:pPr>
      <w:r>
        <w:rPr>
          <w:rFonts w:ascii="Times New Roman;serif" w:hAnsi="Times New Roman;serif"/>
          <w:b w:val="false"/>
          <w:sz w:val="22"/>
        </w:rPr>
        <w:t xml:space="preserve">employ or engage or endeavour to employ or engage any Key Personnel. </w:t>
      </w:r>
    </w:p>
    <w:p>
      <w:pPr>
        <w:pStyle w:val="TextBody"/>
        <w:spacing w:before="0" w:after="210"/>
        <w:jc w:val="left"/>
        <w:rPr>
          <w:rFonts w:ascii="Times New Roman" w:hAnsi="Times New Roman"/>
          <w:b w:val="false"/>
          <w:sz w:val="22"/>
        </w:rPr>
      </w:pPr>
      <w:r>
        <w:rPr>
          <w:rFonts w:ascii="Times New Roman" w:hAnsi="Times New Roman"/>
          <w:b w:val="false"/>
          <w:sz w:val="22"/>
        </w:rPr>
        <w:t>3.6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To the extent the Colleague is a party to an Employment Agreement or other agreement with the Restricted Group that contains post-employment restrictions, those post-employment restrictions shall run concurrently with the post-employment restrictions contained in this Section 3. </w:t>
      </w:r>
    </w:p>
    <w:p>
      <w:pPr>
        <w:pStyle w:val="TextBody"/>
        <w:spacing w:before="0" w:after="210"/>
        <w:jc w:val="left"/>
        <w:rPr>
          <w:rFonts w:ascii="Times New Roman" w:hAnsi="Times New Roman"/>
          <w:b w:val="false"/>
          <w:sz w:val="22"/>
        </w:rPr>
      </w:pPr>
      <w:r>
        <w:rPr>
          <w:rFonts w:ascii="Times New Roman" w:hAnsi="Times New Roman"/>
          <w:b w:val="false"/>
          <w:sz w:val="22"/>
        </w:rPr>
        <w:t>3.7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 provisions of this Section 3 are fair, reasonable and necessary to protect the goodwill and interests of the Restricted Group.</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10</w:t>
      </w:r>
    </w:p>
    <w:p>
      <w:pPr>
        <w:pStyle w:val="TextBody"/>
        <w:spacing w:before="240" w:after="240"/>
        <w:jc w:val="both"/>
        <w:rPr>
          <w:u w:val="single"/>
        </w:rPr>
      </w:pPr>
      <w:r>
        <w:rPr>
          <w:u w:val="single"/>
        </w:rPr>
        <w:t xml:space="preserve">– </w:t>
      </w:r>
      <w:r>
        <w:rPr>
          <w:rFonts w:ascii="Times New Roman;serif" w:hAnsi="Times New Roman;serif"/>
          <w:b w:val="false"/>
          <w:sz w:val="22"/>
          <w:u w:val="single"/>
        </w:rPr>
        <w:t>Non-Disparagement</w:t>
      </w:r>
    </w:p>
    <w:p>
      <w:pPr>
        <w:pStyle w:val="TextBody"/>
        <w:spacing w:before="0" w:after="210"/>
        <w:jc w:val="left"/>
        <w:rPr>
          <w:rFonts w:ascii="Times New Roman" w:hAnsi="Times New Roman"/>
          <w:b w:val="false"/>
          <w:sz w:val="22"/>
        </w:rPr>
      </w:pPr>
      <w:r>
        <w:rPr>
          <w:rFonts w:ascii="Times New Roman" w:hAnsi="Times New Roman"/>
          <w:b w:val="false"/>
          <w:sz w:val="22"/>
        </w:rPr>
        <w:t>4.1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Employer and Colleague agree not to act in any manner detrimental to each other or cause to be made any derogatory statements concerning each other (including an obligation on the Employer and Colleague not to make any statement whether oral or in writing which may have the effect of damaging the reputation of the other) including, in Colleague’s case, concerning the business, officers, employees, directors (including any non-executive directors or former directors), consultants, agents, distributors, clients or customers (whether former or current) or otherwise of the Restricted Group.</w:t>
      </w:r>
    </w:p>
    <w:p>
      <w:pPr>
        <w:pStyle w:val="TextBody"/>
        <w:spacing w:before="0" w:after="210"/>
        <w:jc w:val="left"/>
        <w:rPr>
          <w:rFonts w:ascii="Times New Roman" w:hAnsi="Times New Roman"/>
          <w:b w:val="false"/>
          <w:sz w:val="22"/>
        </w:rPr>
      </w:pPr>
      <w:r>
        <w:rPr>
          <w:rFonts w:ascii="Times New Roman" w:hAnsi="Times New Roman"/>
          <w:b w:val="false"/>
          <w:sz w:val="22"/>
        </w:rPr>
        <w:t>4.2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Employer and Colleague further agree that without the prior written consent of the other party they shall not make, or cause to be made, any statement or comment to the press (whether local, national or specialist) or any other media concerning Colleague’s employment with the Employer or, where applicable, their termination of employment for any reason.</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11</w:t>
      </w:r>
    </w:p>
    <w:p>
      <w:pPr>
        <w:pStyle w:val="TextBody"/>
        <w:spacing w:before="240" w:after="240"/>
        <w:jc w:val="both"/>
        <w:rPr>
          <w:rFonts w:ascii="Times New Roman;serif" w:hAnsi="Times New Roman;serif"/>
          <w:b w:val="false"/>
          <w:sz w:val="22"/>
          <w:u w:val="single"/>
        </w:rPr>
      </w:pPr>
      <w:r>
        <w:rPr>
          <w:rFonts w:ascii="Times New Roman;serif" w:hAnsi="Times New Roman;serif"/>
          <w:b w:val="false"/>
          <w:sz w:val="22"/>
          <w:u w:val="single"/>
        </w:rPr>
        <w:t>- Governing Law &amp; Jurisdiction</w:t>
      </w:r>
    </w:p>
    <w:p>
      <w:pPr>
        <w:pStyle w:val="TextBody"/>
        <w:spacing w:before="0" w:after="210"/>
        <w:jc w:val="left"/>
        <w:rPr>
          <w:rFonts w:ascii="Times New Roman" w:hAnsi="Times New Roman"/>
          <w:b w:val="false"/>
          <w:sz w:val="22"/>
        </w:rPr>
      </w:pPr>
      <w:r>
        <w:rPr>
          <w:rFonts w:ascii="Times New Roman" w:hAnsi="Times New Roman"/>
          <w:b w:val="false"/>
          <w:sz w:val="22"/>
        </w:rPr>
        <w:t>5.1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Non-U.S. RCA shall be governed by and construed in accordance with the laws of the jurisdiction in which Colleague is employed by Employer, without regard to its conflict of laws.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5.2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courts of the jurisdiction in which the Colleague is employed by Employer shall have jurisdiction to hear any suit, action or proceeding and to settle any disputes which may arise out of or in connection with this Non-U.S. RCA and for such purposes the parties hereto irrevocably submit to the jurisdiction of such courts. </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12</w:t>
      </w:r>
    </w:p>
    <w:p>
      <w:pPr>
        <w:pStyle w:val="TextBody"/>
        <w:spacing w:before="240" w:after="240"/>
        <w:jc w:val="both"/>
        <w:rPr>
          <w:u w:val="single"/>
        </w:rPr>
      </w:pPr>
      <w:r>
        <w:rPr>
          <w:u w:val="single"/>
        </w:rPr>
        <w:t xml:space="preserve">– </w:t>
      </w:r>
      <w:r>
        <w:rPr>
          <w:rFonts w:ascii="Times New Roman;serif" w:hAnsi="Times New Roman;serif"/>
          <w:b w:val="false"/>
          <w:sz w:val="22"/>
          <w:u w:val="single"/>
        </w:rPr>
        <w:t xml:space="preserve">Consideration, Severability, Beneficiaries &amp; Effect on Other Agreements </w:t>
      </w:r>
    </w:p>
    <w:p>
      <w:pPr>
        <w:pStyle w:val="TextBody"/>
        <w:spacing w:before="0" w:after="210"/>
        <w:jc w:val="left"/>
        <w:rPr>
          <w:rFonts w:ascii="Times New Roman" w:hAnsi="Times New Roman"/>
          <w:b w:val="false"/>
          <w:sz w:val="22"/>
        </w:rPr>
      </w:pPr>
      <w:r>
        <w:rPr>
          <w:rFonts w:ascii="Times New Roman" w:hAnsi="Times New Roman"/>
          <w:b w:val="false"/>
          <w:sz w:val="22"/>
        </w:rPr>
        <w:t>6.1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 covenants and undertakings they have made herein, including those made in Section 3, are being given for the benefit of the Restricted Group, including Employer, and may be enforced by the Company and/or by its Subsidiaries, including for avoidance of doubt, Employer, on behalf of all or any of them and that such Subsidiaries are intended beneficiaries of this Non-U.S. RCA.</w:t>
      </w:r>
    </w:p>
    <w:p>
      <w:pPr>
        <w:pStyle w:val="TextBody"/>
        <w:spacing w:before="0" w:after="210"/>
        <w:jc w:val="left"/>
        <w:rPr>
          <w:rFonts w:ascii="Times New Roman" w:hAnsi="Times New Roman"/>
          <w:b w:val="false"/>
          <w:sz w:val="22"/>
        </w:rPr>
      </w:pPr>
      <w:r>
        <w:rPr>
          <w:rFonts w:ascii="Times New Roman" w:hAnsi="Times New Roman"/>
          <w:b w:val="false"/>
          <w:sz w:val="22"/>
        </w:rPr>
        <w:t>6.2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parties acknowledge that the provisions of this Non-U.S. RCA are severable. If any part or provision of this Non-U.S. RCA shall be determined by any court or tribunal to be invalid, then such partial invalidity shall not cause the remainder of this Non-U.S. RCA to be or become invalid. If any provision hereof is held unenforceable on the basis that it exceeds what is reasonable for the protection of the goodwill and interests of the Restricted Group, but would be valid if part of the wording were modified or deleted, as permitted by applicable law, then such restriction or obligation shall apply with such deletions or modifications as may be necessary to make it enforceable. </w:t>
      </w:r>
    </w:p>
    <w:p>
      <w:pPr>
        <w:pStyle w:val="TextBody"/>
        <w:spacing w:before="0" w:after="210"/>
        <w:jc w:val="left"/>
        <w:rPr>
          <w:rFonts w:ascii="Times New Roman" w:hAnsi="Times New Roman"/>
          <w:b w:val="false"/>
          <w:sz w:val="22"/>
        </w:rPr>
      </w:pPr>
      <w:r>
        <w:rPr>
          <w:rFonts w:ascii="Times New Roman" w:hAnsi="Times New Roman"/>
          <w:b w:val="false"/>
          <w:sz w:val="22"/>
        </w:rPr>
        <w:t>6.3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they remain bound by any Employment Agreement or any other agreement entered into by the Colleague with the Restricted Group and this Non-U.S. RCA shall be in addition to, and not in place of any such agreements. The Colleague further acknowledges that in the event of any breach by the Colleague of any provision contained in such agreements or this Non-U.S. RCA, the Company and/or any Subsidiary, including for avoidance of doubt Employer, may, in their discretion, enforce any term and condition of those agreements and/or this Non-U.S. RCA.</w:t>
      </w:r>
    </w:p>
    <w:p>
      <w:pPr>
        <w:pStyle w:val="TextBody"/>
        <w:spacing w:before="0" w:after="210"/>
        <w:jc w:val="left"/>
        <w:rPr>
          <w:rFonts w:ascii="Times New Roman" w:hAnsi="Times New Roman"/>
          <w:b w:val="false"/>
          <w:sz w:val="22"/>
        </w:rPr>
      </w:pPr>
      <w:r>
        <w:rPr>
          <w:rFonts w:ascii="Times New Roman" w:hAnsi="Times New Roman"/>
          <w:b w:val="false"/>
          <w:sz w:val="22"/>
        </w:rPr>
        <w:t>6.4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that any Awards, separately and/or together, constitute adequate consideration to support the covenants and promises made by the Colleague within this Non-U.S. RCA.</w:t>
      </w:r>
    </w:p>
    <w:p>
      <w:pPr>
        <w:pStyle w:val="TextBody"/>
        <w:spacing w:before="240" w:after="240"/>
        <w:jc w:val="both"/>
        <w:rPr>
          <w:rFonts w:ascii="Times New Roman" w:hAnsi="Times New Roman"/>
          <w:b w:val="false"/>
          <w:sz w:val="22"/>
          <w:u w:val="single"/>
        </w:rPr>
      </w:pPr>
      <w:r>
        <w:rPr>
          <w:rFonts w:ascii="Times New Roman" w:hAnsi="Times New Roman"/>
          <w:b w:val="false"/>
          <w:sz w:val="22"/>
          <w:u w:val="single"/>
        </w:rPr>
        <w:t>Section 13</w:t>
      </w:r>
    </w:p>
    <w:p>
      <w:pPr>
        <w:pStyle w:val="TextBody"/>
        <w:spacing w:before="240" w:after="240"/>
        <w:jc w:val="both"/>
        <w:rPr>
          <w:u w:val="single"/>
        </w:rPr>
      </w:pPr>
      <w:r>
        <w:rPr>
          <w:u w:val="single"/>
        </w:rPr>
        <w:t xml:space="preserve">– </w:t>
      </w:r>
      <w:r>
        <w:rPr>
          <w:rFonts w:ascii="Times New Roman;serif" w:hAnsi="Times New Roman;serif"/>
          <w:b w:val="false"/>
          <w:sz w:val="22"/>
          <w:u w:val="single"/>
        </w:rPr>
        <w:t>Miscellaneous</w:t>
      </w:r>
    </w:p>
    <w:p>
      <w:pPr>
        <w:pStyle w:val="TextBody"/>
        <w:spacing w:before="0" w:after="210"/>
        <w:jc w:val="left"/>
        <w:rPr>
          <w:rFonts w:ascii="Times New Roman" w:hAnsi="Times New Roman"/>
          <w:b w:val="false"/>
          <w:sz w:val="22"/>
        </w:rPr>
      </w:pPr>
      <w:r>
        <w:rPr>
          <w:rFonts w:ascii="Times New Roman" w:hAnsi="Times New Roman"/>
          <w:b w:val="false"/>
          <w:sz w:val="22"/>
        </w:rPr>
        <w:t>7.1</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This Non-U.S. RCA may not be modified except by written agreement signed by both parties hereto.</w:t>
      </w:r>
    </w:p>
    <w:p>
      <w:pPr>
        <w:pStyle w:val="TextBody"/>
        <w:spacing w:before="0" w:after="210"/>
        <w:jc w:val="left"/>
        <w:rPr>
          <w:rFonts w:ascii="Times New Roman" w:hAnsi="Times New Roman"/>
          <w:b w:val="false"/>
          <w:sz w:val="22"/>
        </w:rPr>
      </w:pPr>
      <w:r>
        <w:rPr>
          <w:rFonts w:ascii="Times New Roman" w:hAnsi="Times New Roman"/>
          <w:b w:val="false"/>
          <w:sz w:val="22"/>
        </w:rPr>
        <w:t>7.2</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rights of the Restricted Group under this Non-U.S. RCA shall inure to the benefit of any and all of its/their successors, assigns, parent companies, sister companies, subsidiaries and other affiliated corporations.</w:t>
      </w:r>
    </w:p>
    <w:p>
      <w:pPr>
        <w:pStyle w:val="TextBody"/>
        <w:spacing w:before="0" w:after="210"/>
        <w:jc w:val="left"/>
        <w:rPr>
          <w:rFonts w:ascii="Times New Roman" w:hAnsi="Times New Roman"/>
          <w:b w:val="false"/>
          <w:sz w:val="22"/>
        </w:rPr>
      </w:pPr>
      <w:r>
        <w:rPr>
          <w:rFonts w:ascii="Times New Roman" w:hAnsi="Times New Roman"/>
          <w:b w:val="false"/>
          <w:sz w:val="22"/>
        </w:rPr>
        <w:t>7.3</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The waiver by either party of any breach of this Non-U.S. RCA shall not operate or be construed as a waiver of that party’s rights on any subsequent breach. </w:t>
      </w:r>
    </w:p>
    <w:p>
      <w:pPr>
        <w:pStyle w:val="TextBody"/>
        <w:spacing w:before="0" w:after="210"/>
        <w:jc w:val="left"/>
        <w:rPr>
          <w:rFonts w:ascii="Times New Roman" w:hAnsi="Times New Roman"/>
          <w:b w:val="false"/>
          <w:sz w:val="22"/>
        </w:rPr>
      </w:pPr>
      <w:r>
        <w:rPr>
          <w:rFonts w:ascii="Times New Roman" w:hAnsi="Times New Roman"/>
          <w:b w:val="false"/>
          <w:sz w:val="22"/>
        </w:rPr>
        <w:t>7.4</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acknowledges and agrees that the Colleague shall be obliged to draw the provisions of Section 3 to the attention of any third party who may, at any time before or after the termination of the Colleague’s employment with Employer, offer to employ or engage them and for or with whom the Colleague intends to work within the Relevant Period.</w:t>
      </w:r>
    </w:p>
    <w:p>
      <w:pPr>
        <w:pStyle w:val="TextBody"/>
        <w:spacing w:before="0" w:after="210"/>
        <w:jc w:val="left"/>
        <w:rPr>
          <w:rFonts w:ascii="Times New Roman" w:hAnsi="Times New Roman"/>
          <w:b w:val="false"/>
          <w:sz w:val="22"/>
        </w:rPr>
      </w:pPr>
      <w:r>
        <w:rPr>
          <w:rFonts w:ascii="Times New Roman" w:hAnsi="Times New Roman"/>
          <w:b w:val="false"/>
          <w:sz w:val="22"/>
        </w:rPr>
        <w:t>7.5</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various section headings contained in this Non-U.S. RCA are for the purpose of convenience only and are not intended to define or limit the contents of such sections.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left"/>
        <w:rPr>
          <w:rFonts w:ascii="Times New Roman" w:hAnsi="Times New Roman"/>
          <w:b w:val="false"/>
          <w:sz w:val="22"/>
        </w:rPr>
      </w:pPr>
      <w:r>
        <w:rPr>
          <w:rFonts w:ascii="Times New Roman" w:hAnsi="Times New Roman"/>
          <w:b w:val="false"/>
          <w:sz w:val="22"/>
        </w:rPr>
        <w:t>7.6</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 xml:space="preserve">This Non-U.S. RCA may be executed in one or more counterparts, each of which shall constitute an original and all of which taken together shall constitute one and the same document. This Non-U.S. RCA will be binding, notwithstanding that either party’s signature is displayed only on a facsimile or electronic copy of the signature page. </w:t>
      </w:r>
    </w:p>
    <w:p>
      <w:pPr>
        <w:pStyle w:val="TextBody"/>
        <w:spacing w:before="0" w:after="210"/>
        <w:jc w:val="left"/>
        <w:rPr>
          <w:rFonts w:ascii="Times New Roman" w:hAnsi="Times New Roman"/>
          <w:b w:val="false"/>
          <w:sz w:val="22"/>
        </w:rPr>
      </w:pPr>
      <w:r>
        <w:rPr>
          <w:rFonts w:ascii="Times New Roman" w:hAnsi="Times New Roman"/>
          <w:b w:val="false"/>
          <w:sz w:val="22"/>
        </w:rPr>
        <w:t>7.7</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Any provisions which by their nature survive termination of this Non-U.S. RCA, including the obligations set forth in Sections 3 and 4 shall survive termination of this Non-U.S. RCA.</w:t>
      </w:r>
    </w:p>
    <w:p>
      <w:pPr>
        <w:pStyle w:val="TextBody"/>
        <w:spacing w:before="0" w:after="210"/>
        <w:jc w:val="left"/>
        <w:rPr>
          <w:rFonts w:ascii="Times New Roman" w:hAnsi="Times New Roman"/>
          <w:b w:val="false"/>
          <w:sz w:val="22"/>
        </w:rPr>
      </w:pPr>
      <w:r>
        <w:rPr>
          <w:rFonts w:ascii="Times New Roman" w:hAnsi="Times New Roman"/>
          <w:b w:val="false"/>
          <w:sz w:val="22"/>
        </w:rPr>
        <w:t>7.8</w:t>
      </w:r>
    </w:p>
    <w:p>
      <w:pPr>
        <w:pStyle w:val="TextBody"/>
        <w:spacing w:before="0" w:after="210"/>
        <w:jc w:val="left"/>
        <w:rPr>
          <w:rFonts w:ascii="Times New Roman;serif" w:hAnsi="Times New Roman;serif"/>
          <w:b w:val="false"/>
          <w:sz w:val="22"/>
        </w:rPr>
      </w:pPr>
      <w:r>
        <w:rPr>
          <w:rFonts w:ascii="Times New Roman;serif" w:hAnsi="Times New Roman;serif"/>
          <w:b w:val="false"/>
          <w:sz w:val="22"/>
        </w:rPr>
        <w:t>The Colleague understands that they have the right to consult with an attorney prior to signing this Non-U.S. RCA.</w:t>
      </w:r>
    </w:p>
    <w:p>
      <w:pPr>
        <w:pStyle w:val="TextBody"/>
        <w:spacing w:before="0" w:after="0"/>
        <w:jc w:val="left"/>
        <w:rPr/>
      </w:pPr>
      <w:r>
        <w:rPr/>
        <w:t> </w:t>
      </w:r>
    </w:p>
    <w:p>
      <w:pPr>
        <w:pStyle w:val="TextBody"/>
        <w:spacing w:before="0" w:after="240"/>
        <w:jc w:val="left"/>
        <w:rPr/>
      </w:pPr>
      <w:r>
        <w:rPr/>
        <w:t> </w:t>
      </w:r>
    </w:p>
    <w:p>
      <w:pPr>
        <w:pStyle w:val="TextBody"/>
        <w:spacing w:before="0" w:after="240"/>
        <w:jc w:val="left"/>
        <w:rPr>
          <w:rFonts w:ascii="Times New Roman" w:hAnsi="Times New Roman"/>
          <w:sz w:val="20"/>
        </w:rPr>
      </w:pPr>
      <w:r>
        <w:rPr>
          <w:rFonts w:ascii="Times New Roman;serif" w:hAnsi="Times New Roman;serif"/>
          <w:b/>
          <w:i/>
          <w:sz w:val="22"/>
        </w:rPr>
        <w:t>By the Colleague’s execution or electronic acceptance of this RCA</w:t>
      </w:r>
      <w:r>
        <w:rPr>
          <w:rFonts w:ascii="Times New Roman" w:hAnsi="Times New Roman"/>
          <w:sz w:val="20"/>
        </w:rPr>
        <w:t xml:space="preserve"> </w:t>
      </w:r>
      <w:r>
        <w:rPr>
          <w:rFonts w:ascii="Times New Roman;serif" w:hAnsi="Times New Roman;serif"/>
          <w:b/>
          <w:i/>
          <w:sz w:val="22"/>
        </w:rPr>
        <w:t>in the manner specified in the Colleague’s online account with the Company’s designated broker/stock plan administrator, the Colleague and the Company have agreed to the terms and conditions of this RCA in connection with the Colleague’s Award.</w:t>
      </w:r>
    </w:p>
    <w:p>
      <w:pPr>
        <w:pStyle w:val="TextBody"/>
        <w:spacing w:before="0" w:after="0"/>
        <w:jc w:val="both"/>
        <w:rPr>
          <w:rFonts w:ascii="Times New Roman" w:hAnsi="Times New Roman"/>
          <w:sz w:val="20"/>
        </w:rPr>
      </w:pPr>
      <w:r>
        <w:rPr>
          <w:rFonts w:ascii="Times New Roman;serif" w:hAnsi="Times New Roman;serif"/>
          <w:b/>
          <w:sz w:val="22"/>
        </w:rPr>
        <w:t>Signed for and on behalf of</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2"/>
        </w:rPr>
        <w:t>Willis Towers Watson Public Limited Company by: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u w:val="single"/>
        </w:rPr>
        <w:t>/s</w:t>
      </w:r>
      <w:r>
        <w:rPr>
          <w:rFonts w:ascii="Times New Roman;serif" w:hAnsi="Times New Roman;serif"/>
          <w:b w:val="false"/>
          <w:sz w:val="22"/>
        </w:rPr>
        <w:t>/</w:t>
      </w:r>
      <w:r>
        <w:rPr>
          <w:rFonts w:ascii="Times New Roman" w:hAnsi="Times New Roman"/>
          <w:sz w:val="20"/>
        </w:rPr>
        <w:t xml:space="preserve"> </w:t>
      </w:r>
      <w:r>
        <w:rPr>
          <w:rFonts w:ascii="Times New Roman" w:hAnsi="Times New Roman"/>
          <w:sz w:val="20"/>
        </w:rPr>
        <w:drawing>
          <wp:inline distT="0" distB="0" distL="0" distR="0">
            <wp:extent cx="2400300" cy="533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00300" cy="533400"/>
                    </a:xfrm>
                    <a:prstGeom prst="rect">
                      <a:avLst/>
                    </a:prstGeom>
                  </pic:spPr>
                </pic:pic>
              </a:graphicData>
            </a:graphic>
          </wp:inline>
        </w:drawing>
      </w:r>
    </w:p>
    <w:p>
      <w:pPr>
        <w:pStyle w:val="TextBody"/>
        <w:spacing w:before="0" w:after="0"/>
        <w:jc w:val="both"/>
        <w:rPr>
          <w:rFonts w:ascii="Times New Roman;serif" w:hAnsi="Times New Roman;serif"/>
          <w:b w:val="false"/>
          <w:sz w:val="22"/>
        </w:rPr>
      </w:pPr>
      <w:r>
        <w:rPr>
          <w:rFonts w:ascii="Times New Roman;serif" w:hAnsi="Times New Roman;serif"/>
          <w:b w:val="false"/>
          <w:sz w:val="22"/>
        </w:rPr>
        <w:t>Name: Kristy Banas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Title: Chief Human Resources Officer</w:t>
      </w:r>
    </w:p>
    <w:p>
      <w:pPr>
        <w:pStyle w:val="TextBody"/>
        <w:spacing w:before="0" w:after="0"/>
        <w:jc w:val="left"/>
        <w:rPr>
          <w:rFonts w:ascii="Times New Roman" w:hAnsi="Times New Roman"/>
          <w:sz w:val="20"/>
        </w:rPr>
      </w:pPr>
      <w:r>
        <w:rPr>
          <w:rFonts w:ascii="Times New Roman;serif" w:hAnsi="Times New Roman;serif"/>
          <w:b/>
          <w:sz w:val="22"/>
        </w:rPr>
        <w:t>Colleague</w:t>
      </w:r>
      <w:r>
        <w:rPr>
          <w:rFonts w:ascii="Times New Roman;serif" w:hAnsi="Times New Roman;serif"/>
          <w:b w:val="false"/>
          <w:sz w:val="22"/>
        </w:rPr>
        <w:t>:</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Signature: ______Electronic Signature_____________________</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Print Name: _______</w:t>
      </w:r>
      <w:r>
        <w:rPr>
          <w:rFonts w:ascii="Times New Roman" w:hAnsi="Times New Roman"/>
          <w:sz w:val="20"/>
        </w:rPr>
        <w:t xml:space="preserve"> </w:t>
      </w:r>
      <w:r>
        <w:rPr>
          <w:rFonts w:ascii="Times New Roman;serif" w:hAnsi="Times New Roman;serif"/>
          <w:b w:val="false"/>
          <w:sz w:val="24"/>
        </w:rPr>
        <w:t>Colleague</w:t>
      </w:r>
      <w:r>
        <w:rPr>
          <w:rFonts w:ascii="Times New Roman" w:hAnsi="Times New Roman"/>
          <w:sz w:val="20"/>
        </w:rPr>
        <w:t xml:space="preserve"> </w:t>
      </w:r>
      <w:r>
        <w:rPr>
          <w:rFonts w:ascii="Times New Roman;serif" w:hAnsi="Times New Roman;serif"/>
          <w:b w:val="false"/>
          <w:sz w:val="22"/>
        </w:rPr>
        <w:t>Name_____________________</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Acceptance Date</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B-6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left"/>
        <w:rPr/>
      </w:pPr>
      <w:r>
        <w:rPr/>
        <w:t> </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SCHEDULE C</w:t>
      </w:r>
    </w:p>
    <w:p>
      <w:pPr>
        <w:pStyle w:val="TextBody"/>
        <w:spacing w:before="0" w:after="0"/>
        <w:jc w:val="left"/>
        <w:rPr/>
      </w:pPr>
      <w:r>
        <w:rPr/>
        <w:t> </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SCHEDULE</w:t>
      </w:r>
    </w:p>
    <w:p>
      <w:pPr>
        <w:pStyle w:val="TextBody"/>
        <w:spacing w:before="0" w:after="0"/>
        <w:jc w:val="center"/>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[INTENTIONALLY OMITTED]</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240"/>
        <w:jc w:val="left"/>
        <w:rPr/>
      </w:pPr>
      <w:r>
        <w:rPr/>
        <w:t> </w:t>
      </w:r>
    </w:p>
    <w:p>
      <w:pPr>
        <w:pStyle w:val="TextBody"/>
        <w:spacing w:before="0" w:after="12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C-1</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right"/>
        <w:rPr>
          <w:rFonts w:ascii="Times New Roman;serif" w:hAnsi="Times New Roman;serif"/>
          <w:b/>
          <w:sz w:val="22"/>
          <w:u w:val="single"/>
        </w:rPr>
      </w:pPr>
      <w:r>
        <w:rPr>
          <w:rFonts w:ascii="Times New Roman;serif" w:hAnsi="Times New Roman;serif"/>
          <w:b/>
          <w:sz w:val="22"/>
          <w:u w:val="single"/>
        </w:rPr>
        <w:t>SCHEDULE D</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Willis Towers Watson</w:t>
      </w:r>
    </w:p>
    <w:p>
      <w:pPr>
        <w:pStyle w:val="TextBody"/>
        <w:spacing w:before="0" w:after="240"/>
        <w:jc w:val="center"/>
        <w:rPr>
          <w:rFonts w:ascii="Times New Roman;serif" w:hAnsi="Times New Roman;serif"/>
          <w:b/>
          <w:sz w:val="22"/>
        </w:rPr>
      </w:pPr>
      <w:r>
        <w:rPr>
          <w:rFonts w:ascii="Times New Roman;serif" w:hAnsi="Times New Roman;serif"/>
          <w:b/>
          <w:sz w:val="22"/>
        </w:rPr>
        <w:t>Global Employee Personal Information Protection Notice</w:t>
      </w:r>
    </w:p>
    <w:p>
      <w:pPr>
        <w:pStyle w:val="TextBody"/>
        <w:spacing w:before="0" w:after="0"/>
        <w:jc w:val="right"/>
        <w:rPr>
          <w:rFonts w:ascii="Times New Roman" w:hAnsi="Times New Roman"/>
          <w:sz w:val="20"/>
        </w:rPr>
      </w:pPr>
      <w:r>
        <w:rPr>
          <w:rFonts w:ascii="Times New Roman;serif" w:hAnsi="Times New Roman;serif"/>
          <w:b/>
          <w:sz w:val="22"/>
          <w:u w:val="single"/>
        </w:rPr>
        <w:t>Last Updated</w:t>
      </w:r>
      <w:r>
        <w:rPr>
          <w:rFonts w:ascii="Times New Roman;serif" w:hAnsi="Times New Roman;serif"/>
          <w:b/>
          <w:sz w:val="22"/>
        </w:rPr>
        <w:t>: January 2023</w:t>
      </w:r>
    </w:p>
    <w:p>
      <w:pPr>
        <w:pStyle w:val="TextBody"/>
        <w:spacing w:before="0" w:after="210"/>
        <w:jc w:val="both"/>
        <w:rPr>
          <w:rFonts w:ascii="Times New Roman" w:hAnsi="Times New Roman"/>
          <w:b/>
          <w:sz w:val="22"/>
        </w:rPr>
      </w:pPr>
      <w:r>
        <w:rPr>
          <w:rFonts w:ascii="Times New Roman" w:hAnsi="Times New Roman"/>
          <w:b/>
          <w:sz w:val="22"/>
        </w:rPr>
        <w:t>1.</w:t>
      </w:r>
    </w:p>
    <w:p>
      <w:pPr>
        <w:pStyle w:val="TextBody"/>
        <w:spacing w:before="0" w:after="210"/>
        <w:jc w:val="both"/>
        <w:rPr>
          <w:rFonts w:ascii="Times New Roman;serif" w:hAnsi="Times New Roman;serif"/>
          <w:b/>
          <w:sz w:val="22"/>
        </w:rPr>
      </w:pPr>
      <w:r>
        <w:rPr>
          <w:rFonts w:ascii="Times New Roman;serif" w:hAnsi="Times New Roman;serif"/>
          <w:b/>
          <w:sz w:val="22"/>
        </w:rPr>
        <w:t>Introduction</w:t>
      </w:r>
    </w:p>
    <w:p>
      <w:pPr>
        <w:pStyle w:val="TextBody"/>
        <w:spacing w:before="0" w:after="210"/>
        <w:jc w:val="both"/>
        <w:rPr>
          <w:rFonts w:ascii="Times New Roman" w:hAnsi="Times New Roman"/>
          <w:sz w:val="20"/>
        </w:rPr>
      </w:pPr>
      <w:r>
        <w:rPr>
          <w:rFonts w:ascii="Times New Roman;serif" w:hAnsi="Times New Roman;serif"/>
          <w:b w:val="false"/>
          <w:sz w:val="22"/>
        </w:rPr>
        <w:t>Willis Towers Watson operates as a global business through its affiliated entities (together “the Willis Towers Watson Group”). The Willis Towers Watson Group values the trust of its employees worldwide and is committed to protecting their personal information.</w:t>
      </w:r>
      <w:r>
        <w:rPr>
          <w:rFonts w:ascii="Times New Roman" w:hAnsi="Times New Roman"/>
          <w:sz w:val="20"/>
        </w:rPr>
        <w:t xml:space="preserve"> </w:t>
      </w:r>
    </w:p>
    <w:p>
      <w:pPr>
        <w:pStyle w:val="TextBody"/>
        <w:spacing w:before="0" w:after="210"/>
        <w:jc w:val="both"/>
        <w:rPr>
          <w:rFonts w:ascii="Times New Roman" w:hAnsi="Times New Roman"/>
          <w:sz w:val="20"/>
        </w:rPr>
      </w:pPr>
      <w:r>
        <w:rPr>
          <w:rFonts w:ascii="Times New Roman;serif" w:hAnsi="Times New Roman;serif"/>
          <w:b w:val="false"/>
          <w:sz w:val="22"/>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 Where applicable there may be additional local notices that you should refer to for specific information related to your regions.</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pStyle w:val="TextBody"/>
        <w:spacing w:before="0" w:after="210"/>
        <w:jc w:val="both"/>
        <w:rPr>
          <w:rFonts w:ascii="Times New Roman" w:hAnsi="Times New Roman"/>
          <w:b/>
          <w:sz w:val="22"/>
        </w:rPr>
      </w:pPr>
      <w:r>
        <w:rPr>
          <w:rFonts w:ascii="Times New Roman" w:hAnsi="Times New Roman"/>
          <w:b/>
          <w:sz w:val="22"/>
        </w:rPr>
        <w:t>2.</w:t>
      </w:r>
    </w:p>
    <w:p>
      <w:pPr>
        <w:pStyle w:val="TextBody"/>
        <w:spacing w:before="0" w:after="210"/>
        <w:jc w:val="both"/>
        <w:rPr>
          <w:rFonts w:ascii="Times New Roman;serif" w:hAnsi="Times New Roman;serif"/>
          <w:b/>
          <w:sz w:val="22"/>
        </w:rPr>
      </w:pPr>
      <w:r>
        <w:rPr>
          <w:rFonts w:ascii="Times New Roman;serif" w:hAnsi="Times New Roman;serif"/>
          <w:b/>
          <w:sz w:val="22"/>
        </w:rPr>
        <w:t>What Personal Information about you that we collect, and how we collect Your Personal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In the course of your employment, we may have collected or will collect information about you and your working relationship with us, your spouse, domestic/civil partner and/or dependents (“Dependents”). We refer to such information as “Personal Information” throughout this Notice.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pStyle w:val="TextBody"/>
        <w:spacing w:before="0" w:after="210"/>
        <w:jc w:val="both"/>
        <w:rPr>
          <w:rFonts w:ascii="Times New Roman" w:hAnsi="Times New Roman"/>
          <w:sz w:val="20"/>
        </w:rPr>
      </w:pPr>
      <w:r>
        <w:rPr>
          <w:rFonts w:ascii="Times New Roman;serif" w:hAnsi="Times New Roman;serif"/>
          <w:b/>
          <w:sz w:val="22"/>
        </w:rPr>
        <w:t>Sources of Personal Information</w:t>
      </w:r>
      <w:r>
        <w:rPr>
          <w:rFonts w:ascii="Times New Roman" w:hAnsi="Times New Roman"/>
          <w:sz w:val="20"/>
        </w:rPr>
        <w:t xml:space="preserve"> </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also collect certain Personal Information about you from other sources, including:</w:t>
      </w:r>
    </w:p>
    <w:p>
      <w:pPr>
        <w:pStyle w:val="TextBody"/>
        <w:spacing w:before="0" w:after="0"/>
        <w:jc w:val="left"/>
        <w:rPr>
          <w:rFonts w:ascii="Times New Roman;serif" w:hAnsi="Times New Roman;serif"/>
          <w:b w:val="false"/>
          <w:sz w:val="22"/>
        </w:rPr>
      </w:pPr>
      <w:r>
        <w:rPr>
          <w:rFonts w:ascii="Times New Roman;serif" w:hAnsi="Times New Roman;serif"/>
          <w:b w:val="false"/>
          <w:sz w:val="22"/>
        </w:rPr>
        <w:t>D-1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88" w:after="210"/>
        <w:jc w:val="both"/>
        <w:rPr>
          <w:rFonts w:ascii="Times New Roman" w:hAnsi="Times New Roman"/>
          <w:b w:val="false"/>
          <w:sz w:val="22"/>
        </w:rPr>
      </w:pPr>
      <w:r>
        <w:rPr>
          <w:rFonts w:ascii="Times New Roman" w:hAnsi="Times New Roman"/>
          <w:b w:val="false"/>
          <w:sz w:val="22"/>
        </w:rPr>
        <w:t>(a)</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background check information from employment screening agencies or publicly available registers (as allowed by law), or references obtained during recruitment;</w:t>
      </w:r>
    </w:p>
    <w:p>
      <w:pPr>
        <w:pStyle w:val="TextBody"/>
        <w:spacing w:before="288" w:after="210"/>
        <w:jc w:val="both"/>
        <w:rPr>
          <w:rFonts w:ascii="Times New Roman" w:hAnsi="Times New Roman"/>
          <w:b w:val="false"/>
          <w:sz w:val="22"/>
        </w:rPr>
      </w:pPr>
      <w:r>
        <w:rPr>
          <w:rFonts w:ascii="Times New Roman" w:hAnsi="Times New Roman"/>
          <w:b w:val="false"/>
          <w:sz w:val="22"/>
        </w:rPr>
        <w:t>(b)</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publicly available professional profiles on websites or social media (e.g. LinkedIn); and</w:t>
      </w:r>
    </w:p>
    <w:p>
      <w:pPr>
        <w:pStyle w:val="TextBody"/>
        <w:spacing w:before="288" w:after="210"/>
        <w:jc w:val="both"/>
        <w:rPr>
          <w:rFonts w:ascii="Times New Roman" w:hAnsi="Times New Roman"/>
          <w:b w:val="false"/>
          <w:sz w:val="22"/>
        </w:rPr>
      </w:pPr>
      <w:r>
        <w:rPr>
          <w:rFonts w:ascii="Times New Roman" w:hAnsi="Times New Roman"/>
          <w:b w:val="false"/>
          <w:sz w:val="22"/>
        </w:rPr>
        <w:t>(c)</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information about your performance or conduct from other employees, clients, or service providers you work with who may provide feedback about you or participate in performance evaluations or reviews.</w:t>
      </w:r>
    </w:p>
    <w:p>
      <w:pPr>
        <w:pStyle w:val="TextBody"/>
        <w:spacing w:before="0" w:after="210"/>
        <w:jc w:val="both"/>
        <w:rPr>
          <w:rFonts w:ascii="Times New Roman" w:hAnsi="Times New Roman"/>
          <w:b/>
          <w:sz w:val="22"/>
        </w:rPr>
      </w:pPr>
      <w:r>
        <w:rPr>
          <w:rFonts w:ascii="Times New Roman" w:hAnsi="Times New Roman"/>
          <w:b/>
          <w:sz w:val="22"/>
        </w:rPr>
        <w:t>3.</w:t>
      </w:r>
    </w:p>
    <w:p>
      <w:pPr>
        <w:pStyle w:val="TextBody"/>
        <w:spacing w:before="0" w:after="210"/>
        <w:jc w:val="both"/>
        <w:rPr>
          <w:rFonts w:ascii="Times New Roman;serif" w:hAnsi="Times New Roman;serif"/>
          <w:b/>
          <w:sz w:val="22"/>
        </w:rPr>
      </w:pPr>
      <w:r>
        <w:rPr>
          <w:rFonts w:ascii="Times New Roman;serif" w:hAnsi="Times New Roman;serif"/>
          <w:b/>
          <w:sz w:val="22"/>
        </w:rPr>
        <w:t>The Legal Bases and purposes for which we use, transfer, and disclose Your Personal Information</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Certain data protection laws require that we only process personal information subject to one or more valid legal bases. In such cases our legal basis will be one of the following:</w:t>
      </w:r>
    </w:p>
    <w:p>
      <w:pPr>
        <w:pStyle w:val="TextBody"/>
        <w:spacing w:before="288" w:after="210"/>
        <w:jc w:val="both"/>
        <w:rPr>
          <w:rFonts w:ascii="Times New Roman" w:hAnsi="Times New Roman"/>
          <w:b w:val="false"/>
          <w:sz w:val="22"/>
        </w:rPr>
      </w:pPr>
      <w:r>
        <w:rPr>
          <w:rFonts w:ascii="Times New Roman" w:hAnsi="Times New Roman"/>
          <w:b w:val="false"/>
          <w:sz w:val="22"/>
        </w:rPr>
        <w:t>(a)</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fulfil our contractual obligations to you in connection with your employment contract with us;</w:t>
      </w:r>
    </w:p>
    <w:p>
      <w:pPr>
        <w:pStyle w:val="TextBody"/>
        <w:spacing w:before="0" w:after="210"/>
        <w:jc w:val="both"/>
        <w:rPr>
          <w:rFonts w:ascii="Times New Roman" w:hAnsi="Times New Roman"/>
          <w:b w:val="false"/>
          <w:sz w:val="22"/>
        </w:rPr>
      </w:pPr>
      <w:r>
        <w:rPr>
          <w:rFonts w:ascii="Times New Roman" w:hAnsi="Times New Roman"/>
          <w:b w:val="false"/>
          <w:sz w:val="22"/>
        </w:rPr>
        <w:t>(b)</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to comply with our legal obligations, for example obtaining proof of your identity to enable us to meet our anti-money laundering obligations, or obtaining proof of your right to work status to enable us to meet relevant obligations;</w:t>
      </w:r>
    </w:p>
    <w:p>
      <w:pPr>
        <w:pStyle w:val="TextBody"/>
        <w:spacing w:before="288" w:after="210"/>
        <w:jc w:val="both"/>
        <w:rPr>
          <w:rFonts w:ascii="Times New Roman" w:hAnsi="Times New Roman"/>
          <w:b w:val="false"/>
          <w:sz w:val="22"/>
        </w:rPr>
      </w:pPr>
      <w:r>
        <w:rPr>
          <w:rFonts w:ascii="Times New Roman" w:hAnsi="Times New Roman"/>
          <w:b w:val="false"/>
          <w:sz w:val="22"/>
        </w:rPr>
        <w:t>(c)</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comply with our legal obligations to you, for example health and safety obligations that we must comply with as your employer or to a third party (e.g. the taxation authorities);</w:t>
      </w:r>
    </w:p>
    <w:p>
      <w:pPr>
        <w:pStyle w:val="TextBody"/>
        <w:spacing w:before="288" w:after="210"/>
        <w:jc w:val="both"/>
        <w:rPr>
          <w:rFonts w:ascii="Times New Roman" w:hAnsi="Times New Roman"/>
          <w:b w:val="false"/>
          <w:sz w:val="22"/>
        </w:rPr>
      </w:pPr>
      <w:r>
        <w:rPr>
          <w:rFonts w:ascii="Times New Roman" w:hAnsi="Times New Roman"/>
          <w:b w:val="false"/>
          <w:sz w:val="22"/>
        </w:rPr>
        <w:t>(d)</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spacing w:before="288" w:after="210"/>
        <w:jc w:val="both"/>
        <w:rPr>
          <w:rFonts w:ascii="Times New Roman" w:hAnsi="Times New Roman"/>
          <w:b w:val="false"/>
          <w:sz w:val="22"/>
        </w:rPr>
      </w:pPr>
      <w:r>
        <w:rPr>
          <w:rFonts w:ascii="Times New Roman" w:hAnsi="Times New Roman"/>
          <w:b w:val="false"/>
          <w:sz w:val="22"/>
        </w:rPr>
        <w:t>(e)</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to protect your or another person’s vital interests, for example by providing your health information to a doctor in a medical emergency; or</w:t>
      </w:r>
    </w:p>
    <w:p>
      <w:pPr>
        <w:pStyle w:val="TextBody"/>
        <w:spacing w:before="288" w:after="210"/>
        <w:jc w:val="both"/>
        <w:rPr>
          <w:rFonts w:ascii="Times New Roman" w:hAnsi="Times New Roman"/>
          <w:b w:val="false"/>
          <w:sz w:val="22"/>
        </w:rPr>
      </w:pPr>
      <w:r>
        <w:rPr>
          <w:rFonts w:ascii="Times New Roman" w:hAnsi="Times New Roman"/>
          <w:b w:val="false"/>
          <w:sz w:val="22"/>
        </w:rPr>
        <w:t>(f)</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 xml:space="preserve">in the case of the Cayman Islands only, the processing is necessary for medical purposes and is undertaken by (a) a health professional; or (b) a person who, in the circumstances, owes a duty of confidentiality equivalent to that which would arise if that person were a health professional. </w:t>
      </w:r>
    </w:p>
    <w:p>
      <w:pPr>
        <w:pStyle w:val="TextBody"/>
        <w:spacing w:before="0" w:after="210"/>
        <w:jc w:val="both"/>
        <w:rPr>
          <w:rFonts w:ascii="Times New Roman" w:hAnsi="Times New Roman"/>
          <w:sz w:val="20"/>
        </w:rPr>
      </w:pPr>
      <w:r>
        <w:rPr>
          <w:rFonts w:ascii="Times New Roman;serif" w:hAnsi="Times New Roman;serif"/>
          <w:b w:val="false"/>
          <w:sz w:val="22"/>
        </w:rPr>
        <w:t>We may obtain your explicit consent to collect and use certain types of Personal Information when we are required to do so by law (for example, when we process some categories of sensitive personal information, access electronic transmissions for specific purposes, or engage in processing which is classified as “profiling”). If we ask for your consent to process your personal information, you may withdraw your consent at any time by contacting privacy@willistowerswatson.com.</w:t>
      </w:r>
      <w:r>
        <w:rPr>
          <w:rFonts w:ascii="Times New Roman" w:hAnsi="Times New Roman"/>
          <w:sz w:val="20"/>
        </w:rPr>
        <w:t xml:space="preserv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D-2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purposes for which we use your personal information are explained in more detail in the Annex 1 to this Notice.</w:t>
      </w:r>
    </w:p>
    <w:p>
      <w:pPr>
        <w:pStyle w:val="TextBody"/>
        <w:spacing w:before="0" w:after="210"/>
        <w:jc w:val="both"/>
        <w:rPr>
          <w:rFonts w:ascii="Times New Roman" w:hAnsi="Times New Roman"/>
          <w:b/>
          <w:sz w:val="22"/>
        </w:rPr>
      </w:pPr>
      <w:r>
        <w:rPr>
          <w:rFonts w:ascii="Times New Roman" w:hAnsi="Times New Roman"/>
          <w:b/>
          <w:sz w:val="22"/>
        </w:rPr>
        <w:t>4.</w:t>
      </w:r>
    </w:p>
    <w:p>
      <w:pPr>
        <w:pStyle w:val="TextBody"/>
        <w:spacing w:before="0" w:after="210"/>
        <w:jc w:val="both"/>
        <w:rPr>
          <w:rFonts w:ascii="Times New Roman;serif" w:hAnsi="Times New Roman;serif"/>
          <w:b/>
          <w:sz w:val="22"/>
        </w:rPr>
      </w:pPr>
      <w:r>
        <w:rPr>
          <w:rFonts w:ascii="Times New Roman;serif" w:hAnsi="Times New Roman;serif"/>
          <w:b/>
          <w:sz w:val="22"/>
        </w:rPr>
        <w:t>Monitoring tools, profiling and automated decision-making</w:t>
      </w:r>
    </w:p>
    <w:p>
      <w:pPr>
        <w:pStyle w:val="TextBody"/>
        <w:spacing w:before="288" w:after="0"/>
        <w:jc w:val="both"/>
        <w:rPr>
          <w:rFonts w:ascii="Times New Roman;serif" w:hAnsi="Times New Roman;serif"/>
          <w:b w:val="false"/>
          <w:sz w:val="22"/>
        </w:rPr>
      </w:pPr>
      <w:r>
        <w:rPr>
          <w:rFonts w:ascii="Times New Roman;serif" w:hAnsi="Times New Roman;serif"/>
          <w:b w:val="false"/>
          <w:sz w:val="22"/>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privacy@willistowerswatson.com. Subject to restrictions under local laws, your Personal Information may be processed using technology in a manner that constitutes “profiling”. This involves the use of software by us and in some instances, our service providers, that is able to evaluate your personal aspects and remuneration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Our service providers may do this as part of their process to determine the pricing of the workplace benefits they provide to us.</w:t>
      </w:r>
    </w:p>
    <w:p>
      <w:pPr>
        <w:pStyle w:val="TextBody"/>
        <w:spacing w:before="288" w:after="0"/>
        <w:jc w:val="both"/>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pStyle w:val="TextBody"/>
        <w:spacing w:before="0" w:after="210"/>
        <w:jc w:val="both"/>
        <w:rPr>
          <w:rFonts w:ascii="Times New Roman" w:hAnsi="Times New Roman"/>
          <w:b/>
          <w:sz w:val="22"/>
        </w:rPr>
      </w:pPr>
      <w:r>
        <w:rPr>
          <w:rFonts w:ascii="Times New Roman" w:hAnsi="Times New Roman"/>
          <w:b/>
          <w:sz w:val="22"/>
        </w:rPr>
        <w:t>5.</w:t>
      </w:r>
    </w:p>
    <w:p>
      <w:pPr>
        <w:pStyle w:val="TextBody"/>
        <w:spacing w:before="0" w:after="210"/>
        <w:jc w:val="both"/>
        <w:rPr>
          <w:rFonts w:ascii="Times New Roman;serif" w:hAnsi="Times New Roman;serif"/>
          <w:b/>
          <w:sz w:val="22"/>
        </w:rPr>
      </w:pPr>
      <w:r>
        <w:rPr>
          <w:rFonts w:ascii="Times New Roman;serif" w:hAnsi="Times New Roman;serif"/>
          <w:b/>
          <w:sz w:val="22"/>
        </w:rPr>
        <w:t>Transfer of Personal Information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in the Cayman Islands, this may include India and Bermuda. Some of these countries are recognized by the European Commission or other regulators as providing an adequate level of protection according to EEA standards (the full list of these countries is available here),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by contacting your local Country Privacy Officer here or the Willis Towers Watson Group’s Global Privacy Program, privacy@willistowerswatson.com.</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All personnel within the Willis Towers Watson Group will generally have access to your business contact information such as name, position, telephone number, postal address, email address and photograph.</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D-3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pStyle w:val="TextBody"/>
        <w:spacing w:before="0" w:after="210"/>
        <w:jc w:val="both"/>
        <w:rPr>
          <w:rFonts w:ascii="Times New Roman" w:hAnsi="Times New Roman"/>
          <w:b/>
          <w:sz w:val="22"/>
        </w:rPr>
      </w:pPr>
      <w:r>
        <w:rPr>
          <w:rFonts w:ascii="Times New Roman" w:hAnsi="Times New Roman"/>
          <w:b/>
          <w:sz w:val="22"/>
        </w:rPr>
        <w:t>6.</w:t>
      </w:r>
    </w:p>
    <w:p>
      <w:pPr>
        <w:pStyle w:val="TextBody"/>
        <w:spacing w:before="0" w:after="210"/>
        <w:jc w:val="both"/>
        <w:rPr>
          <w:rFonts w:ascii="Times New Roman;serif" w:hAnsi="Times New Roman;serif"/>
          <w:b/>
          <w:sz w:val="22"/>
        </w:rPr>
      </w:pPr>
      <w:r>
        <w:rPr>
          <w:rFonts w:ascii="Times New Roman;serif" w:hAnsi="Times New Roman;serif"/>
          <w:b/>
          <w:sz w:val="22"/>
        </w:rPr>
        <w:t>Security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pStyle w:val="TextBody"/>
        <w:spacing w:before="0" w:after="210"/>
        <w:jc w:val="both"/>
        <w:rPr>
          <w:rFonts w:ascii="Times New Roman" w:hAnsi="Times New Roman"/>
          <w:b/>
          <w:sz w:val="22"/>
        </w:rPr>
      </w:pPr>
      <w:r>
        <w:rPr>
          <w:rFonts w:ascii="Times New Roman" w:hAnsi="Times New Roman"/>
          <w:b/>
          <w:sz w:val="22"/>
        </w:rPr>
        <w:t>7.</w:t>
      </w:r>
    </w:p>
    <w:p>
      <w:pPr>
        <w:pStyle w:val="TextBody"/>
        <w:spacing w:before="0" w:after="210"/>
        <w:jc w:val="both"/>
        <w:rPr>
          <w:rFonts w:ascii="Times New Roman;serif" w:hAnsi="Times New Roman;serif"/>
          <w:b/>
          <w:sz w:val="22"/>
        </w:rPr>
      </w:pPr>
      <w:r>
        <w:rPr>
          <w:rFonts w:ascii="Times New Roman;serif" w:hAnsi="Times New Roman;serif"/>
          <w:b/>
          <w:sz w:val="22"/>
        </w:rPr>
        <w:t>Data Retention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If there is any information that we are unable, for technical reasons, to delete entirely from our systems, we will put in place appropriate measures to prevent any further processing or use of the data.</w:t>
      </w:r>
    </w:p>
    <w:p>
      <w:pPr>
        <w:pStyle w:val="TextBody"/>
        <w:spacing w:before="0" w:after="210"/>
        <w:jc w:val="both"/>
        <w:rPr>
          <w:rFonts w:ascii="Times New Roman" w:hAnsi="Times New Roman"/>
          <w:b/>
          <w:sz w:val="22"/>
        </w:rPr>
      </w:pPr>
      <w:r>
        <w:rPr>
          <w:rFonts w:ascii="Times New Roman" w:hAnsi="Times New Roman"/>
          <w:b/>
          <w:sz w:val="22"/>
        </w:rPr>
        <w:t>8.</w:t>
      </w:r>
    </w:p>
    <w:p>
      <w:pPr>
        <w:pStyle w:val="TextBody"/>
        <w:spacing w:before="0" w:after="210"/>
        <w:jc w:val="both"/>
        <w:rPr>
          <w:rFonts w:ascii="Times New Roman;serif" w:hAnsi="Times New Roman;serif"/>
          <w:b/>
          <w:sz w:val="22"/>
        </w:rPr>
      </w:pPr>
      <w:r>
        <w:rPr>
          <w:rFonts w:ascii="Times New Roman;serif" w:hAnsi="Times New Roman;serif"/>
          <w:b/>
          <w:sz w:val="22"/>
        </w:rPr>
        <w:t>Access and correction requests, questions, and complaints</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You have certain rights regarding your Personal Information, subject to local law, which may include the right to:</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access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rectify the information we hold about you;</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erase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restrict our use of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object to our use of your Personal Information;</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receive your Personal Information in a usable electronic format and transmit it to a third party (right to data portability);</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 xml:space="preserve">withdraw your consent to any processing based on consent at any time;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D-4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lodge a complaint with your local data protection authority if you believe that we have not been able to assist with your complaint or concern (and the right to be informed about the collection and use of Personal Information; seek compensation pertaining to the Cayman Islands Data Protection Law);</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the right to stop direct marketing; and</w:t>
      </w:r>
    </w:p>
    <w:p>
      <w:pPr>
        <w:pStyle w:val="TextBody"/>
        <w:spacing w:before="288" w:after="210"/>
        <w:jc w:val="both"/>
        <w:rPr/>
      </w:pPr>
      <w:r>
        <w:rPr/>
        <w:t>•</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where the local laws (including but not limited to Cayman Islands) provide, the right to seek compensation.</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If you have any questions about this Notice or if you would like to discuss or exercise your rights, please contact Human Resources or email privacy@willistowerswatson.com.</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pStyle w:val="TextBody"/>
        <w:spacing w:before="0" w:after="210"/>
        <w:jc w:val="both"/>
        <w:rPr>
          <w:rFonts w:ascii="Times New Roman" w:hAnsi="Times New Roman"/>
          <w:b/>
          <w:sz w:val="22"/>
        </w:rPr>
      </w:pPr>
      <w:r>
        <w:rPr>
          <w:rFonts w:ascii="Times New Roman" w:hAnsi="Times New Roman"/>
          <w:b/>
          <w:sz w:val="22"/>
        </w:rPr>
        <w:t>9.</w:t>
      </w:r>
    </w:p>
    <w:p>
      <w:pPr>
        <w:pStyle w:val="TextBody"/>
        <w:spacing w:before="0" w:after="210"/>
        <w:jc w:val="both"/>
        <w:rPr>
          <w:rFonts w:ascii="Times New Roman;serif" w:hAnsi="Times New Roman;serif"/>
          <w:b/>
          <w:sz w:val="22"/>
        </w:rPr>
      </w:pPr>
      <w:r>
        <w:rPr>
          <w:rFonts w:ascii="Times New Roman;serif" w:hAnsi="Times New Roman;serif"/>
          <w:b/>
          <w:sz w:val="22"/>
        </w:rPr>
        <w:t>Employee’s Obligations</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pStyle w:val="TextBody"/>
        <w:spacing w:before="0" w:after="210"/>
        <w:jc w:val="both"/>
        <w:rPr>
          <w:rFonts w:ascii="Times New Roman" w:hAnsi="Times New Roman"/>
          <w:b/>
          <w:sz w:val="22"/>
        </w:rPr>
      </w:pPr>
      <w:r>
        <w:rPr>
          <w:rFonts w:ascii="Times New Roman" w:hAnsi="Times New Roman"/>
          <w:b/>
          <w:sz w:val="22"/>
        </w:rPr>
        <w:t>10.</w:t>
      </w:r>
    </w:p>
    <w:p>
      <w:pPr>
        <w:pStyle w:val="TextBody"/>
        <w:spacing w:before="0" w:after="210"/>
        <w:jc w:val="both"/>
        <w:rPr>
          <w:rFonts w:ascii="Times New Roman;serif" w:hAnsi="Times New Roman;serif"/>
          <w:b/>
          <w:sz w:val="22"/>
        </w:rPr>
      </w:pPr>
      <w:r>
        <w:rPr>
          <w:rFonts w:ascii="Times New Roman;serif" w:hAnsi="Times New Roman;serif"/>
          <w:b/>
          <w:sz w:val="22"/>
        </w:rPr>
        <w:t>Changes to the Policy</w:t>
      </w:r>
    </w:p>
    <w:p>
      <w:pPr>
        <w:pStyle w:val="TextBody"/>
        <w:spacing w:before="288" w:after="210"/>
        <w:jc w:val="both"/>
        <w:rPr>
          <w:rFonts w:ascii="Times New Roman" w:hAnsi="Times New Roman"/>
          <w:sz w:val="20"/>
        </w:rPr>
      </w:pPr>
      <w:r>
        <w:rPr>
          <w:rFonts w:ascii="Times New Roman;serif" w:hAnsi="Times New Roman;serif"/>
          <w:b w:val="false"/>
          <w:sz w:val="22"/>
        </w:rPr>
        <w:t>We may modify or update this Notice from time to time.</w:t>
      </w:r>
      <w:r>
        <w:rPr>
          <w:rFonts w:ascii="Times New Roman" w:hAnsi="Times New Roman"/>
          <w:sz w:val="20"/>
        </w:rPr>
        <w:t xml:space="preserve"> </w:t>
      </w:r>
    </w:p>
    <w:p>
      <w:pPr>
        <w:pStyle w:val="TextBody"/>
        <w:spacing w:before="288" w:after="210"/>
        <w:jc w:val="both"/>
        <w:rPr>
          <w:rFonts w:ascii="Times New Roman;serif" w:hAnsi="Times New Roman;serif"/>
          <w:b w:val="false"/>
          <w:sz w:val="22"/>
        </w:rPr>
      </w:pPr>
      <w:r>
        <w:rPr>
          <w:rFonts w:ascii="Times New Roman;serif" w:hAnsi="Times New Roman;serif"/>
          <w:b w:val="false"/>
          <w:sz w:val="22"/>
        </w:rPr>
        <w:t>If we change this Notice, we will notify you of the changes by updating the intranet site, unless specific local legal requirements require us to provide you with notice in a specific manner.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pStyle w:val="TextBody"/>
        <w:spacing w:before="0" w:after="210"/>
        <w:jc w:val="both"/>
        <w:rPr>
          <w:rFonts w:ascii="Times New Roman" w:hAnsi="Times New Roman"/>
          <w:b/>
          <w:sz w:val="22"/>
        </w:rPr>
      </w:pPr>
      <w:r>
        <w:rPr>
          <w:rFonts w:ascii="Times New Roman" w:hAnsi="Times New Roman"/>
          <w:b/>
          <w:sz w:val="22"/>
        </w:rPr>
        <w:t>11.</w:t>
      </w:r>
    </w:p>
    <w:p>
      <w:pPr>
        <w:pStyle w:val="TextBody"/>
        <w:spacing w:before="0" w:after="210"/>
        <w:jc w:val="both"/>
        <w:rPr>
          <w:rFonts w:ascii="Times New Roman;serif" w:hAnsi="Times New Roman;serif"/>
          <w:b/>
          <w:sz w:val="22"/>
        </w:rPr>
      </w:pPr>
      <w:r>
        <w:rPr>
          <w:rFonts w:ascii="Times New Roman;serif" w:hAnsi="Times New Roman;serif"/>
          <w:b/>
          <w:sz w:val="22"/>
        </w:rPr>
        <w:t>Contact</w:t>
      </w:r>
    </w:p>
    <w:p>
      <w:pPr>
        <w:pStyle w:val="TextBody"/>
        <w:spacing w:before="0" w:after="210"/>
        <w:jc w:val="both"/>
        <w:rPr>
          <w:rFonts w:ascii="Times New Roman" w:hAnsi="Times New Roman"/>
          <w:sz w:val="20"/>
        </w:rPr>
      </w:pPr>
      <w:r>
        <w:rPr>
          <w:rFonts w:ascii="Times New Roman;serif" w:hAnsi="Times New Roman;serif"/>
          <w:b w:val="false"/>
          <w:sz w:val="22"/>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2"/>
        </w:rPr>
        <w:t>For questions or comments about this Notice, please contact Human Resources, email privacy@willistowerswatson.com or contact your local Country Privacy Officer here.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some countries, there is a legal requirement to provide a named individual and their contact details. These are:</w:t>
      </w:r>
    </w:p>
    <w:p>
      <w:pPr>
        <w:pStyle w:val="TextBody"/>
        <w:spacing w:before="0" w:after="0"/>
        <w:jc w:val="both"/>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D-5</w:t>
      </w:r>
    </w:p>
    <w:p>
      <w:pPr>
        <w:pStyle w:val="TextBody"/>
        <w:spacing w:before="0" w:after="0"/>
        <w:jc w:val="left"/>
        <w:rPr/>
      </w:pPr>
      <w:r>
        <w:rPr/>
        <w:t> </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28"/>
        <w:gridCol w:w="1877"/>
        <w:gridCol w:w="7200"/>
      </w:tblGrid>
      <w:tr>
        <w:trPr/>
        <w:tc>
          <w:tcPr>
            <w:tcW w:w="1128"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7200" w:type="dxa"/>
            <w:tcBorders/>
            <w:shd w:fill="auto" w:val="clear"/>
            <w:vAlign w:val="center"/>
          </w:tcPr>
          <w:p>
            <w:pPr>
              <w:pStyle w:val="TableContents"/>
              <w:spacing w:before="0" w:after="283"/>
              <w:rPr>
                <w:sz w:val="4"/>
                <w:szCs w:val="4"/>
              </w:rPr>
            </w:pPr>
            <w:r>
              <w:rPr>
                <w:sz w:val="4"/>
                <w:szCs w:val="4"/>
              </w:rPr>
            </w:r>
          </w:p>
        </w:tc>
      </w:tr>
      <w:tr>
        <w:trPr/>
        <w:tc>
          <w:tcPr>
            <w:tcW w:w="1128"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Times New Roman;serif" w:hAnsi="Times New Roman;serif"/>
                <w:b w:val="false"/>
                <w:sz w:val="22"/>
              </w:rPr>
            </w:pPr>
            <w:r>
              <w:rPr>
                <w:rFonts w:ascii="Times New Roman;serif" w:hAnsi="Times New Roman;serif"/>
                <w:b w:val="false"/>
                <w:sz w:val="22"/>
              </w:rPr>
              <w:t>Country</w:t>
            </w:r>
          </w:p>
        </w:tc>
        <w:tc>
          <w:tcPr>
            <w:tcW w:w="1877"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22"/>
              </w:rPr>
            </w:pPr>
            <w:r>
              <w:rPr>
                <w:rFonts w:ascii="Times New Roman;serif" w:hAnsi="Times New Roman;serif"/>
                <w:b w:val="false"/>
                <w:sz w:val="22"/>
              </w:rPr>
              <w:t>Name</w:t>
            </w:r>
          </w:p>
        </w:tc>
        <w:tc>
          <w:tcPr>
            <w:tcW w:w="7200"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22"/>
              </w:rPr>
            </w:pPr>
            <w:r>
              <w:rPr>
                <w:rFonts w:ascii="Times New Roman;serif" w:hAnsi="Times New Roman;serif"/>
                <w:b w:val="false"/>
                <w:sz w:val="22"/>
              </w:rPr>
              <w:t>Contact details</w:t>
            </w:r>
          </w:p>
        </w:tc>
      </w:tr>
      <w:tr>
        <w:trPr/>
        <w:tc>
          <w:tcPr>
            <w:tcW w:w="1128"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Nigeria</w:t>
            </w:r>
          </w:p>
        </w:tc>
        <w:tc>
          <w:tcPr>
            <w:tcW w:w="1877"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Adewunmi Akinmodiro</w:t>
            </w:r>
          </w:p>
        </w:tc>
        <w:tc>
          <w:tcPr>
            <w:tcW w:w="720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Adewunmi.Akinmodiro@willistowerswatson.com</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Willis Towers Watson Nigeria Limited</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6th Floor, Africa RE Building. Plot 1679 Karimu Kotun Street, Victoria Island Lagos, Nigeria.</w:t>
            </w:r>
          </w:p>
        </w:tc>
      </w:tr>
      <w:tr>
        <w:trPr/>
        <w:tc>
          <w:tcPr>
            <w:tcW w:w="1128" w:type="dxa"/>
            <w:vMerge w:val="restart"/>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South Africa</w:t>
            </w:r>
          </w:p>
        </w:tc>
        <w:tc>
          <w:tcPr>
            <w:tcW w:w="1877"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André Wild</w:t>
            </w:r>
          </w:p>
        </w:tc>
        <w:tc>
          <w:tcPr>
            <w:tcW w:w="720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Andre.Wild@willistowerswatson.com</w:t>
            </w:r>
            <w:r>
              <w:rPr>
                <w:rFonts w:ascii="Times New Roman" w:hAnsi="Times New Roman"/>
                <w:sz w:val="22"/>
              </w:rPr>
              <w:t xml:space="preserve"> </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Towers Watson (Pty) Ltd</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Level 4, MontClare Place, 23 Main Road, Claremont, Cape Town, 7708</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Private Bag X30, Rondebosch, 7701</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right"/>
              <w:rPr/>
            </w:pPr>
            <w:r>
              <w:rPr/>
              <w:t> </w:t>
            </w:r>
          </w:p>
        </w:tc>
      </w:tr>
      <w:tr>
        <w:trPr/>
        <w:tc>
          <w:tcPr>
            <w:tcW w:w="1128" w:type="dxa"/>
            <w:vMerge w:val="continue"/>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Normal"/>
              <w:rPr/>
            </w:pPr>
            <w:r>
              <w:rPr/>
            </w:r>
          </w:p>
        </w:tc>
        <w:tc>
          <w:tcPr>
            <w:tcW w:w="1877"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Pasha Karodia</w:t>
            </w:r>
          </w:p>
          <w:p>
            <w:pPr>
              <w:pStyle w:val="TableContents"/>
              <w:spacing w:before="0" w:after="0"/>
              <w:ind w:left="0" w:right="0" w:hanging="0"/>
              <w:jc w:val="left"/>
              <w:rPr/>
            </w:pPr>
            <w:r>
              <w:rPr/>
              <w:t> </w:t>
            </w:r>
          </w:p>
        </w:tc>
        <w:tc>
          <w:tcPr>
            <w:tcW w:w="720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 w:hAnsi="Times New Roman"/>
                <w:sz w:val="22"/>
              </w:rPr>
            </w:pPr>
            <w:r>
              <w:rPr>
                <w:rFonts w:ascii="Times New Roman;serif" w:hAnsi="Times New Roman;serif"/>
                <w:b/>
                <w:sz w:val="22"/>
              </w:rPr>
              <w:t>Pasha.Karodia@willistowerswatson.com</w:t>
            </w:r>
            <w:r>
              <w:rPr>
                <w:rFonts w:ascii="Times New Roman" w:hAnsi="Times New Roman"/>
                <w:sz w:val="22"/>
              </w:rPr>
              <w:t xml:space="preserve"> </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Willis South Africa (Pty) Ltd</w:t>
            </w:r>
          </w:p>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Illovo Edge, 1 Harries Road, Illovo, Johannesburg 2196</w:t>
            </w:r>
          </w:p>
          <w:p>
            <w:pPr>
              <w:pStyle w:val="TableContents"/>
              <w:spacing w:before="0" w:after="0"/>
              <w:ind w:left="0" w:right="0" w:hanging="0"/>
              <w:jc w:val="left"/>
              <w:rPr/>
            </w:pPr>
            <w:r>
              <w:rPr/>
              <w:t> </w:t>
            </w:r>
          </w:p>
        </w:tc>
      </w:tr>
    </w:tbl>
    <w:p>
      <w:pPr>
        <w:pStyle w:val="TextBody"/>
        <w:spacing w:before="0" w:after="24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D-6</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0"/>
        <w:jc w:val="righ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ANNEX 1</w:t>
      </w:r>
    </w:p>
    <w:p>
      <w:pPr>
        <w:pStyle w:val="TextBody"/>
        <w:spacing w:before="0" w:after="0"/>
        <w:jc w:val="center"/>
        <w:rPr/>
      </w:pPr>
      <w:r>
        <w:rPr/>
        <w:t> </w:t>
      </w:r>
    </w:p>
    <w:p>
      <w:pPr>
        <w:pStyle w:val="TextBody"/>
        <w:spacing w:before="0" w:after="210"/>
        <w:jc w:val="both"/>
        <w:rPr>
          <w:rFonts w:ascii="Times New Roman;serif" w:hAnsi="Times New Roman;serif"/>
          <w:b/>
          <w:sz w:val="22"/>
        </w:rPr>
      </w:pPr>
      <w:r>
        <w:rPr>
          <w:rFonts w:ascii="Times New Roman;serif" w:hAnsi="Times New Roman;serif"/>
          <w:b/>
          <w:sz w:val="22"/>
        </w:rPr>
        <w:t>Categories of Personal Information Collected About Employees</w:t>
      </w:r>
    </w:p>
    <w:p>
      <w:pPr>
        <w:pStyle w:val="TextBody"/>
        <w:spacing w:before="0" w:after="0"/>
        <w:jc w:val="left"/>
        <w:rPr>
          <w:rFonts w:ascii="Times New Roman" w:hAnsi="Times New Roman"/>
          <w:sz w:val="20"/>
        </w:rPr>
      </w:pPr>
      <w:r>
        <w:rPr>
          <w:rFonts w:ascii="Times New Roman;serif" w:hAnsi="Times New Roman;serif"/>
          <w:b w:val="false"/>
          <w:sz w:val="22"/>
        </w:rPr>
        <w:t>Generally, when permitted by local law, we may collect and process the below categories of personal information about Employees:</w:t>
      </w:r>
      <w:r>
        <w:rPr>
          <w:rFonts w:ascii="Times New Roman" w:hAnsi="Times New Roman"/>
          <w:sz w:val="20"/>
        </w:rPr>
        <w:t xml:space="preserve"> </w:t>
      </w:r>
    </w:p>
    <w:p>
      <w:pPr>
        <w:pStyle w:val="TextBody"/>
        <w:spacing w:before="0" w:after="0"/>
        <w:jc w:val="left"/>
        <w:rPr/>
      </w:pPr>
      <w:r>
        <w:rPr/>
        <w:t> </w:t>
      </w:r>
    </w:p>
    <w:p>
      <w:pPr>
        <w:pStyle w:val="TextBody"/>
        <w:spacing w:before="0" w:after="210"/>
        <w:jc w:val="both"/>
        <w:rPr>
          <w:rFonts w:ascii="Times New Roman" w:hAnsi="Times New Roman"/>
          <w:sz w:val="20"/>
        </w:rPr>
      </w:pPr>
      <w:r>
        <w:rPr>
          <w:rFonts w:ascii="Times New Roman;serif" w:hAnsi="Times New Roman;serif"/>
          <w:b/>
          <w:sz w:val="22"/>
        </w:rPr>
        <w:t>Name, Contact Info and other Identifiers</w:t>
      </w:r>
      <w:r>
        <w:rPr>
          <w:rFonts w:ascii="Times New Roman;serif" w:hAnsi="Times New Roman;serif"/>
          <w:b w:val="false"/>
          <w:sz w:val="22"/>
        </w:rPr>
        <w:t>: identifiers including, but not limited to</w:t>
      </w:r>
      <w:r>
        <w:rPr>
          <w:rFonts w:ascii="Times New Roman;serif" w:hAnsi="Times New Roman;serif"/>
          <w:b w:val="false"/>
          <w:i/>
          <w:sz w:val="22"/>
        </w:rPr>
        <w:t>:</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Personal Details: Name, alias, employee identification number, work and home contact details (email, phone numbers, physical address)), language(s) spoken, sex or gender, date of birth, nationality, place of birth, state identification card, national identification number, passport number, social security number, driver’s license, marital/civil partnership status, domestic partners, dependants, disability status, emergency contact information, health (including, where legally permitted, vaccination status), insurance and benefits details, vehicle data, IP address, and photograph.</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Documentation Required under Immigration Laws: Citizenship, passport data, details of residency or work permit.</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Business travel details: employee name and email address, passport and relevant visa details, origin and destination countries, reason for travel, travel date and line of business.</w:t>
      </w:r>
    </w:p>
    <w:p>
      <w:pPr>
        <w:pStyle w:val="TextBody"/>
        <w:spacing w:before="0" w:after="210"/>
        <w:jc w:val="both"/>
        <w:rPr>
          <w:rFonts w:ascii="Times New Roman" w:hAnsi="Times New Roman"/>
          <w:sz w:val="20"/>
        </w:rPr>
      </w:pPr>
      <w:r>
        <w:rPr>
          <w:rFonts w:ascii="Times New Roman;serif" w:hAnsi="Times New Roman;serif"/>
          <w:b/>
          <w:sz w:val="22"/>
        </w:rPr>
        <w:t>Protected Classifications</w:t>
      </w:r>
      <w:r>
        <w:rPr>
          <w:rFonts w:ascii="Times New Roman;serif" w:hAnsi="Times New Roman;serif"/>
          <w:b w:val="false"/>
          <w:sz w:val="22"/>
        </w:rPr>
        <w:t>: characteristics of protected classifications under California or federal law including, but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Citizenship information, as well as residency and work permit details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Medical information and disability information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Information we collect, when permitted by local law,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pStyle w:val="TextBody"/>
        <w:spacing w:before="0" w:after="210"/>
        <w:jc w:val="both"/>
        <w:rPr>
          <w:rFonts w:ascii="Times New Roman" w:hAnsi="Times New Roman"/>
          <w:sz w:val="20"/>
        </w:rPr>
      </w:pPr>
      <w:r>
        <w:rPr>
          <w:rFonts w:ascii="Times New Roman;serif" w:hAnsi="Times New Roman;serif"/>
          <w:b/>
          <w:sz w:val="22"/>
        </w:rPr>
        <w:t>Usage Data</w:t>
      </w:r>
      <w:r>
        <w:rPr>
          <w:rFonts w:ascii="Times New Roman;serif" w:hAnsi="Times New Roman;serif"/>
          <w:b w:val="false"/>
          <w:sz w:val="22"/>
        </w:rPr>
        <w:t xml:space="preserve">: internet or other electronic network activity information including, but not limited to, browsing history, search history, and information regarding a resident’s interaction with an internet website, application, or advertisement. </w:t>
      </w:r>
      <w:r>
        <w:rPr>
          <w:rFonts w:ascii="Times New Roman;serif" w:hAnsi="Times New Roman;serif"/>
          <w:b w:val="false"/>
          <w:i/>
          <w:sz w:val="22"/>
        </w:rPr>
        <w:t>This includes:</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Access logs and usage details regarding activities on Willis Towers Watson network, systems and devices, including but not limited to website and browsing history.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Physical access logs and call logs</w:t>
      </w:r>
    </w:p>
    <w:p>
      <w:pPr>
        <w:pStyle w:val="TextBody"/>
        <w:spacing w:before="0" w:after="0"/>
        <w:jc w:val="left"/>
        <w:rPr>
          <w:rFonts w:ascii="Times New Roman;serif" w:hAnsi="Times New Roman;serif"/>
          <w:b w:val="false"/>
          <w:sz w:val="22"/>
        </w:rPr>
      </w:pPr>
      <w:r>
        <w:rPr>
          <w:rFonts w:ascii="Times New Roman;serif" w:hAnsi="Times New Roman;serif"/>
          <w:b w:val="false"/>
          <w:sz w:val="22"/>
        </w:rPr>
        <w:t>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Electronic content produced using Willis Towers Watson systems</w:t>
      </w:r>
    </w:p>
    <w:p>
      <w:pPr>
        <w:pStyle w:val="TextBody"/>
        <w:spacing w:before="0" w:after="210"/>
        <w:jc w:val="both"/>
        <w:rPr/>
      </w:pPr>
      <w:r>
        <w:rPr/>
        <w:t>•</w:t>
      </w:r>
    </w:p>
    <w:p>
      <w:pPr>
        <w:pStyle w:val="TextBody"/>
        <w:spacing w:before="0" w:after="210"/>
        <w:jc w:val="both"/>
        <w:rPr/>
      </w:pPr>
      <w:r>
        <w:rPr>
          <w:rFonts w:ascii="Times New Roman;serif" w:hAnsi="Times New Roman;serif"/>
          <w:b/>
          <w:sz w:val="22"/>
        </w:rPr>
        <w:t xml:space="preserve">Biometric information: </w:t>
      </w:r>
      <w:r>
        <w:rPr>
          <w:rFonts w:ascii="Times New Roman;serif" w:hAnsi="Times New Roman;serif"/>
          <w:b w:val="false"/>
          <w:sz w:val="22"/>
        </w:rPr>
        <w:t xml:space="preserve">an individual’s physiological, biological, or behavioral characteristics including information pertaining to an 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 </w:t>
      </w:r>
    </w:p>
    <w:p>
      <w:pPr>
        <w:pStyle w:val="TextBody"/>
        <w:spacing w:before="0" w:after="210"/>
        <w:jc w:val="both"/>
        <w:rPr>
          <w:rFonts w:ascii="Times New Roman" w:hAnsi="Times New Roman"/>
          <w:sz w:val="20"/>
        </w:rPr>
      </w:pPr>
      <w:r>
        <w:rPr>
          <w:rFonts w:ascii="Times New Roman;serif" w:hAnsi="Times New Roman;serif"/>
          <w:b/>
          <w:sz w:val="22"/>
        </w:rPr>
        <w:t>Geolocation Data</w:t>
      </w:r>
      <w:r>
        <w:rPr>
          <w:rFonts w:ascii="Times New Roman;serif" w:hAnsi="Times New Roman;serif"/>
          <w:b w:val="false"/>
          <w:sz w:val="22"/>
        </w:rPr>
        <w:t>: precise geographic location information about a particular Willis Towers Watson device.</w:t>
      </w:r>
    </w:p>
    <w:p>
      <w:pPr>
        <w:pStyle w:val="TextBody"/>
        <w:spacing w:before="0" w:after="210"/>
        <w:jc w:val="both"/>
        <w:rPr>
          <w:rFonts w:ascii="Times New Roman" w:hAnsi="Times New Roman"/>
          <w:sz w:val="20"/>
        </w:rPr>
      </w:pPr>
      <w:r>
        <w:rPr>
          <w:rFonts w:ascii="Times New Roman;serif" w:hAnsi="Times New Roman;serif"/>
          <w:b/>
          <w:sz w:val="22"/>
        </w:rPr>
        <w:t>Audio, Video and other Electronic Data</w:t>
      </w:r>
      <w:r>
        <w:rPr>
          <w:rFonts w:ascii="Times New Roman;serif" w:hAnsi="Times New Roman;serif"/>
          <w:b w:val="false"/>
          <w:sz w:val="22"/>
        </w:rPr>
        <w:t xml:space="preserve">: audio, electronic, visual, thermal, olfactory, or similar information. </w:t>
      </w:r>
      <w:r>
        <w:rPr>
          <w:rFonts w:ascii="Times New Roman;serif" w:hAnsi="Times New Roman;serif"/>
          <w:b w:val="false"/>
          <w:i/>
          <w:sz w:val="22"/>
        </w:rPr>
        <w:t>This includes: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CCTV footage and photographs.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Call recordings and other audio recordings (e.g., recorded meetings, trainings, and webinars).</w:t>
      </w:r>
    </w:p>
    <w:p>
      <w:pPr>
        <w:pStyle w:val="TextBody"/>
        <w:spacing w:before="288" w:after="0"/>
        <w:jc w:val="both"/>
        <w:rPr/>
      </w:pPr>
      <w:r>
        <w:rPr/>
        <w:t>•</w:t>
      </w:r>
    </w:p>
    <w:p>
      <w:pPr>
        <w:pStyle w:val="TextBody"/>
        <w:spacing w:before="288" w:after="0"/>
        <w:jc w:val="both"/>
        <w:rPr>
          <w:rFonts w:ascii="Times New Roman;serif" w:hAnsi="Times New Roman;serif"/>
          <w:b w:val="false"/>
          <w:sz w:val="22"/>
        </w:rPr>
      </w:pPr>
      <w:r>
        <w:rPr>
          <w:rFonts w:ascii="Times New Roman;serif" w:hAnsi="Times New Roman;serif"/>
          <w:b w:val="false"/>
          <w:sz w:val="22"/>
        </w:rPr>
        <w:t>Electronic transmissions.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US employees only: Any and all telephone conversations or transmissions, electronic mail or transmissions, or internet access or usage by an employee by any electronic device or system, including but not limited to the use of a computer, telephone, wire, radio or electromagnetic, photoelectronic or photo-optical systems may be subject to monitoring at any and all times and by any lawful means.</w:t>
      </w:r>
    </w:p>
    <w:p>
      <w:pPr>
        <w:pStyle w:val="TextBody"/>
        <w:spacing w:before="0" w:after="210"/>
        <w:jc w:val="both"/>
        <w:rPr>
          <w:rFonts w:ascii="Times New Roman" w:hAnsi="Times New Roman"/>
          <w:sz w:val="20"/>
        </w:rPr>
      </w:pPr>
      <w:r>
        <w:rPr>
          <w:rFonts w:ascii="Times New Roman;serif" w:hAnsi="Times New Roman;serif"/>
          <w:b/>
          <w:sz w:val="22"/>
        </w:rPr>
        <w:t>Employment History</w:t>
      </w:r>
      <w:r>
        <w:rPr>
          <w:rFonts w:ascii="Times New Roman;serif" w:hAnsi="Times New Roman;serif"/>
          <w:b w:val="false"/>
          <w:sz w:val="22"/>
        </w:rPr>
        <w:t xml:space="preserve">: professional or employment-related information. </w:t>
      </w:r>
      <w:r>
        <w:rPr>
          <w:rFonts w:ascii="Times New Roman;serif" w:hAnsi="Times New Roman;serif"/>
          <w:b w:val="false"/>
          <w:i/>
          <w:sz w:val="22"/>
        </w:rPr>
        <w:t>This includes, but is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Talent Acquisition and Talent Management Information: Professional qualifications, language and other relevant skills, certification, certification expiration dates), information necessary to complete a background check, details on performance management ratings, development programs planned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and attended, e-learning programs, performance and development reviews, willingness to relocate, driver’s license information, and information used to populate employee biographies.</w:t>
      </w:r>
      <w:r>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Management Records: Details of any shares of common stock or directorships.</w:t>
      </w:r>
    </w:p>
    <w:p>
      <w:pPr>
        <w:pStyle w:val="TextBody"/>
        <w:spacing w:before="0" w:after="210"/>
        <w:jc w:val="both"/>
        <w:rPr>
          <w:rFonts w:ascii="Times New Roman" w:hAnsi="Times New Roman"/>
          <w:sz w:val="20"/>
        </w:rPr>
      </w:pPr>
      <w:r>
        <w:rPr>
          <w:rFonts w:ascii="Times New Roman;serif" w:hAnsi="Times New Roman;serif"/>
          <w:b/>
          <w:sz w:val="22"/>
        </w:rPr>
        <w:t>Education Information</w:t>
      </w:r>
      <w:r>
        <w:rPr>
          <w:rFonts w:ascii="Times New Roman;serif" w:hAnsi="Times New Roman;serif"/>
          <w:b w:val="false"/>
          <w:sz w:val="22"/>
        </w:rPr>
        <w:t xml:space="preserve">: information about education history or background that is not publicly available personally identifiable information as defined in the federal Family Educational Rights and Privacy Act (20 U.S.C. section 1232g, 34 C.F.R. Part 99). </w:t>
      </w:r>
      <w:r>
        <w:rPr>
          <w:rFonts w:ascii="Times New Roman;serif" w:hAnsi="Times New Roman;serif"/>
          <w:b w:val="false"/>
          <w:i/>
          <w:sz w:val="22"/>
        </w:rPr>
        <w:t>This includes, but is not limited to:</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Degrees, certificates or other training completed, schools attended and relevant dates.</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Details contained in letters of application and resume/CV (previous employment background.</w:t>
      </w:r>
    </w:p>
    <w:p>
      <w:pPr>
        <w:pStyle w:val="TextBody"/>
        <w:spacing w:before="0" w:after="210"/>
        <w:jc w:val="both"/>
        <w:rPr>
          <w:rFonts w:ascii="Times New Roman" w:hAnsi="Times New Roman"/>
          <w:sz w:val="20"/>
        </w:rPr>
      </w:pPr>
      <w:r>
        <w:rPr>
          <w:rFonts w:ascii="Times New Roman;serif" w:hAnsi="Times New Roman;serif"/>
          <w:b/>
          <w:sz w:val="22"/>
        </w:rPr>
        <w:t>Profiles and Inferences</w:t>
      </w:r>
      <w:r>
        <w:rPr>
          <w:rFonts w:ascii="Times New Roman;serif" w:hAnsi="Times New Roman;serif"/>
          <w:b w:val="false"/>
          <w:sz w:val="22"/>
        </w:rPr>
        <w:t>: inferences drawn from any of the information identified above to create a profile about you reflecting your preferences, characteristics, psychological trends, predispositions, behaviour, attitudes, intelligence, abilities, and aptitudes.</w:t>
      </w:r>
    </w:p>
    <w:p>
      <w:pPr>
        <w:pStyle w:val="TextBody"/>
        <w:spacing w:before="0" w:after="210"/>
        <w:jc w:val="both"/>
        <w:rPr>
          <w:rFonts w:ascii="Times New Roman" w:hAnsi="Times New Roman"/>
          <w:sz w:val="20"/>
        </w:rPr>
      </w:pPr>
      <w:r>
        <w:rPr>
          <w:rFonts w:ascii="Times New Roman;serif" w:hAnsi="Times New Roman;serif"/>
          <w:b/>
          <w:sz w:val="22"/>
        </w:rPr>
        <w:t>Logins and Account Access Information</w:t>
      </w:r>
      <w:r>
        <w:rPr>
          <w:rFonts w:ascii="Times New Roman;serif" w:hAnsi="Times New Roman;serif"/>
          <w:b w:val="false"/>
          <w:sz w:val="22"/>
        </w:rPr>
        <w:t>: information which reveals a consumer’s account login, financial account, debit or credit card in combination with any required security or access code, password or credential allowing access.</w:t>
      </w:r>
    </w:p>
    <w:p>
      <w:pPr>
        <w:pStyle w:val="TextBody"/>
        <w:spacing w:before="0" w:after="210"/>
        <w:jc w:val="both"/>
        <w:rPr>
          <w:rFonts w:ascii="Times New Roman" w:hAnsi="Times New Roman"/>
          <w:sz w:val="20"/>
        </w:rPr>
      </w:pPr>
      <w:r>
        <w:rPr>
          <w:rFonts w:ascii="Times New Roman;serif" w:hAnsi="Times New Roman;serif"/>
          <w:b/>
          <w:sz w:val="22"/>
        </w:rPr>
        <w:t>What About Sensitive Information?</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Please be assured that, as explained in the following section, we will only use such sensitive information for the following purposes and as provided by law.</w:t>
      </w:r>
    </w:p>
    <w:p>
      <w:pPr>
        <w:pStyle w:val="TextBody"/>
        <w:spacing w:before="0" w:after="210"/>
        <w:jc w:val="both"/>
        <w:rPr>
          <w:rFonts w:ascii="Times New Roman;serif" w:hAnsi="Times New Roman;serif"/>
          <w:b/>
          <w:sz w:val="22"/>
        </w:rPr>
      </w:pPr>
      <w:r>
        <w:rPr>
          <w:rFonts w:ascii="Times New Roman;serif" w:hAnsi="Times New Roman;serif"/>
          <w:b/>
          <w:sz w:val="22"/>
        </w:rPr>
        <w:t>The Purposes for which we may collect, use, transfer and disclose Personal Information:</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Managing Workforce</w:t>
      </w:r>
      <w:r>
        <w:rPr>
          <w:rFonts w:ascii="Times New Roman;serif" w:hAnsi="Times New Roman;serif"/>
          <w:b w:val="false"/>
          <w:sz w:val="22"/>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Communications and Emergencies</w:t>
      </w:r>
      <w:r>
        <w:rPr>
          <w:rFonts w:ascii="Times New Roman;serif" w:hAnsi="Times New Roman;serif"/>
          <w:b w:val="false"/>
          <w:sz w:val="22"/>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Business Operations</w:t>
      </w:r>
      <w:r>
        <w:rPr>
          <w:rFonts w:ascii="Times New Roman;serif" w:hAnsi="Times New Roman;serif"/>
          <w:b w:val="false"/>
          <w:sz w:val="22"/>
        </w:rPr>
        <w:t>: Operating and managing the IT and communications systems, ensuring the security of Company systems, networks and information, managing product and service development and delivery, improving products and services, improving and developing client relationships including marketing activities using traditional and social media, fulfilling client relationships, supporting cross-selling opportunities,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Compliance</w:t>
      </w:r>
      <w:r>
        <w:rPr>
          <w:rFonts w:ascii="Times New Roman;serif" w:hAnsi="Times New Roman;serif"/>
          <w:b w:val="false"/>
          <w:sz w:val="22"/>
        </w:rPr>
        <w:t>: Complying with legal and other requirements, such as employment law requirements, income tax and national insurance deductions, record-keeping and reporting obligations, conducting audits,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Monitoring</w:t>
      </w:r>
      <w:r>
        <w:rPr>
          <w:rFonts w:ascii="Times New Roman;serif" w:hAnsi="Times New Roman;serif"/>
          <w:b w:val="false"/>
          <w:sz w:val="22"/>
        </w:rPr>
        <w:t>: Monitoring, investigating and remedying compliance with the Company’s legal and contractual obligations,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Complying with record keeping requirements</w:t>
      </w:r>
      <w:r>
        <w:rPr>
          <w:rFonts w:ascii="Times New Roman;serif" w:hAnsi="Times New Roman;serif"/>
          <w:b w:val="false"/>
          <w:sz w:val="22"/>
        </w:rPr>
        <w:t>: Complying with record keeping requirements, including retention requirements mandated by statute or governmental regulatory agencies in the geographies where we do business, as defined in our agreements, or per client instructions.</w:t>
      </w:r>
    </w:p>
    <w:p>
      <w:pPr>
        <w:pStyle w:val="TextBody"/>
        <w:spacing w:before="0" w:after="210"/>
        <w:jc w:val="both"/>
        <w:rPr>
          <w:rFonts w:ascii="Times New Roman" w:hAnsi="Times New Roman"/>
          <w:sz w:val="20"/>
        </w:rPr>
      </w:pPr>
      <w:r>
        <w:rPr>
          <w:rFonts w:ascii="Times New Roman;serif" w:hAnsi="Times New Roman;serif"/>
          <w:b/>
          <w:sz w:val="22"/>
        </w:rPr>
        <w:t>Aggregate and de-identified information</w:t>
      </w:r>
      <w:r>
        <w:rPr>
          <w:rFonts w:ascii="Times New Roman;serif" w:hAnsi="Times New Roman;serif"/>
          <w:b w:val="false"/>
          <w:sz w:val="22"/>
        </w:rPr>
        <w:t>. To the extent permitted by law, we may de-identify personal information and 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pStyle w:val="TextBody"/>
        <w:spacing w:before="0" w:after="210"/>
        <w:jc w:val="both"/>
        <w:rPr>
          <w:rFonts w:ascii="Times New Roman;serif" w:hAnsi="Times New Roman;serif"/>
          <w:b/>
          <w:sz w:val="22"/>
        </w:rPr>
      </w:pPr>
      <w:r>
        <w:rPr>
          <w:rFonts w:ascii="Times New Roman;serif" w:hAnsi="Times New Roman;serif"/>
          <w:b/>
          <w:sz w:val="22"/>
        </w:rPr>
        <w:t>The categories of unaffiliated third parties with whom Willis Towers Watson may share Personal Information:</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Professional Advisors</w:t>
      </w:r>
      <w:r>
        <w:rPr>
          <w:rFonts w:ascii="Times New Roman;serif" w:hAnsi="Times New Roman;serif"/>
          <w:b w:val="false"/>
          <w:sz w:val="22"/>
        </w:rPr>
        <w:t>: Accountants, auditors, lawyers, insurers, bankers, and other outside professional advisors in all of the countries in which the Willis Towers Watson Group operates.</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4</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Service Providers</w:t>
      </w:r>
      <w:r>
        <w:rPr>
          <w:rFonts w:ascii="Times New Roman;serif" w:hAnsi="Times New Roman;serif"/>
          <w:b w:val="false"/>
          <w:sz w:val="22"/>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Public and Governmental Authorities</w:t>
      </w:r>
      <w:r>
        <w:rPr>
          <w:rFonts w:ascii="Times New Roman;serif" w:hAnsi="Times New Roman;serif"/>
          <w:b w:val="false"/>
          <w:sz w:val="22"/>
        </w:rPr>
        <w:t>: Entities that regulate or have jurisdiction over companies in the Willis Towers Watson Group such as regulatory authorities, law enforcement, public bodies, and judicial bodies (who may be located in other countries around the world).</w:t>
      </w:r>
    </w:p>
    <w:p>
      <w:pPr>
        <w:pStyle w:val="TextBody"/>
        <w:spacing w:before="0" w:after="210"/>
        <w:jc w:val="both"/>
        <w:rPr/>
      </w:pPr>
      <w:r>
        <w:rPr/>
        <w:t>•</w:t>
      </w:r>
    </w:p>
    <w:p>
      <w:pPr>
        <w:pStyle w:val="TextBody"/>
        <w:spacing w:before="0" w:after="210"/>
        <w:jc w:val="both"/>
        <w:rPr/>
      </w:pPr>
      <w:r>
        <w:rPr>
          <w:rFonts w:ascii="Times New Roman;serif" w:hAnsi="Times New Roman;serif"/>
          <w:b w:val="false"/>
          <w:sz w:val="22"/>
          <w:u w:val="single"/>
        </w:rPr>
        <w:t>Corporate Transaction</w:t>
      </w:r>
      <w:r>
        <w:rPr>
          <w:rFonts w:ascii="Times New Roman;serif" w:hAnsi="Times New Roman;serif"/>
          <w:b w:val="false"/>
          <w:sz w:val="22"/>
        </w:rPr>
        <w:t>: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pStyle w:val="TextBody"/>
        <w:spacing w:before="0" w:after="210"/>
        <w:jc w:val="both"/>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5</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center"/>
        <w:rPr>
          <w:rFonts w:ascii="Times New Roman;serif" w:hAnsi="Times New Roman;serif"/>
          <w:b/>
          <w:sz w:val="22"/>
          <w:u w:val="single"/>
        </w:rPr>
      </w:pPr>
      <w:r>
        <w:rPr>
          <w:rFonts w:ascii="Times New Roman;serif" w:hAnsi="Times New Roman;serif"/>
          <w:b/>
          <w:sz w:val="22"/>
          <w:u w:val="single"/>
        </w:rPr>
        <w:t>ANNEX 2 – Information for California Residents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pStyle w:val="TextBody"/>
        <w:spacing w:before="0" w:after="0"/>
        <w:jc w:val="both"/>
        <w:rPr/>
      </w:pPr>
      <w:r>
        <w:rPr/>
        <w:t> </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publicly available information made lawfully available by state or federal governments</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pStyle w:val="TextBody"/>
        <w:spacing w:before="0" w:after="0"/>
        <w:jc w:val="both"/>
        <w:rPr/>
      </w:pPr>
      <w:r>
        <w:rPr/>
        <w:t>•</w:t>
      </w:r>
    </w:p>
    <w:p>
      <w:pPr>
        <w:pStyle w:val="TextBody"/>
        <w:spacing w:before="0" w:after="0"/>
        <w:jc w:val="both"/>
        <w:rPr>
          <w:rFonts w:ascii="Times New Roman;serif" w:hAnsi="Times New Roman;serif"/>
          <w:b w:val="false"/>
          <w:sz w:val="22"/>
        </w:rPr>
      </w:pPr>
      <w:r>
        <w:rPr>
          <w:rFonts w:ascii="Times New Roman;serif" w:hAnsi="Times New Roman;serif"/>
          <w:b w:val="false"/>
          <w:sz w:val="22"/>
        </w:rPr>
        <w:t xml:space="preserve">personal information we collect about job applicants or independent contractors at Willis Towers Watson </w:t>
      </w:r>
    </w:p>
    <w:p>
      <w:pPr>
        <w:pStyle w:val="TextBody"/>
        <w:spacing w:before="0" w:after="0"/>
        <w:jc w:val="both"/>
        <w:rPr/>
      </w:pPr>
      <w:r>
        <w:rPr/>
        <w:t>•</w:t>
      </w:r>
    </w:p>
    <w:p>
      <w:pPr>
        <w:pStyle w:val="TextBody"/>
        <w:jc w:val="both"/>
        <w:rPr>
          <w:rFonts w:ascii="Times New Roman;serif" w:hAnsi="Times New Roman;serif"/>
          <w:b w:val="false"/>
          <w:sz w:val="22"/>
        </w:rPr>
      </w:pPr>
      <w:r>
        <w:rPr>
          <w:rFonts w:ascii="Times New Roman;serif" w:hAnsi="Times New Roman;serif"/>
          <w:b w:val="false"/>
          <w:sz w:val="22"/>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pStyle w:val="TextBody"/>
        <w:spacing w:before="0" w:after="210"/>
        <w:jc w:val="both"/>
        <w:rPr>
          <w:rFonts w:ascii="Times New Roman" w:hAnsi="Times New Roman"/>
          <w:sz w:val="20"/>
        </w:rPr>
      </w:pPr>
      <w:r>
        <w:rPr>
          <w:rFonts w:ascii="Times New Roman;serif" w:hAnsi="Times New Roman;serif"/>
          <w:b/>
          <w:sz w:val="22"/>
        </w:rPr>
        <w:t>Categories of personal information we collect, disclose, sell, or share</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Our collection, use and disclosure of personal information 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We process personal data belonging to individuals 16 years or younger.</w:t>
      </w:r>
      <w:r>
        <w:rPr>
          <w:rFonts w:ascii="Times New Roman" w:hAnsi="Times New Roman"/>
          <w:sz w:val="20"/>
        </w:rPr>
        <w:t xml:space="preserve">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covered by this Privacy Notice.</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do not “sell” or share “share” personal information subject to this privacy notice.</w:t>
      </w:r>
    </w:p>
    <w:p>
      <w:pPr>
        <w:pStyle w:val="TextBody"/>
        <w:spacing w:before="0" w:after="210"/>
        <w:jc w:val="both"/>
        <w:rPr>
          <w:rFonts w:ascii="Times New Roman" w:hAnsi="Times New Roman"/>
          <w:sz w:val="20"/>
        </w:rPr>
      </w:pPr>
      <w:r>
        <w:rPr>
          <w:rFonts w:ascii="Times New Roman;serif" w:hAnsi="Times New Roman;serif"/>
          <w:b/>
          <w:sz w:val="22"/>
        </w:rPr>
        <w:t xml:space="preserve">Rights of California residents. </w:t>
      </w:r>
      <w:r>
        <w:rPr>
          <w:rFonts w:ascii="Times New Roman;serif" w:hAnsi="Times New Roman;serif"/>
          <w:b w:val="false"/>
          <w:sz w:val="22"/>
        </w:rPr>
        <w:t>California law grants California residents certain rights and imposes restrictions on particular business practices as set forth below.</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Do-Not-Sell</w:t>
      </w:r>
      <w:r>
        <w:rPr>
          <w:rFonts w:ascii="Times New Roman;serif" w:hAnsi="Times New Roman;serif"/>
          <w:b w:val="false"/>
          <w:sz w:val="22"/>
        </w:rPr>
        <w:t xml:space="preserve">: California residents have the right to opt-out of our sale of their personal information. We do not “sell”.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Limit the Use of Sensitive Personal Information:</w:t>
      </w:r>
      <w:r>
        <w:rPr/>
        <w:t xml:space="preserve"> </w:t>
      </w:r>
      <w:r>
        <w:rPr>
          <w:rFonts w:ascii="Times New Roman;serif" w:hAnsi="Times New Roman;serif"/>
          <w:b w:val="false"/>
          <w:sz w:val="22"/>
        </w:rPr>
        <w:t xml:space="preserve">California residents have the right in certain instances to request that we limit the use and sharing of their sensitive personal information. The CCPA defines “sensitive personal information” to include, among other things, your: social security number,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6</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pPr>
      <w:r>
        <w:rPr>
          <w:rFonts w:ascii="Times New Roman;serif" w:hAnsi="Times New Roman;serif"/>
          <w:b w:val="false"/>
          <w:sz w:val="22"/>
        </w:rPr>
        <w:t>(including physiological, biological, or behavioral characteristics). To exercise this right, click this link</w:t>
      </w:r>
      <w:r>
        <w:rPr/>
        <w:t xml:space="preserve"> </w:t>
      </w:r>
      <w:r>
        <w:rPr>
          <w:rFonts w:ascii="Times New Roman;serif" w:hAnsi="Times New Roman;serif"/>
          <w:b w:val="false"/>
          <w:sz w:val="22"/>
        </w:rPr>
        <w:t>or contact us at the toll-free number below.</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Initial Notice</w:t>
      </w:r>
      <w:r>
        <w:rPr>
          <w:rFonts w:ascii="Times New Roman;serif" w:hAnsi="Times New Roman;serif"/>
          <w:b w:val="false"/>
          <w:sz w:val="22"/>
        </w:rPr>
        <w:t>: We are required to notify California residents, at or before the point of collection of their personal information, the categories of personal information collected and the purposes for which such information is used.</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Delete</w:t>
      </w:r>
      <w:r>
        <w:rPr>
          <w:rFonts w:ascii="Times New Roman;serif" w:hAnsi="Times New Roman;serif"/>
          <w:b w:val="false"/>
          <w:i/>
          <w:sz w:val="22"/>
        </w:rPr>
        <w:t>:</w:t>
      </w:r>
      <w:r>
        <w:rPr/>
        <w:t xml:space="preserve"> </w:t>
      </w:r>
      <w:r>
        <w:rPr>
          <w:rFonts w:ascii="Times New Roman;serif" w:hAnsi="Times New Roman;serif"/>
          <w:b w:val="false"/>
          <w:sz w:val="22"/>
        </w:rPr>
        <w:t xml:space="preserve">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Know</w:t>
      </w:r>
      <w:r>
        <w:rPr>
          <w:rFonts w:ascii="Times New Roman;serif" w:hAnsi="Times New Roman;serif"/>
          <w:b w:val="false"/>
          <w:sz w:val="22"/>
        </w:rPr>
        <w:t xml:space="preserve">: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 </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personal information collected;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sources of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business and/or commercial purposes for collecting and selling their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third parties with whom we have shared their personal information;</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categories of personal information that we have sold in the preceding 12 months, and for each category identified, the categories of third parties to which we sold that particular category of information; and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jc w:val="both"/>
        <w:rPr>
          <w:rFonts w:ascii="Times New Roman;serif" w:hAnsi="Times New Roman;serif"/>
          <w:b w:val="false"/>
          <w:sz w:val="22"/>
        </w:rPr>
      </w:pPr>
      <w:r>
        <w:rPr>
          <w:rFonts w:ascii="Times New Roman;serif" w:hAnsi="Times New Roman;serif"/>
          <w:b w:val="false"/>
          <w:sz w:val="22"/>
        </w:rPr>
        <w:t>categories of personal information disclosed for a business purpose in the preceding 12 months, and for each category identified, the categories of third parties to which we disclosed that particular category of personal information.</w:t>
      </w:r>
    </w:p>
    <w:p>
      <w:pPr>
        <w:pStyle w:val="TextBody"/>
        <w:spacing w:before="0" w:after="210"/>
        <w:jc w:val="both"/>
        <w:rPr/>
      </w:pPr>
      <w:r>
        <w:rPr/>
        <w:t> </w:t>
      </w:r>
    </w:p>
    <w:p>
      <w:pPr>
        <w:pStyle w:val="TextBody"/>
        <w:spacing w:before="0" w:after="210"/>
        <w:jc w:val="both"/>
        <w:rPr>
          <w:rFonts w:ascii="Times New Roman" w:hAnsi="Times New Roman"/>
          <w:sz w:val="20"/>
        </w:rPr>
      </w:pPr>
      <w:r>
        <w:rPr>
          <w:rFonts w:ascii="Times New Roman;serif" w:hAnsi="Times New Roman;serif"/>
          <w:b w:val="false"/>
          <w:sz w:val="22"/>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Request to Correct</w:t>
      </w:r>
      <w:r>
        <w:rPr>
          <w:rFonts w:ascii="Times New Roman;serif" w:hAnsi="Times New Roman;serif"/>
          <w:b w:val="false"/>
          <w:sz w:val="22"/>
        </w:rPr>
        <w:t>: California residents have the right to request that we correct inaccurate personal information that we maintain.</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Right to Non-Discrimination</w:t>
      </w:r>
      <w:r>
        <w:rPr>
          <w:rFonts w:ascii="Times New Roman;serif" w:hAnsi="Times New Roman;serif"/>
          <w:b w:val="false"/>
          <w:sz w:val="22"/>
        </w:rPr>
        <w:t xml:space="preserve">: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 </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Financial Incentives</w:t>
      </w:r>
      <w:r>
        <w:rPr>
          <w:rFonts w:ascii="Times New Roman;serif" w:hAnsi="Times New Roman;serif"/>
          <w:b w:val="false"/>
          <w:sz w:val="22"/>
        </w:rPr>
        <w:t xml:space="preserve">: A business may offer financial incentives for the collection, sale or deletion of California residents’ personal information, where the incentive is not unjust, unreasonable,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7</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pStyle w:val="TextBody"/>
        <w:spacing w:before="0" w:after="210"/>
        <w:jc w:val="both"/>
        <w:rPr/>
      </w:pPr>
      <w:r>
        <w:rPr/>
        <w:t>•</w:t>
      </w:r>
    </w:p>
    <w:p>
      <w:pPr>
        <w:pStyle w:val="TextBody"/>
        <w:spacing w:before="0" w:after="210"/>
        <w:jc w:val="both"/>
        <w:rPr/>
      </w:pPr>
      <w:r>
        <w:rPr>
          <w:rFonts w:ascii="Times New Roman;serif" w:hAnsi="Times New Roman;serif"/>
          <w:b/>
          <w:i/>
          <w:sz w:val="22"/>
        </w:rPr>
        <w:t>Submitting Requests</w:t>
      </w:r>
      <w:r>
        <w:rPr>
          <w:rFonts w:ascii="Times New Roman;serif" w:hAnsi="Times New Roman;serif"/>
          <w:b w:val="false"/>
          <w:sz w:val="22"/>
        </w:rPr>
        <w:t>. Do-Not-Sell (Opt-out) Requests, Requests to Know, Requests to Delete, Requests to Limit Use of Sensitive Personal Information and Requests to Correct may be submitted:</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spacing w:before="0" w:after="0"/>
        <w:jc w:val="both"/>
        <w:rPr>
          <w:rFonts w:ascii="Times New Roman;serif" w:hAnsi="Times New Roman;serif"/>
          <w:b w:val="false"/>
          <w:sz w:val="22"/>
        </w:rPr>
      </w:pPr>
      <w:r>
        <w:rPr>
          <w:rFonts w:ascii="Times New Roman;serif" w:hAnsi="Times New Roman;serif"/>
          <w:b w:val="false"/>
          <w:sz w:val="22"/>
        </w:rPr>
        <w:t>By contacting us at 1-800-889-9288 (toll free)</w:t>
      </w:r>
    </w:p>
    <w:p>
      <w:pPr>
        <w:pStyle w:val="TextBody"/>
        <w:spacing w:before="0" w:after="0"/>
        <w:jc w:val="both"/>
        <w:rPr>
          <w:rFonts w:ascii="Times New Roman" w:hAnsi="Times New Roman"/>
          <w:b w:val="false"/>
          <w:sz w:val="22"/>
        </w:rPr>
      </w:pPr>
      <w:r>
        <w:rPr>
          <w:rFonts w:ascii="Times New Roman" w:hAnsi="Times New Roman"/>
          <w:b w:val="false"/>
          <w:sz w:val="22"/>
        </w:rPr>
        <w:t>o</w:t>
      </w:r>
    </w:p>
    <w:p>
      <w:pPr>
        <w:pStyle w:val="TextBody"/>
        <w:jc w:val="both"/>
        <w:rPr>
          <w:rFonts w:ascii="Times New Roman;serif" w:hAnsi="Times New Roman;serif"/>
          <w:b w:val="false"/>
          <w:sz w:val="22"/>
        </w:rPr>
      </w:pPr>
      <w:r>
        <w:rPr>
          <w:rFonts w:ascii="Times New Roman;serif" w:hAnsi="Times New Roman;serif"/>
          <w:b w:val="false"/>
          <w:sz w:val="22"/>
        </w:rPr>
        <w:t>By submitting a Consumer Request through this link</w:t>
      </w:r>
    </w:p>
    <w:p>
      <w:pPr>
        <w:pStyle w:val="TextBody"/>
        <w:spacing w:before="0" w:after="0"/>
        <w:jc w:val="both"/>
        <w:rPr/>
      </w:pPr>
      <w:r>
        <w:rPr/>
        <w:t> </w:t>
      </w:r>
    </w:p>
    <w:p>
      <w:pPr>
        <w:pStyle w:val="TextBody"/>
        <w:spacing w:before="0" w:after="210"/>
        <w:jc w:val="both"/>
        <w:rPr>
          <w:rFonts w:ascii="Times New Roman" w:hAnsi="Times New Roman"/>
          <w:sz w:val="20"/>
        </w:rPr>
      </w:pPr>
      <w:r>
        <w:rPr>
          <w:rFonts w:ascii="Times New Roman;serif" w:hAnsi="Times New Roman;serif"/>
          <w:b w:val="false"/>
          <w:sz w:val="22"/>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r>
        <w:rPr>
          <w:rFonts w:ascii="Times New Roman" w:hAnsi="Times New Roman"/>
          <w:sz w:val="20"/>
        </w:rPr>
        <w:t xml:space="preserve">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 </w:t>
      </w:r>
    </w:p>
    <w:p>
      <w:pPr>
        <w:pStyle w:val="TextBody"/>
        <w:spacing w:before="0" w:after="210"/>
        <w:jc w:val="both"/>
        <w:rPr/>
      </w:pPr>
      <w:r>
        <w:rPr/>
        <w: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 xml:space="preserve">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will respond to verifiable requests received from California residents as required by law. For more information about our privacy practices, you may contact us as set forth above.</w:t>
      </w:r>
    </w:p>
    <w:p>
      <w:pPr>
        <w:pStyle w:val="TextBody"/>
        <w:spacing w:before="0" w:after="210"/>
        <w:jc w:val="both"/>
        <w:rPr>
          <w:rFonts w:ascii="Times New Roman" w:hAnsi="Times New Roman"/>
          <w:sz w:val="20"/>
        </w:rPr>
      </w:pPr>
      <w:r>
        <w:rPr>
          <w:rFonts w:ascii="Times New Roman;serif" w:hAnsi="Times New Roman;serif"/>
          <w:b/>
          <w:sz w:val="22"/>
        </w:rPr>
        <w:t>Consumer Requests Received in 2021.</w:t>
      </w:r>
      <w:r>
        <w:rPr>
          <w:rFonts w:ascii="Times New Roman" w:hAnsi="Times New Roman"/>
          <w:sz w:val="20"/>
        </w:rPr>
        <w:t xml:space="preserve"> </w:t>
      </w:r>
      <w:r>
        <w:rPr>
          <w:rFonts w:ascii="Times New Roman;serif" w:hAnsi="Times New Roman;serif"/>
          <w:b w:val="false"/>
          <w:sz w:val="22"/>
        </w:rPr>
        <w:t>In calendar year 2021, we received and responded to consumer requests under the CCPA as set forth in the table below:</w:t>
      </w:r>
    </w:p>
    <w:tbl>
      <w:tblPr>
        <w:tblW w:w="10205" w:type="dxa"/>
        <w:jc w:val="left"/>
        <w:tblInd w:w="0" w:type="dxa"/>
        <w:tblCellMar>
          <w:top w:w="28" w:type="dxa"/>
          <w:left w:w="28" w:type="dxa"/>
          <w:bottom w:w="28" w:type="dxa"/>
          <w:right w:w="28" w:type="dxa"/>
        </w:tblCellMar>
      </w:tblPr>
      <w:tblGrid>
        <w:gridCol w:w="1295"/>
        <w:gridCol w:w="1749"/>
        <w:gridCol w:w="3149"/>
        <w:gridCol w:w="1706"/>
        <w:gridCol w:w="2306"/>
      </w:tblGrid>
      <w:tr>
        <w:trPr/>
        <w:tc>
          <w:tcPr>
            <w:tcW w:w="1295"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3149"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r>
      <w:tr>
        <w:trPr/>
        <w:tc>
          <w:tcPr>
            <w:tcW w:w="1295"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Request Type</w:t>
            </w:r>
          </w:p>
        </w:tc>
        <w:tc>
          <w:tcPr>
            <w:tcW w:w="174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Number of Requests Received</w:t>
            </w:r>
          </w:p>
        </w:tc>
        <w:tc>
          <w:tcPr>
            <w:tcW w:w="314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Number of Requests With Which We Complied (in whole or in part)</w:t>
            </w:r>
          </w:p>
        </w:tc>
        <w:tc>
          <w:tcPr>
            <w:tcW w:w="170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Number of Requests Denied*</w:t>
            </w:r>
          </w:p>
        </w:tc>
        <w:tc>
          <w:tcPr>
            <w:tcW w:w="230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 xml:space="preserve">Average Response Time (Number of Days) </w:t>
            </w:r>
          </w:p>
        </w:tc>
      </w:tr>
      <w:tr>
        <w:trPr/>
        <w:tc>
          <w:tcPr>
            <w:tcW w:w="1295"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Requests to Know</w:t>
            </w:r>
          </w:p>
        </w:tc>
        <w:tc>
          <w:tcPr>
            <w:tcW w:w="17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31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70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0</w:t>
            </w:r>
          </w:p>
        </w:tc>
        <w:tc>
          <w:tcPr>
            <w:tcW w:w="230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33</w:t>
            </w:r>
          </w:p>
        </w:tc>
      </w:tr>
      <w:tr>
        <w:trPr/>
        <w:tc>
          <w:tcPr>
            <w:tcW w:w="1295"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Requests to Delete</w:t>
            </w:r>
          </w:p>
        </w:tc>
        <w:tc>
          <w:tcPr>
            <w:tcW w:w="17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3</w:t>
            </w:r>
          </w:p>
        </w:tc>
        <w:tc>
          <w:tcPr>
            <w:tcW w:w="314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70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230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64</w:t>
            </w:r>
          </w:p>
        </w:tc>
      </w:tr>
    </w:tbl>
    <w:p>
      <w:pPr>
        <w:pStyle w:val="TextBody"/>
        <w:spacing w:before="0" w:after="0"/>
        <w:jc w:val="center"/>
        <w:rPr>
          <w:rFonts w:ascii="Times New Roman;serif" w:hAnsi="Times New Roman;serif"/>
          <w:b w:val="false"/>
          <w:sz w:val="22"/>
        </w:rPr>
      </w:pPr>
      <w:r>
        <w:rPr>
          <w:rFonts w:ascii="Times New Roman;serif" w:hAnsi="Times New Roman;serif"/>
          <w:b w:val="false"/>
          <w:sz w:val="22"/>
        </w:rPr>
        <w:t>8</w:t>
      </w:r>
    </w:p>
    <w:p>
      <w:pPr>
        <w:pStyle w:val="TextBody"/>
        <w:spacing w:before="0" w:after="0"/>
        <w:jc w:val="left"/>
        <w:rPr/>
      </w:pPr>
      <w:r>
        <w:rPr/>
        <w:t> </w:t>
      </w:r>
    </w:p>
    <w:p>
      <w:pPr>
        <w:pStyle w:val="HorizontalLine"/>
        <w:rPr/>
      </w:pPr>
      <w:r>
        <w:rPr/>
      </w:r>
    </w:p>
    <w:p>
      <w:pPr>
        <w:pStyle w:val="TextBody"/>
        <w:spacing w:before="0" w:after="0"/>
        <w:jc w:val="left"/>
        <w:rPr/>
      </w:pPr>
      <w:r>
        <w:rPr/>
        <w:t> </w:t>
      </w:r>
    </w:p>
    <w:tbl>
      <w:tblPr>
        <w:tblW w:w="7025" w:type="dxa"/>
        <w:jc w:val="left"/>
        <w:tblInd w:w="0" w:type="dxa"/>
        <w:tblCellMar>
          <w:top w:w="28" w:type="dxa"/>
          <w:left w:w="28" w:type="dxa"/>
          <w:bottom w:w="28" w:type="dxa"/>
          <w:right w:w="28" w:type="dxa"/>
        </w:tblCellMar>
      </w:tblPr>
      <w:tblGrid>
        <w:gridCol w:w="5356"/>
        <w:gridCol w:w="466"/>
        <w:gridCol w:w="706"/>
        <w:gridCol w:w="226"/>
        <w:gridCol w:w="271"/>
      </w:tblGrid>
      <w:tr>
        <w:trPr/>
        <w:tc>
          <w:tcPr>
            <w:tcW w:w="535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535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Requests to Opt-Out of the Sale of Personal Information</w:t>
            </w:r>
          </w:p>
        </w:tc>
        <w:tc>
          <w:tcPr>
            <w:tcW w:w="46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790</w:t>
            </w:r>
          </w:p>
        </w:tc>
        <w:tc>
          <w:tcPr>
            <w:tcW w:w="70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782**</w:t>
            </w:r>
          </w:p>
        </w:tc>
        <w:tc>
          <w:tcPr>
            <w:tcW w:w="22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0</w:t>
            </w:r>
          </w:p>
        </w:tc>
        <w:tc>
          <w:tcPr>
            <w:tcW w:w="27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left"/>
              <w:rPr>
                <w:rFonts w:ascii="Times New Roman;serif" w:hAnsi="Times New Roman;serif"/>
                <w:b w:val="false"/>
                <w:sz w:val="22"/>
              </w:rPr>
            </w:pPr>
            <w:r>
              <w:rPr>
                <w:rFonts w:ascii="Times New Roman;serif" w:hAnsi="Times New Roman;serif"/>
                <w:b w:val="false"/>
                <w:sz w:val="22"/>
              </w:rPr>
              <w:t>0</w:t>
            </w:r>
          </w:p>
        </w:tc>
      </w:tr>
    </w:tbl>
    <w:p>
      <w:pPr>
        <w:pStyle w:val="TextBody"/>
        <w:spacing w:before="0" w:after="210"/>
        <w:jc w:val="both"/>
        <w:rPr/>
      </w:pPr>
      <w:r>
        <w:rPr/>
        <w:t> </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*This includes requests that were denied because we were unable to verify the identity of the requestor.</w:t>
      </w:r>
    </w:p>
    <w:p>
      <w:pPr>
        <w:pStyle w:val="TextBody"/>
        <w:spacing w:before="0" w:after="210"/>
        <w:jc w:val="both"/>
        <w:rPr>
          <w:rFonts w:ascii="Times New Roman;serif" w:hAnsi="Times New Roman;serif"/>
          <w:b w:val="false"/>
          <w:sz w:val="22"/>
        </w:rPr>
      </w:pPr>
      <w:r>
        <w:rPr>
          <w:rFonts w:ascii="Times New Roman;serif" w:hAnsi="Times New Roman;serif"/>
          <w:b w:val="false"/>
          <w:sz w:val="22"/>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 through email. We followed up with the requestors for more information, but the requestor never clarified to which WTW group or information their request applied to.</w:t>
      </w:r>
    </w:p>
    <w:p>
      <w:pPr>
        <w:pStyle w:val="TextBody"/>
        <w:spacing w:before="0" w:after="0"/>
        <w:jc w:val="both"/>
        <w:rPr>
          <w:rFonts w:ascii="Times New Roman;serif" w:hAnsi="Times New Roman;serif"/>
          <w:b/>
          <w:sz w:val="22"/>
        </w:rPr>
      </w:pPr>
      <w:r>
        <w:rPr>
          <w:rFonts w:ascii="Times New Roman;serif" w:hAnsi="Times New Roman;serif"/>
          <w:b/>
          <w:sz w:val="22"/>
        </w:rPr>
        <w:t>Opt-Out Preference Signals and “Do-Not-Track” Signals</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pStyle w:val="TextBody"/>
        <w:spacing w:before="0" w:after="210"/>
        <w:jc w:val="both"/>
        <w:rPr/>
      </w:pPr>
      <w:r>
        <w:rPr/>
        <w:t> </w:t>
      </w:r>
    </w:p>
    <w:p>
      <w:pPr>
        <w:pStyle w:val="TextBody"/>
        <w:spacing w:before="0" w:after="0"/>
        <w:jc w:val="center"/>
        <w:rPr>
          <w:rFonts w:ascii="Times New Roman;serif" w:hAnsi="Times New Roman;serif"/>
          <w:b w:val="false"/>
          <w:sz w:val="22"/>
        </w:rPr>
      </w:pPr>
      <w:r>
        <w:rPr>
          <w:rFonts w:ascii="Times New Roman;serif" w:hAnsi="Times New Roman;serif"/>
          <w:b w:val="false"/>
          <w:sz w:val="22"/>
        </w:rPr>
        <w:t>9</w:t>
      </w:r>
    </w:p>
    <w:p>
      <w:pPr>
        <w:pStyle w:val="TextBody"/>
        <w:spacing w:before="0" w:after="0"/>
        <w:jc w:val="left"/>
        <w:rPr/>
      </w:pPr>
      <w:r>
        <w:rPr/>
        <w:t> </w:t>
      </w:r>
    </w:p>
    <w:p>
      <w:pPr>
        <w:pStyle w:val="HorizontalLine"/>
        <w:rPr/>
      </w:pPr>
      <w:r>
        <w:rPr/>
      </w:r>
      <w:r>
        <w:br w:type="page"/>
      </w:r>
    </w:p>
    <w:p>
      <w:pPr>
        <w:pStyle w:val="TextBody"/>
        <w:spacing w:before="0" w:after="160"/>
        <w:jc w:val="right"/>
        <w:rPr>
          <w:rFonts w:ascii="Times New Roman;serif" w:hAnsi="Times New Roman;serif"/>
          <w:b/>
          <w:sz w:val="20"/>
        </w:rPr>
      </w:pPr>
      <w:bookmarkStart w:id="61" w:name="wtw-ex22_1.htm"/>
      <w:bookmarkStart w:id="62" w:name="kswtwex22_1"/>
      <w:bookmarkEnd w:id="61"/>
      <w:bookmarkEnd w:id="62"/>
      <w:r>
        <w:rPr>
          <w:rFonts w:ascii="Times New Roman;serif" w:hAnsi="Times New Roman;serif"/>
          <w:b/>
          <w:sz w:val="20"/>
        </w:rPr>
        <w:t>Exhibit 22.1</w:t>
      </w:r>
    </w:p>
    <w:p>
      <w:pPr>
        <w:pStyle w:val="TextBody"/>
        <w:spacing w:before="0" w:after="160"/>
        <w:jc w:val="center"/>
        <w:rPr>
          <w:rFonts w:ascii="Times New Roman;serif" w:hAnsi="Times New Roman;serif"/>
          <w:b/>
          <w:sz w:val="20"/>
        </w:rPr>
      </w:pPr>
      <w:r>
        <w:rPr>
          <w:rFonts w:ascii="Times New Roman;serif" w:hAnsi="Times New Roman;serif"/>
          <w:b/>
          <w:sz w:val="20"/>
        </w:rPr>
        <w:t>List of Issuers and Guarantor Subsidiaries</w:t>
      </w:r>
    </w:p>
    <w:p>
      <w:pPr>
        <w:pStyle w:val="TextBody"/>
        <w:spacing w:before="0" w:after="160"/>
        <w:jc w:val="left"/>
        <w:rPr/>
      </w:pPr>
      <w:r>
        <w:rPr/>
        <w:t> </w:t>
      </w:r>
    </w:p>
    <w:p>
      <w:pPr>
        <w:pStyle w:val="TextBody"/>
        <w:spacing w:before="0" w:after="160"/>
        <w:jc w:val="left"/>
        <w:rPr>
          <w:rFonts w:ascii="Times New Roman" w:hAnsi="Times New Roman"/>
          <w:sz w:val="20"/>
        </w:rPr>
      </w:pPr>
      <w:r>
        <w:rPr>
          <w:rFonts w:ascii="Times New Roman;serif" w:hAnsi="Times New Roman;serif"/>
          <w:b w:val="false"/>
          <w:sz w:val="20"/>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401"/>
        <w:gridCol w:w="2896"/>
        <w:gridCol w:w="1938"/>
        <w:gridCol w:w="1970"/>
      </w:tblGrid>
      <w:tr>
        <w:trPr/>
        <w:tc>
          <w:tcPr>
            <w:tcW w:w="3401"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340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left"/>
              <w:rPr/>
            </w:pPr>
            <w:r>
              <w:rPr/>
              <w:t> </w:t>
            </w:r>
          </w:p>
        </w:tc>
        <w:tc>
          <w:tcPr>
            <w:tcW w:w="289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pPr>
            <w:r>
              <w:rPr/>
              <w:t> </w:t>
            </w:r>
          </w:p>
        </w:tc>
        <w:tc>
          <w:tcPr>
            <w:tcW w:w="1938"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 w:hAnsi="Times New Roman"/>
                <w:sz w:val="15"/>
              </w:rPr>
            </w:pPr>
            <w:r>
              <w:rPr>
                <w:rFonts w:ascii="Times New Roman;serif" w:hAnsi="Times New Roman;serif"/>
                <w:b/>
                <w:sz w:val="15"/>
              </w:rPr>
              <w:t>Trinity Acquisition plc</w:t>
            </w:r>
            <w:r>
              <w:rPr>
                <w:rFonts w:ascii="Times New Roman" w:hAnsi="Times New Roman"/>
                <w:sz w:val="15"/>
              </w:rPr>
              <w:t xml:space="preserve"> </w:t>
            </w:r>
          </w:p>
        </w:tc>
        <w:tc>
          <w:tcPr>
            <w:tcW w:w="1970"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 w:hAnsi="Times New Roman"/>
                <w:sz w:val="15"/>
              </w:rPr>
            </w:pPr>
            <w:r>
              <w:rPr>
                <w:rFonts w:ascii="Times New Roman;serif" w:hAnsi="Times New Roman;serif"/>
                <w:b/>
                <w:sz w:val="15"/>
              </w:rPr>
              <w:t>Willis North America Inc.</w:t>
            </w:r>
            <w:r>
              <w:rPr>
                <w:rFonts w:ascii="Times New Roman" w:hAnsi="Times New Roman"/>
                <w:sz w:val="15"/>
              </w:rPr>
              <w:t xml:space="preserve"> </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Entity</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Jurisdiction of Incorporation or Organization</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4.625% senior notes due 2023</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4.400% senior notes due 2026</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6.125% senior notes due 2043</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3.600% senior notes due 2024</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4.650% senior notes due 2027</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4.500% senior notes due 2028</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2.950% senior notes due 2029</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5.050% senior notes due 2048</w:t>
            </w:r>
          </w:p>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3.875% senior notes due 2049</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Towers Watson Public Limited Company</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Ireland</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Trinity Acquisition plc</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United Kingdom</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Issuer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North America Inc.</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Delaware</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Issuer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Netherlands Holdings B.V.</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Netherlands</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Investment UK Holdings Limited</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United Kingdom</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TA I Limited</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United Kingdom</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Group Limited</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United Kingdom</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Towers Watson Sub Holdings Unlimited Company</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Ireland</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r>
        <w:trPr/>
        <w:tc>
          <w:tcPr>
            <w:tcW w:w="34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Willis Towers Watson UK Holdings Limited</w:t>
            </w:r>
          </w:p>
        </w:tc>
        <w:tc>
          <w:tcPr>
            <w:tcW w:w="289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United Kingdom</w:t>
            </w:r>
          </w:p>
        </w:tc>
        <w:tc>
          <w:tcPr>
            <w:tcW w:w="1938"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c>
          <w:tcPr>
            <w:tcW w:w="197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5"/>
              </w:rPr>
            </w:pPr>
            <w:r>
              <w:rPr>
                <w:rFonts w:ascii="Times New Roman;serif" w:hAnsi="Times New Roman;serif"/>
                <w:b w:val="false"/>
                <w:sz w:val="15"/>
              </w:rPr>
              <w:t>Guarantor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63" w:name="wtw-ex31_1.htm"/>
      <w:bookmarkStart w:id="64" w:name="kswtwex31_1"/>
      <w:bookmarkEnd w:id="63"/>
      <w:bookmarkEnd w:id="64"/>
      <w:r>
        <w:rPr/>
        <w:t> </w:t>
      </w:r>
    </w:p>
    <w:p>
      <w:pPr>
        <w:pStyle w:val="TextBody"/>
        <w:spacing w:before="0" w:after="0"/>
        <w:jc w:val="right"/>
        <w:rPr>
          <w:rFonts w:ascii="Times New Roman;serif" w:hAnsi="Times New Roman;serif"/>
          <w:b/>
          <w:sz w:val="20"/>
        </w:rPr>
      </w:pPr>
      <w:bookmarkStart w:id="65" w:name="fis_certification"/>
      <w:bookmarkEnd w:id="65"/>
      <w:r>
        <w:rPr>
          <w:rFonts w:ascii="Times New Roman;serif" w:hAnsi="Times New Roman;serif"/>
          <w:b/>
          <w:sz w:val="20"/>
        </w:rPr>
        <w:t>Exhibit 31.1</w:t>
      </w:r>
    </w:p>
    <w:p>
      <w:pPr>
        <w:pStyle w:val="TextBody"/>
        <w:spacing w:before="0" w:after="0"/>
        <w:jc w:val="center"/>
        <w:rPr>
          <w:rFonts w:ascii="Times New Roman;serif" w:hAnsi="Times New Roman;serif"/>
          <w:b/>
          <w:sz w:val="20"/>
        </w:rPr>
      </w:pPr>
      <w:r>
        <w:rPr>
          <w:rFonts w:ascii="Times New Roman;serif" w:hAnsi="Times New Roman;serif"/>
          <w:b/>
          <w:sz w:val="20"/>
        </w:rPr>
        <w:t>CERTIFICATION OF THE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SECURITIES 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center"/>
        <w:rPr/>
      </w:pPr>
      <w:r>
        <w:rPr/>
        <w:t> </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 Carl A. Hess,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Willis Towers Watson Public Limited Company;</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2292" w:type="dxa"/>
        <w:jc w:val="left"/>
        <w:tblInd w:w="0" w:type="dxa"/>
        <w:tblCellMar>
          <w:top w:w="28" w:type="dxa"/>
          <w:left w:w="28" w:type="dxa"/>
          <w:bottom w:w="28" w:type="dxa"/>
          <w:right w:w="28" w:type="dxa"/>
        </w:tblCellMar>
      </w:tblPr>
      <w:tblGrid>
        <w:gridCol w:w="2071"/>
        <w:gridCol w:w="221"/>
      </w:tblGrid>
      <w:tr>
        <w:trPr/>
        <w:tc>
          <w:tcPr>
            <w:tcW w:w="207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firstLine="30"/>
              <w:jc w:val="left"/>
              <w:rPr/>
            </w:pPr>
            <w:r>
              <w:rPr/>
              <w:t> </w:t>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 April 27, 2023</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283"/>
              <w:ind w:left="0" w:right="0" w:firstLine="30"/>
              <w:rPr>
                <w:sz w:val="4"/>
                <w:szCs w:val="4"/>
              </w:rPr>
            </w:pPr>
            <w:r>
              <w:rPr>
                <w:sz w:val="4"/>
                <w:szCs w:val="4"/>
              </w:rPr>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Carl A. Hess</w:t>
            </w:r>
          </w:p>
        </w:tc>
        <w:tc>
          <w:tcPr>
            <w:tcW w:w="221"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Carl A. Hess</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Executive Officer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bl>
    <w:p>
      <w:pPr>
        <w:pStyle w:val="TextBody"/>
        <w:spacing w:before="0" w:after="0"/>
        <w:jc w:val="left"/>
        <w:rPr/>
      </w:pPr>
      <w:r>
        <w:rPr/>
        <w:t> </w:t>
      </w:r>
    </w:p>
    <w:p>
      <w:pPr>
        <w:pStyle w:val="HorizontalLine"/>
        <w:rPr/>
      </w:pPr>
      <w:r>
        <w:rPr/>
      </w:r>
      <w:r>
        <w:br w:type="page"/>
      </w:r>
    </w:p>
    <w:p>
      <w:pPr>
        <w:pStyle w:val="TextBody"/>
        <w:spacing w:before="0" w:after="240"/>
        <w:jc w:val="right"/>
        <w:rPr>
          <w:rFonts w:ascii="Times New Roman;serif" w:hAnsi="Times New Roman;serif"/>
          <w:b/>
          <w:sz w:val="20"/>
        </w:rPr>
      </w:pPr>
      <w:bookmarkStart w:id="66" w:name="fis_certification_2"/>
      <w:bookmarkStart w:id="67" w:name="wtw-ex31_2.htm"/>
      <w:bookmarkStart w:id="68" w:name="kswtwex31_2"/>
      <w:bookmarkEnd w:id="66"/>
      <w:bookmarkEnd w:id="67"/>
      <w:bookmarkEnd w:id="68"/>
      <w:r>
        <w:rPr>
          <w:rFonts w:ascii="Times New Roman;serif" w:hAnsi="Times New Roman;serif"/>
          <w:b/>
          <w:sz w:val="20"/>
        </w:rPr>
        <w:t>Exhibit 31.2</w:t>
      </w:r>
    </w:p>
    <w:p>
      <w:pPr>
        <w:pStyle w:val="TextBody"/>
        <w:spacing w:before="0" w:after="0"/>
        <w:jc w:val="center"/>
        <w:rPr>
          <w:rFonts w:ascii="Times New Roman;serif" w:hAnsi="Times New Roman;serif"/>
          <w:b/>
          <w:sz w:val="20"/>
        </w:rPr>
      </w:pPr>
      <w:r>
        <w:rPr>
          <w:rFonts w:ascii="Times New Roman;serif" w:hAnsi="Times New Roman;serif"/>
          <w:b/>
          <w:sz w:val="20"/>
        </w:rPr>
        <w:t>CERTIFICATION OF THE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SECURITIES 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0" w:after="0"/>
        <w:jc w:val="center"/>
        <w:rPr/>
      </w:pPr>
      <w:r>
        <w:rPr/>
        <w:t> </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I, Andrew J. Krasner,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Willis Towers Watson Public Limited Company;</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2232" w:type="dxa"/>
        <w:jc w:val="left"/>
        <w:tblInd w:w="0" w:type="dxa"/>
        <w:tblCellMar>
          <w:top w:w="28" w:type="dxa"/>
          <w:left w:w="28" w:type="dxa"/>
          <w:bottom w:w="28" w:type="dxa"/>
          <w:right w:w="28" w:type="dxa"/>
        </w:tblCellMar>
      </w:tblPr>
      <w:tblGrid>
        <w:gridCol w:w="2011"/>
        <w:gridCol w:w="221"/>
      </w:tblGrid>
      <w:tr>
        <w:trPr/>
        <w:tc>
          <w:tcPr>
            <w:tcW w:w="201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firstLine="30"/>
              <w:jc w:val="left"/>
              <w:rPr/>
            </w:pPr>
            <w:r>
              <w:rPr/>
              <w:t> </w:t>
            </w:r>
          </w:p>
        </w:tc>
      </w:tr>
      <w:tr>
        <w:trPr/>
        <w:tc>
          <w:tcPr>
            <w:tcW w:w="201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 April 27, 2023</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1" w:type="dxa"/>
            <w:tcBorders/>
            <w:shd w:fill="auto" w:val="clear"/>
            <w:vAlign w:val="center"/>
          </w:tcPr>
          <w:p>
            <w:pPr>
              <w:pStyle w:val="TableContents"/>
              <w:spacing w:before="0" w:after="283"/>
              <w:ind w:left="0" w:right="0" w:firstLine="30"/>
              <w:rPr>
                <w:sz w:val="4"/>
                <w:szCs w:val="4"/>
              </w:rPr>
            </w:pPr>
            <w:r>
              <w:rPr>
                <w:sz w:val="4"/>
                <w:szCs w:val="4"/>
              </w:rPr>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Andrew J. Krasner</w:t>
            </w:r>
          </w:p>
        </w:tc>
        <w:tc>
          <w:tcPr>
            <w:tcW w:w="221"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r>
      <w:tr>
        <w:trPr/>
        <w:tc>
          <w:tcPr>
            <w:tcW w:w="201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Andrew J. Krasner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Financial Officer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bl>
    <w:p>
      <w:pPr>
        <w:pStyle w:val="TextBody"/>
        <w:spacing w:before="0" w:after="0"/>
        <w:jc w:val="left"/>
        <w:rPr/>
      </w:pPr>
      <w:bookmarkStart w:id="69" w:name="eolpage119"/>
      <w:bookmarkStart w:id="70" w:name="wltw_ex321_20180630_htm"/>
      <w:bookmarkStart w:id="71" w:name="fis_exhibit_32"/>
      <w:bookmarkStart w:id="72" w:name="wltw_ex321_20180630_htm_s1d93424774644ed"/>
      <w:bookmarkEnd w:id="69"/>
      <w:bookmarkEnd w:id="70"/>
      <w:bookmarkEnd w:id="71"/>
      <w:bookmarkEnd w:id="72"/>
      <w:r>
        <w:rPr/>
        <w:t> </w:t>
      </w:r>
    </w:p>
    <w:p>
      <w:pPr>
        <w:pStyle w:val="HorizontalLine"/>
        <w:rPr/>
      </w:pPr>
      <w:r>
        <w:rPr/>
      </w:r>
      <w:r>
        <w:br w:type="page"/>
      </w:r>
    </w:p>
    <w:p>
      <w:pPr>
        <w:pStyle w:val="TextBody"/>
        <w:spacing w:before="0" w:after="0"/>
        <w:jc w:val="left"/>
        <w:rPr/>
      </w:pPr>
      <w:bookmarkStart w:id="73" w:name="wtw-ex32_1.htm"/>
      <w:bookmarkStart w:id="74" w:name="kswtwex32_1"/>
      <w:bookmarkEnd w:id="73"/>
      <w:bookmarkEnd w:id="74"/>
      <w:r>
        <w:rPr/>
        <w:t> </w:t>
      </w:r>
    </w:p>
    <w:p>
      <w:pPr>
        <w:pStyle w:val="TextBody"/>
        <w:spacing w:before="0" w:after="0"/>
        <w:jc w:val="left"/>
        <w:rPr/>
      </w:pPr>
      <w:r>
        <w:rPr/>
        <w:t> </w:t>
      </w:r>
    </w:p>
    <w:p>
      <w:pPr>
        <w:pStyle w:val="TextBody"/>
        <w:spacing w:before="0" w:after="0"/>
        <w:jc w:val="right"/>
        <w:rPr>
          <w:rFonts w:ascii="Times New Roman;serif" w:hAnsi="Times New Roman;serif"/>
          <w:b/>
          <w:sz w:val="20"/>
        </w:rPr>
      </w:pPr>
      <w:bookmarkStart w:id="75" w:name="fis_certification_3"/>
      <w:bookmarkEnd w:id="75"/>
      <w:r>
        <w:rPr>
          <w:rFonts w:ascii="Times New Roman;serif" w:hAnsi="Times New Roman;serif"/>
          <w:b/>
          <w:sz w:val="20"/>
        </w:rPr>
        <w:t>Exhibit 32.1</w:t>
      </w:r>
    </w:p>
    <w:p>
      <w:pPr>
        <w:pStyle w:val="TextBody"/>
        <w:spacing w:before="0" w:after="0"/>
        <w:jc w:val="center"/>
        <w:rPr>
          <w:rFonts w:ascii="Times New Roman;serif" w:hAnsi="Times New Roman;serif"/>
          <w:b/>
          <w:sz w:val="20"/>
        </w:rPr>
      </w:pPr>
      <w:r>
        <w:rPr>
          <w:rFonts w:ascii="Times New Roman;serif" w:hAnsi="Times New Roman;serif"/>
          <w:b/>
          <w:sz w:val="20"/>
        </w:rPr>
        <w:t>CERTIFICATION OF THE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AND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906</w:t>
      </w:r>
    </w:p>
    <w:p>
      <w:pPr>
        <w:pStyle w:val="TextBody"/>
        <w:spacing w:before="0" w:after="0"/>
        <w:jc w:val="center"/>
        <w:rPr>
          <w:rFonts w:ascii="Times New Roman;serif" w:hAnsi="Times New Roman;serif"/>
          <w:b/>
          <w:sz w:val="20"/>
        </w:rPr>
      </w:pPr>
      <w:r>
        <w:rPr>
          <w:rFonts w:ascii="Times New Roman;serif" w:hAnsi="Times New Roman;serif"/>
          <w:b/>
          <w:sz w:val="20"/>
        </w:rPr>
        <w:t>OF THE SARBANES-OXLEY ACT OF 2002</w:t>
      </w:r>
    </w:p>
    <w:p>
      <w:pPr>
        <w:pStyle w:val="TextBody"/>
        <w:spacing w:before="240" w:after="120"/>
        <w:jc w:val="left"/>
        <w:rPr>
          <w:rFonts w:ascii="Times New Roman" w:hAnsi="Times New Roman"/>
          <w:sz w:val="20"/>
        </w:rPr>
      </w:pPr>
      <w:r>
        <w:rPr>
          <w:rFonts w:ascii="Times New Roman;serif" w:hAnsi="Times New Roman;serif"/>
          <w:b w:val="false"/>
          <w:sz w:val="20"/>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The Quarterly Report of the Company on Form 10-Q for the period ended March 31, 2023 (the ‘Report’) fully complies with the requirements of Section 13(a) or Section 15(d), as applicable, of the Exchange Act; and</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2292" w:type="dxa"/>
        <w:jc w:val="left"/>
        <w:tblInd w:w="0" w:type="dxa"/>
        <w:tblCellMar>
          <w:top w:w="28" w:type="dxa"/>
          <w:left w:w="28" w:type="dxa"/>
          <w:bottom w:w="28" w:type="dxa"/>
          <w:right w:w="28" w:type="dxa"/>
        </w:tblCellMar>
      </w:tblPr>
      <w:tblGrid>
        <w:gridCol w:w="2071"/>
        <w:gridCol w:w="221"/>
      </w:tblGrid>
      <w:tr>
        <w:trPr/>
        <w:tc>
          <w:tcPr>
            <w:tcW w:w="207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firstLine="30"/>
              <w:jc w:val="left"/>
              <w:rPr/>
            </w:pPr>
            <w:r>
              <w:rPr/>
              <w:t> </w:t>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Date: April 27, 2023</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283"/>
              <w:ind w:left="0" w:right="0" w:firstLine="30"/>
              <w:rPr>
                <w:sz w:val="4"/>
                <w:szCs w:val="4"/>
              </w:rPr>
            </w:pPr>
            <w:r>
              <w:rPr>
                <w:sz w:val="4"/>
                <w:szCs w:val="4"/>
              </w:rPr>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Carl A. Hess</w:t>
            </w:r>
          </w:p>
        </w:tc>
        <w:tc>
          <w:tcPr>
            <w:tcW w:w="221"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Carl A. Hess</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Executive Officer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283"/>
              <w:ind w:left="0" w:right="0" w:firstLine="30"/>
              <w:rPr>
                <w:sz w:val="4"/>
                <w:szCs w:val="4"/>
              </w:rPr>
            </w:pPr>
            <w:r>
              <w:rPr>
                <w:sz w:val="4"/>
                <w:szCs w:val="4"/>
              </w:rPr>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/s/ Andrew J. Krasner</w:t>
            </w:r>
          </w:p>
        </w:tc>
        <w:tc>
          <w:tcPr>
            <w:tcW w:w="221"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Andrew J. Krasner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71" w:type="dxa"/>
            <w:tcBorders/>
            <w:shd w:fill="auto" w:val="clear"/>
            <w:vAlign w:val="center"/>
          </w:tcPr>
          <w:p>
            <w:pPr>
              <w:pStyle w:val="TableContents"/>
              <w:spacing w:before="0" w:after="0"/>
              <w:ind w:left="0" w:right="0" w:firstLine="30"/>
              <w:jc w:val="left"/>
              <w:rPr>
                <w:rFonts w:ascii="Times New Roman;serif" w:hAnsi="Times New Roman;serif"/>
                <w:b w:val="false"/>
                <w:sz w:val="20"/>
              </w:rPr>
            </w:pPr>
            <w:r>
              <w:rPr>
                <w:rFonts w:ascii="Times New Roman;serif" w:hAnsi="Times New Roman;serif"/>
                <w:b w:val="false"/>
                <w:sz w:val="20"/>
              </w:rPr>
              <w:t>Chief Financial Officer</w:t>
            </w:r>
          </w:p>
        </w:tc>
        <w:tc>
          <w:tcPr>
            <w:tcW w:w="221" w:type="dxa"/>
            <w:tcBorders/>
            <w:shd w:fill="auto" w:val="clear"/>
            <w:vAlign w:val="center"/>
          </w:tcPr>
          <w:p>
            <w:pPr>
              <w:pStyle w:val="TableContents"/>
              <w:spacing w:before="0" w:after="283"/>
              <w:ind w:left="0" w:right="0" w:firstLine="30"/>
              <w:rPr>
                <w:sz w:val="4"/>
                <w:szCs w:val="4"/>
              </w:rPr>
            </w:pPr>
            <w:r>
              <w:rPr>
                <w:sz w:val="4"/>
                <w:szCs w:val="4"/>
              </w:rPr>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64204</Words>
  <CharactersWithSpaces>414449</CharactersWithSpaces>
  <Paragraphs>10824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