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5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-20320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259715</wp:posOffset>
            </wp:positionV>
            <wp:extent cx="12001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2"/>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90"/>
        </w:trPr>
        <w:tc>
          <w:tcPr>
            <w:tcW w:w="4400" w:type="dxa"/>
            <w:vAlign w:val="bottom"/>
            <w:gridSpan w:val="2"/>
          </w:tcPr>
          <w:p>
            <w:pPr>
              <w:jc w:val="center"/>
              <w:ind w:left="106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4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5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4"/>
                <w:szCs w:val="14"/>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4"/>
                <w:szCs w:val="14"/>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8">
            <w:col w:w="1640" w:space="720"/>
            <w:col w:w="200" w:space="720"/>
            <w:col w:w="960" w:space="460"/>
            <w:col w:w="280" w:space="680"/>
            <w:col w:w="1220" w:space="620"/>
            <w:col w:w="400" w:space="720"/>
            <w:col w:w="1640" w:space="720"/>
            <w:col w:w="260"/>
          </w:cols>
          <w:pgMar w:left="320" w:top="1245"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360"/>
        <w:spacing w:after="0" w:line="2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October 26, 2026, there were outstanding 92,216,232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For the Three and Nine Months Ended </w:t>
      </w:r>
      <w:r>
        <w:rPr>
          <w:rFonts w:ascii="Times New Roman" w:cs="Times New Roman" w:eastAsia="Times New Roman" w:hAnsi="Times New Roman"/>
          <w:sz w:val="21"/>
          <w:szCs w:val="21"/>
          <w:color w:val="auto"/>
        </w:rPr>
        <w:t>September</w:t>
      </w:r>
      <w:r>
        <w:rPr>
          <w:rFonts w:ascii="Times New Roman" w:cs="Times New Roman" w:eastAsia="Times New Roman" w:hAnsi="Times New Roman"/>
          <w:sz w:val="18"/>
          <w:szCs w:val="18"/>
          <w:color w:val="auto"/>
        </w:rPr>
        <w:t xml:space="preserve"> 30, 2026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0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40" w:type="dxa"/>
            <w:vAlign w:val="bottom"/>
            <w:gridSpan w:val="22"/>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 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 September 30, 2026 and December 31, 2025</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4"/>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Nine Months Ended September 30, 2026 and 2025</w:t>
            </w:r>
          </w:p>
        </w:tc>
        <w:tc>
          <w:tcPr>
            <w:tcW w:w="274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 Three and Nine Months Ended September 30, 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4480" w:type="dxa"/>
            <w:vAlign w:val="bottom"/>
            <w:tcBorders>
              <w:top w:val="single" w:sz="8" w:color="0000FF"/>
            </w:tcBorders>
            <w:gridSpan w:val="6"/>
          </w:tcPr>
          <w:p>
            <w:pPr>
              <w:spacing w:after="0"/>
              <w:rPr>
                <w:sz w:val="17"/>
                <w:szCs w:val="17"/>
                <w:color w:val="auto"/>
              </w:rPr>
            </w:pPr>
          </w:p>
        </w:tc>
        <w:tc>
          <w:tcPr>
            <w:tcW w:w="150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02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9880" w:type="dxa"/>
            <w:vAlign w:val="bottom"/>
            <w:gridSpan w:val="1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628"/>
        </w:trPr>
        <w:tc>
          <w:tcPr>
            <w:tcW w:w="6720" w:type="dxa"/>
            <w:vAlign w:val="bottom"/>
            <w:gridSpan w:val="17"/>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‘We’, ‘Us’, ‘Company’, ‘Willis Towers Watson’, ‘Our’, ‘Willis Towers Watson plc’ or ‘WTW’</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100" w:space="440"/>
            <w:col w:w="67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‘U.K.’</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46"/>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‘E.U.’</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020" w:type="dxa"/>
            <w:vAlign w:val="bottom"/>
          </w:tcPr>
          <w:p>
            <w:pPr>
              <w:spacing w:after="0"/>
              <w:rPr>
                <w:sz w:val="20"/>
                <w:szCs w:val="20"/>
                <w:color w:val="auto"/>
              </w:rPr>
            </w:pP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GAAP’</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‘ASC’</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65"/>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‘ASU’</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‘EBITDA’</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346"/>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‘Willis Re’</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The Company’s reinsurance joint venture with Bain Capital in which the Company has a</w:t>
            </w:r>
          </w:p>
        </w:tc>
      </w:tr>
      <w:tr>
        <w:trPr>
          <w:trHeight w:val="234"/>
        </w:trPr>
        <w:tc>
          <w:tcPr>
            <w:tcW w:w="3020" w:type="dxa"/>
            <w:vAlign w:val="bottom"/>
          </w:tcPr>
          <w:p>
            <w:pPr>
              <w:spacing w:after="0"/>
              <w:rPr>
                <w:sz w:val="20"/>
                <w:szCs w:val="20"/>
                <w:color w:val="auto"/>
              </w:rPr>
            </w:pP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minority interest.</w:t>
            </w:r>
          </w:p>
        </w:tc>
      </w:tr>
      <w:tr>
        <w:trPr>
          <w:trHeight w:val="770"/>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including with respect to our reinsurance joint-venture investment with Bain Capital;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acquisitions of Newfront Insurance Holdings, Inc. and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or investment initiatives including our newly launched artificial intelligence acceleration plan (the ‘Plan’); our cybersecurity and privacy processes; our application of artificial intelligence technologies throughout our business and our ability to compete with artificial intelligence technologies offered by new or existing competitors;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including with respect to our cash flow generation, the timing with respect to such achievement and how such achievement may be impacted by any of the risks or uncertainties set forth herein or elsewhere;</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changes in trade policies, increased tariffs and retaliatory actions;</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spacing w:after="0" w:line="5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380" w:right="6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3" w:lineRule="exact"/>
        <w:rPr>
          <w:rFonts w:ascii="Times New Roman" w:cs="Times New Roman" w:eastAsia="Times New Roman" w:hAnsi="Times New Roman"/>
          <w:sz w:val="18"/>
          <w:szCs w:val="18"/>
          <w:color w:val="auto"/>
        </w:rPr>
      </w:pPr>
    </w:p>
    <w:p>
      <w:pPr>
        <w:ind w:left="380" w:right="1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53" w:lineRule="exact"/>
        <w:rPr>
          <w:rFonts w:ascii="Times New Roman" w:cs="Times New Roman" w:eastAsia="Times New Roman" w:hAnsi="Times New Roman"/>
          <w:sz w:val="18"/>
          <w:szCs w:val="18"/>
          <w:color w:val="auto"/>
        </w:rPr>
      </w:pPr>
    </w:p>
    <w:p>
      <w:pPr>
        <w:ind w:left="380" w:right="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artificial intelligence and other technology, data and analytics solutions, including through the use of artificial intelligence, for internal operations, maintaining industry standards, meeting client preferences and gaining competitive advantage, among other things;</w:t>
      </w:r>
    </w:p>
    <w:p>
      <w:pPr>
        <w:spacing w:after="0" w:line="6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competitive products (including those incorporating artificial intelligence) and pricing, including the level of success of new product developments and related global expansion;</w:t>
      </w:r>
    </w:p>
    <w:p>
      <w:pPr>
        <w:spacing w:after="0" w:line="53" w:lineRule="exact"/>
        <w:rPr>
          <w:rFonts w:ascii="Times New Roman" w:cs="Times New Roman" w:eastAsia="Times New Roman" w:hAnsi="Times New Roman"/>
          <w:sz w:val="18"/>
          <w:szCs w:val="18"/>
          <w:color w:val="auto"/>
        </w:rPr>
      </w:pPr>
    </w:p>
    <w:p>
      <w:pPr>
        <w:ind w:left="380" w:right="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or relating to our operations, products and/or services, and expectations, intentions and outcomes relating to outstanding litigation;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or potential future litigation or investigation matters;</w:t>
      </w:r>
    </w:p>
    <w:p>
      <w:pPr>
        <w:spacing w:after="0" w:line="11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regulatory claims, government inquiries or investigations or the potential for regulatory action in various jurisdictions where we operate around the world;</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7" w:lineRule="exact"/>
        <w:rPr>
          <w:rFonts w:ascii="Times New Roman" w:cs="Times New Roman" w:eastAsia="Times New Roman" w:hAnsi="Times New Roman"/>
          <w:sz w:val="18"/>
          <w:szCs w:val="18"/>
          <w:color w:val="auto"/>
        </w:rPr>
      </w:pPr>
    </w:p>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organizational changes, including as a result of our investments in improving systems and processes or other initiatives, and in connection with our acquisition and divestiture activities;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implementation of the Plan;</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free cash flow through enhanced billing, collection and other working capital efforts;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key employees and maintain an appropriate number of employees;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7" w:lineRule="exact"/>
        <w:rPr>
          <w:rFonts w:ascii="Times New Roman" w:cs="Times New Roman" w:eastAsia="Times New Roman" w:hAnsi="Times New Roman"/>
          <w:sz w:val="18"/>
          <w:szCs w:val="18"/>
          <w:color w:val="auto"/>
        </w:rPr>
      </w:pPr>
    </w:p>
    <w:p>
      <w:pPr>
        <w:ind w:left="380" w:right="1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global trade policies and retaliatory considerations as well as foreign currency exchange rates;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and related counter-sanctions;</w:t>
      </w:r>
    </w:p>
    <w:p>
      <w:pPr>
        <w:spacing w:after="0" w:line="117"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other changes and developments in legal, regulatory, economic, business or operational conditions that could impact our businesses;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380" w:right="20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capital structure, including indebtedness amounts, the limitations imposed by the covenants in the documents governing such indebtedness and the maintenance of the financial and disclosure controls and procedures of each;</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7" w:lineRule="exact"/>
        <w:rPr>
          <w:rFonts w:ascii="Times New Roman" w:cs="Times New Roman" w:eastAsia="Times New Roman" w:hAnsi="Times New Roman"/>
          <w:sz w:val="18"/>
          <w:szCs w:val="18"/>
          <w:color w:val="auto"/>
        </w:rPr>
      </w:pPr>
    </w:p>
    <w:p>
      <w:pPr>
        <w:jc w:val="both"/>
        <w:ind w:left="760" w:right="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in state, federal, and/or foreign tax laws and regulations, including those that may impose additional excise taxes or impact our effective tax rate, including H.R. 1;</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market downturns can have a significant impact on investments made across our portfolios;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2,460</w:t>
            </w:r>
          </w:p>
        </w:tc>
        <w:tc>
          <w:tcPr>
            <w:tcW w:w="86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2,288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7,338</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6,772</w:t>
            </w:r>
          </w:p>
        </w:tc>
      </w:tr>
      <w:tr>
        <w:trPr>
          <w:trHeight w:val="210"/>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1,507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1,413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6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3"/>
              </w:rPr>
              <w:t>2,031</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1,870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6,097</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5,554</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1"/>
        </w:trPr>
        <w:tc>
          <w:tcPr>
            <w:tcW w:w="5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w:t>
            </w:r>
          </w:p>
        </w:tc>
        <w:tc>
          <w:tcPr>
            <w:tcW w:w="6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INTEREST IN EARNINGS OF ASSOCIATES</w:t>
            </w:r>
          </w:p>
        </w:tc>
        <w:tc>
          <w:tcPr>
            <w:tcW w:w="6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91"/>
        </w:trPr>
        <w:tc>
          <w:tcPr>
            <w:tcW w:w="5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INTEREST IN</w:t>
            </w:r>
          </w:p>
        </w:tc>
        <w:tc>
          <w:tcPr>
            <w:tcW w:w="6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 OF ASSOCIATES</w:t>
            </w:r>
          </w:p>
        </w:tc>
        <w:tc>
          <w:tcPr>
            <w:tcW w:w="6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Interests in earnings of associates, net of tax</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34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829</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870</w:t>
            </w:r>
          </w:p>
        </w:tc>
      </w:tr>
      <w:tr>
        <w:trPr>
          <w:trHeight w:val="196"/>
        </w:trPr>
        <w:tc>
          <w:tcPr>
            <w:tcW w:w="520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4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340" w:type="dxa"/>
            <w:vAlign w:val="bottom"/>
            <w:gridSpan w:val="2"/>
            <w:shd w:val="clear" w:color="auto" w:fill="CFF0FC"/>
          </w:tcPr>
          <w:p>
            <w:pPr>
              <w:jc w:val="right"/>
              <w:ind w:right="542"/>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860" w:type="dxa"/>
            <w:vAlign w:val="bottom"/>
            <w:gridSpan w:val="2"/>
            <w:shd w:val="clear" w:color="auto" w:fill="CFF0FC"/>
          </w:tcPr>
          <w:p>
            <w:pPr>
              <w:jc w:val="right"/>
              <w:ind w:right="5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8.76</w:t>
            </w:r>
          </w:p>
        </w:tc>
        <w:tc>
          <w:tcPr>
            <w:tcW w:w="50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8.74</w:t>
            </w:r>
          </w:p>
        </w:tc>
      </w:tr>
      <w:tr>
        <w:trPr>
          <w:trHeight w:val="196"/>
        </w:trPr>
        <w:tc>
          <w:tcPr>
            <w:tcW w:w="520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34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843</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6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1,319</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-4011295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-4011295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-4011295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-2896870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-2896870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-2896870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-1207770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-1190625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-1207770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-1190625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-1207770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-1190625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-607695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-591185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-607695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-591185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-607695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-591185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11,057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10,445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2,702</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595</w:t>
            </w: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16,874</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8,938</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benefits assets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13,862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12,656</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29,530</w:t>
            </w:r>
          </w:p>
        </w:tc>
      </w:tr>
      <w:tr>
        <w:trPr>
          <w:trHeight w:val="20"/>
        </w:trPr>
        <w:tc>
          <w:tcPr>
            <w:tcW w:w="5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11,057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10,445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w:t>
            </w:r>
          </w:p>
        </w:tc>
      </w:tr>
      <w:tr>
        <w:trPr>
          <w:trHeight w:val="21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14,004</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5,756</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7,538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21,478</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11,304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11,106</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7,976</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8,052</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29,996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29,530</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-4516755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-3402330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-1431290</wp:posOffset>
            </wp:positionV>
            <wp:extent cx="111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00" w:hanging="272"/>
        <w:spacing w:after="0" w:line="261"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92,337,120 (2026) and 95,079,835 (2025); Outstanding 92,337,120 (2026) and 95,079,835 (2025) and (b) Preference shares, $0.000115 nominal value; Authorized 1,000,000,000 and Issued none in 2026 and 2025.</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843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877</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total net cash from operating activities: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Amortization</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Non-cash restructuring costs</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Non-cash lease expense</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periodic cost of defined benefit pension plans</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Provision for doubtful receivables from clients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 from deferred income taxes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disposal of operations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Non-cash foreign exchange (gain)/loss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from purchase of subsidiaries: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Provisions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96"/>
        </w:trPr>
        <w:tc>
          <w:tcPr>
            <w:tcW w:w="8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1,213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196"/>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(USED IN)/FROM INVESTING ACTIVITIES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Additions to fixed assets and software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Sale of fixed assets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Acquisitions of operations, net of cash acquired</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Contributions to investments in associates, net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sale of operations</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870</w:t>
            </w:r>
          </w:p>
        </w:tc>
        <w:tc>
          <w:tcPr>
            <w:tcW w:w="0" w:type="dxa"/>
            <w:vAlign w:val="bottom"/>
          </w:tcPr>
          <w:p>
            <w:pPr>
              <w:spacing w:after="0"/>
              <w:rPr>
                <w:sz w:val="1"/>
                <w:szCs w:val="1"/>
                <w:color w:val="auto"/>
              </w:rPr>
            </w:pPr>
          </w:p>
        </w:tc>
      </w:tr>
      <w:tr>
        <w:trPr>
          <w:trHeight w:val="202"/>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Cash and fiduciary funds transferred in sale of operations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purchases of held-to-maturity securities</w:t>
            </w:r>
          </w:p>
        </w:tc>
        <w:tc>
          <w:tcPr>
            <w:tcW w:w="14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purchases of available-for-sale securities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Net cash (used in)/from investing activities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Borrowing of other debt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775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issuance costs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Repayments of debt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Repurchase of shares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Net proceeds from fiduciary funds held for clients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of deferred and contingent consideration related to acquisitions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Cash paid for employee taxes on withholding shares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Dividends paid</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Acquisitions of and dividends paid to non-controlling interests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63"/>
        </w:trPr>
        <w:tc>
          <w:tcPr>
            <w:tcW w:w="8560" w:type="dxa"/>
            <w:vAlign w:val="bottom"/>
          </w:tcPr>
          <w:p>
            <w:pPr>
              <w:ind w:left="480"/>
              <w:spacing w:after="0" w:line="163" w:lineRule="exact"/>
              <w:rPr>
                <w:sz w:val="20"/>
                <w:szCs w:val="20"/>
                <w:color w:val="auto"/>
              </w:rPr>
            </w:pPr>
            <w:r>
              <w:rPr>
                <w:rFonts w:ascii="Times New Roman" w:cs="Times New Roman" w:eastAsia="Times New Roman" w:hAnsi="Times New Roman"/>
                <w:sz w:val="17"/>
                <w:szCs w:val="17"/>
                <w:color w:val="auto"/>
              </w:rPr>
              <w:t>Net cash used in financing activities</w:t>
            </w:r>
          </w:p>
        </w:tc>
        <w:tc>
          <w:tcPr>
            <w:tcW w:w="140" w:type="dxa"/>
            <w:vAlign w:val="bottom"/>
          </w:tcPr>
          <w:p>
            <w:pPr>
              <w:spacing w:after="0"/>
              <w:rPr>
                <w:sz w:val="14"/>
                <w:szCs w:val="14"/>
                <w:color w:val="auto"/>
              </w:rPr>
            </w:pPr>
          </w:p>
        </w:tc>
        <w:tc>
          <w:tcPr>
            <w:tcW w:w="110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(1,041)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(1,311)</w:t>
            </w:r>
          </w:p>
        </w:tc>
        <w:tc>
          <w:tcPr>
            <w:tcW w:w="0" w:type="dxa"/>
            <w:vAlign w:val="bottom"/>
          </w:tcPr>
          <w:p>
            <w:pPr>
              <w:spacing w:after="0"/>
              <w:rPr>
                <w:sz w:val="1"/>
                <w:szCs w:val="1"/>
                <w:color w:val="auto"/>
              </w:rPr>
            </w:pPr>
          </w:p>
        </w:tc>
      </w:tr>
      <w:tr>
        <w:trPr>
          <w:trHeight w:val="33"/>
        </w:trPr>
        <w:tc>
          <w:tcPr>
            <w:tcW w:w="8560" w:type="dxa"/>
            <w:vAlign w:val="bottom"/>
            <w:vMerge w:val="restart"/>
          </w:tcPr>
          <w:p>
            <w:pPr>
              <w:spacing w:after="0" w:line="227" w:lineRule="exact"/>
              <w:rPr>
                <w:sz w:val="20"/>
                <w:szCs w:val="20"/>
                <w:color w:val="auto"/>
              </w:rPr>
            </w:pPr>
            <w:r>
              <w:rPr>
                <w:rFonts w:ascii="Times New Roman" w:cs="Times New Roman" w:eastAsia="Times New Roman" w:hAnsi="Times New Roman"/>
                <w:sz w:val="17"/>
                <w:szCs w:val="17"/>
                <w:color w:val="auto"/>
              </w:rPr>
              <w:t xml:space="preserve">(DECREASE)/INCREASE IN CASH, CASH EQUIVALENTS AND RESTRICTED CASH </w:t>
            </w:r>
            <w:r>
              <w:rPr>
                <w:rFonts w:ascii="Times New Roman" w:cs="Times New Roman" w:eastAsia="Times New Roman" w:hAnsi="Times New Roman"/>
                <w:sz w:val="22"/>
                <w:szCs w:val="22"/>
                <w:color w:val="auto"/>
                <w:vertAlign w:val="superscript"/>
              </w:rPr>
              <w:t>(i)</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(1,093)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5"/>
              <w:spacing w:after="0" w:line="174" w:lineRule="exact"/>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FF0FC"/>
            </w:tcBorders>
            <w:shd w:val="clear" w:color="auto" w:fill="CFF0FC"/>
          </w:tcPr>
          <w:p>
            <w:pPr>
              <w:spacing w:after="0" w:line="204"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BEGINNING OF PERIOD </w:t>
            </w:r>
            <w:r>
              <w:rPr>
                <w:rFonts w:ascii="Times New Roman" w:cs="Times New Roman" w:eastAsia="Times New Roman" w:hAnsi="Times New Roman"/>
                <w:sz w:val="22"/>
                <w:szCs w:val="22"/>
                <w:color w:val="auto"/>
                <w:vertAlign w:val="superscript"/>
              </w:rPr>
              <w:t>(i)</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6,487</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4,998</w:t>
            </w:r>
          </w:p>
        </w:tc>
        <w:tc>
          <w:tcPr>
            <w:tcW w:w="0" w:type="dxa"/>
            <w:vAlign w:val="bottom"/>
          </w:tcPr>
          <w:p>
            <w:pPr>
              <w:spacing w:after="0"/>
              <w:rPr>
                <w:sz w:val="1"/>
                <w:szCs w:val="1"/>
                <w:color w:val="auto"/>
              </w:rPr>
            </w:pPr>
          </w:p>
        </w:tc>
      </w:tr>
      <w:tr>
        <w:trPr>
          <w:trHeight w:val="196"/>
        </w:trPr>
        <w:tc>
          <w:tcPr>
            <w:tcW w:w="85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xml:space="preserve">CASH, CASH EQUIVALENTS AND RESTRICTED CASH, END OF PERIOD </w:t>
            </w:r>
            <w:r>
              <w:rPr>
                <w:rFonts w:ascii="Times New Roman" w:cs="Times New Roman" w:eastAsia="Times New Roman" w:hAnsi="Times New Roman"/>
                <w:sz w:val="22"/>
                <w:szCs w:val="22"/>
                <w:color w:val="auto"/>
                <w:vertAlign w:val="superscript"/>
              </w:rPr>
              <w:t>(i)</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5,356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5,423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-3556635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-1988185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-693420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11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180" w:hanging="272"/>
        <w:spacing w:after="0" w:line="249"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20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6"/>
          </w:tcPr>
          <w:p>
            <w:pPr>
              <w:jc w:val="right"/>
              <w:ind w:right="697"/>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80" w:type="dxa"/>
            <w:vAlign w:val="bottom"/>
          </w:tcPr>
          <w:p>
            <w:pPr>
              <w:spacing w:after="0"/>
              <w:rPr>
                <w:sz w:val="11"/>
                <w:szCs w:val="11"/>
                <w:color w:val="auto"/>
              </w:rPr>
            </w:pPr>
          </w:p>
        </w:tc>
        <w:tc>
          <w:tcPr>
            <w:tcW w:w="9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9"/>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95,080</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11,106</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(2,834)</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7,976</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8,052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($0.96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Acquisition of Newfront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9"/>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94,278</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11,239</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(392)</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(2,870)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7,977</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8,059</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(1,734)</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($0.96 per share)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Acquisition of Newfront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9"/>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93,004</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11,236</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(699)</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(2,849)</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7,688</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7,770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(687)</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($0.96 per share)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income/(loss)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Acquisition of Newfront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Reduction of non-controlling interests </w:t>
            </w:r>
            <w:r>
              <w:rPr>
                <w:rFonts w:ascii="Times New Roman" w:cs="Times New Roman" w:eastAsia="Times New Roman" w:hAnsi="Times New Roman"/>
                <w:sz w:val="15"/>
                <w:szCs w:val="15"/>
                <w:color w:val="auto"/>
                <w:vertAlign w:val="superscript"/>
              </w:rPr>
              <w:t>(iii)</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2026</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92,337</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11,304</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(707)</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(2,833)</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7,764</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7,840</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-2108200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-2108200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-2108200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-2108200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-2108200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-2108200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-1156970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-1156970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-1156970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-1156970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-1156970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-1156970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100" w:hanging="272"/>
        <w:spacing w:after="0" w:line="247"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part of the acquisition of Newfront, in the first quarter, 199,028 ordinary shares were issued to certain award holders. Additionally, $93 million was allocated to pre-combination service for all replaced share-based compensation awards. In the second quarter, 26,353 ordinary shares were issued and the estimate of pre-combination service for all replaced share-based compensation awards was revised downwards. In the third quarter, the estimate of pre-combination expense was further adjusted. See </w:t>
      </w:r>
      <w:r>
        <w:rPr>
          <w:rFonts w:ascii="Times New Roman" w:cs="Times New Roman" w:eastAsia="Times New Roman" w:hAnsi="Times New Roman"/>
          <w:sz w:val="14"/>
          <w:szCs w:val="14"/>
          <w:color w:val="auto"/>
        </w:rPr>
        <w:t>Note 3 — Acquisitions and Divestitures.</w:t>
      </w:r>
    </w:p>
    <w:p>
      <w:pPr>
        <w:spacing w:after="0" w:line="1"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7"/>
          </w:tcPr>
          <w:p>
            <w:pPr>
              <w:jc w:val="right"/>
              <w:ind w:right="697"/>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32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99,806</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10,989</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7,940</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99,211</w:t>
            </w:r>
          </w:p>
        </w:tc>
        <w:tc>
          <w:tcPr>
            <w:tcW w:w="30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(2,935)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8,133</w:t>
            </w:r>
          </w:p>
        </w:tc>
        <w:tc>
          <w:tcPr>
            <w:tcW w:w="260" w:type="dxa"/>
            <w:vAlign w:val="bottom"/>
            <w:gridSpan w:val="2"/>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8,214</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97,853</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11,012</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(2,706)</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8,100</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8,180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(1,848)</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Reduction of non-controlling interests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10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96,047</w:t>
            </w:r>
          </w:p>
        </w:tc>
        <w:tc>
          <w:tcPr>
            <w:tcW w:w="3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11,037</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(593)</w:t>
            </w:r>
          </w:p>
        </w:tc>
        <w:tc>
          <w:tcPr>
            <w:tcW w:w="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(2,709)</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7,735</w:t>
            </w:r>
          </w:p>
        </w:tc>
        <w:tc>
          <w:tcPr>
            <w:tcW w:w="260" w:type="dxa"/>
            <w:vAlign w:val="bottom"/>
            <w:gridSpan w:val="2"/>
          </w:tcPr>
          <w:p>
            <w:pPr>
              <w:jc w:val="right"/>
              <w:ind w:right="22"/>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-1070610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-1070610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-1070610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-1070610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-1070610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-1070610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-119380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40" w:hanging="272"/>
        <w:spacing w:after="0" w:line="278" w:lineRule="auto"/>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Willis Towers Watson Public Limited Company is a leading global advisory, broking and solutions company that provides data-driven, insight-led solutions in the areas of people, risk and capital. The Company has approximately 48,100 colleagues serving more than 140 countries and markets.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control services include strategic risk expertise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advisory services, technology and solutions that help them anticipate, identify and capitalize on emerging opportunities in human capital management, and by offering investment advice to help them develop disciplined and efficient strategies to meet their investment goals.</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2026, and may be accessed via EDGAR on the SEC’s web site at www.sec.gov.</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2026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Program Expenses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Within the condensed consolidated statements of comprehensive income, Transaction and Program Expenses relate to non-recurring or one-time transaction costs incurred in relation to acquisitions and divestitures and costs associated with the integration of significant acquired companies and the Propel AI Acceleration Plan (see Note 6 — AI Acceleration Plan).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is intended to clarify and modernize the accounting for costs related to internal-use software.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capitalization requirements from being tied to development stages and instead creates a capitalization threshold which is achieved when it is probable the software will be completed for its intended purpose. The annual and interim requirements for this ASU become effective for the Company on January 1, 2028. Early adoption is permitted and may be applied using a prospective, retrospective, or modified transition approach. The Company is assessing all aspects of the ASU, including adoption timing and transition method, and the expected impact on its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is intended to improve guidance on the measurement of credit losses for accounts receivable and contract assets.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 optional practical expedient to assume that current conditions as of the balance sheet date do not change for the remaining life of the assets. The requirements for this ASU became effective for the Company on January 1, 2026, at which time it was adopted. This ASU did not have a material impact on our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(‘OECD’) and G20 Inclusive Framework on Base Erosion and Profit Shifting released the Model Global Anti-Base Erosion (‘GloBE’) rules (the ‘OECD Model Rules’) under Pillar Two. In 2023, many E.U. countries, including Ireland, enacted the necessary legislation (based on the OECD Model Rules) to implement Pillar Two in 2024. Other countries and territories introduced Pillar Two legislation in 2024 and 2025. In January 2026, the OECD announced the release of a new package of administrative guidance under the Pillar Two global minimum tax rules (the ‘side-by-side’ (SbS) package). Key components of the package include a simplified effective tax rate safe harbor, an extension of the transitional country-by-country reporting safe harbor, a substance-based tax incentive safe harbor, a side-by-side safe harbor for certain multinational groups located in eligible jurisdictions, an ultimate parent entity safe harbor for eligible countries, and a commitment to focus on additional clarifications and simplifications. These new safe harbor rules do not affect the application of a qualified domestic minimum top-up tax. Except for the extension of the transitional country-by-country reporting safe harbor, the Company does not expect the new safe harbors to apply. The Pillar Two minimum tax is treated as a period-cost beginning in 2024 and does not have a material impact on the Company's financial results of operations for the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 1</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‘Act to provide for reconciliation pursuant to title II of H. Con. Res. 14’ (‘H.R. 1’) was enacted into law and generally became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In 2025, the Company recognized cash tax benefits related to the acceleration of certain timing differences. The Company will continue to evaluate the overall impact of H.R. 1 and related regulations on our operations and tax positions.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Newfront Insurance Holdings, Inc. Acquisition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27, 2026, the Company completed the acquisition of Newfront Insurance Holdings, Inc. (‘Newfront’), a U.S.-based broker combining specialty expertise and cutting-edge technology, for up-front and contingent consideration. The $1.05 billion up-front portion of the purchase price was comprised of approximately $900 million in cash paid to all of Newfront’s shareholders and $150 million in replacement award equity paid only to Newfront’s employee-shareholders and subject to ongoing vesting. The contingent consideration includes up to $250 million, subject to Newfront’s achievement of specified three-year performance targets, and up to an incremental $150 million which would become payable if Newfront achieves above-target revenue growth. Both tranches of contingent consideration are payable primarily in equity awards subject to service requirements and will be recognized as compensation expense. The cash portion of these arrangements has no service requirements and is included in the estimate of consideration transferred. The cash consideration and related fees, costs and expenses for the acquisition were funded with the net proceeds from our December 2025 issuance of $1.0 billion of senior notes (see Note 10 — Debt for additional information). Newfront operates as part of both our Health, Wealth &amp; Career (Health &amp; Benefits and Investment businesses) and Risk &amp; Broking (Corporate Risk &amp; Broking business) segments.</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part of the replacement of the share-based compensation awards and stock of Newfront which were held by Newfront employees and trusts held by certain key employees of Newfront, the Company granted approximately 225,000 restricted stock awards (‘RSAs’) subject to vesting and transfer restrictions. In the first quarter of 2026, the Company issued an aggregate of approximately 199,000 RSAs as ordinary shares, subject to vesting and transfer restrictions, via private placement (outside of the Willis Towers Watson Public Limited Company 2012 Equity Incentive Plan (the ‘Plan’)) to trusts established by certain key employees of Newfront. The remaining approximately 26,000 RSAs were issued pursuant to the Plan during the second quarter of 2026.</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RSAs, the Company granted approximately 187,000 restricted stock units (‘RSUs’), the majority of which were granted during the first quarter of 2026 under the Plan. The remaining approximately 3,000 RSUs were granted during the second quarter of 2026 via private placement (outside of the Plan) to trusts established by certain key employees of Newfront. All RSUs granted are subject to vesting and transfer restrictions.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summary of preliminary fair values of the Newfront identifiable assets acquired and liabilities assumed at January 27, 2026 are summarized in the following table. We have prepared analyses necessary to assess the fair values of the assets acquired and liabilities assumed and the amount of goodwill and consideration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Accordingly, there may be adjustments to the assigned values of acquired assets and liabilities assumed. The final determination of acquisition date fair values and residual goodwill will be completed as soon as practicable, and within the measurement period of up to one year from the acquisition date as permitted under U.S. GAAP. Any adjustments to provisional amounts that are identified during the measurement period will be recorded in the reporting period in which the adjustment is determined.</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second quarter of 2026, the Company made adjustments to its preliminary fair values related to the valuation of consideration transferred in the form of share-based compensation and contingent consideration, and adjusted both the values of intangible assets, deferred taxes and goodwill. During the third quarter of 2026, the Company made adjustments to its preliminary fair values related to the valuation of consideration transferred in the form of share-based compensation, and adjusted the values of accounts receivable, deferred taxes and goodwill.</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Fiduciary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Fiduciary liabilities</w:t>
            </w: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Preliminary values of intangible assets consist primarily of $209 million of customer relationships and $55 million of developed software, with preliminary weighted-average expected lives of 8 years and 7 years, respectively.</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aggregate consideration and the acquisition date fair value of the net assets acquired, including acquired intangible assets, and represents the value of Newfront’s assembled workforce and the future economic benefits that we expect to achieve as a result of the acquisition. The assignment of the acquired goodwill to the individual reporting units is not yet finalized. None of the goodwill recognized on the transaction is tax-deductible, however there is tax-deductible goodwill that will be carried forward from previous acquisitions by Newfront.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Cushon Acquisition</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On April 30, 2026, the Company completed the acquisition of Cushon, </w:t>
      </w:r>
      <w:r>
        <w:rPr>
          <w:rFonts w:ascii="Times New Roman" w:cs="Times New Roman" w:eastAsia="Times New Roman" w:hAnsi="Times New Roman"/>
          <w:sz w:val="18"/>
          <w:szCs w:val="18"/>
          <w:color w:val="2A2A2B"/>
        </w:rPr>
        <w:t>a workplace pensions, savings and financial well-being company, for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B"/>
        </w:rPr>
        <w:t>consideration of £150 million, subject to working capital and other adjustments, and contingent consideration of up to £100 million. T</w:t>
      </w:r>
      <w:r>
        <w:rPr>
          <w:rFonts w:ascii="Times New Roman" w:cs="Times New Roman" w:eastAsia="Times New Roman" w:hAnsi="Times New Roman"/>
          <w:sz w:val="18"/>
          <w:szCs w:val="18"/>
          <w:color w:val="000000"/>
        </w:rPr>
        <w:t>he Company funded</w:t>
      </w:r>
      <w:r>
        <w:rPr>
          <w:rFonts w:ascii="Times New Roman" w:cs="Times New Roman" w:eastAsia="Times New Roman" w:hAnsi="Times New Roman"/>
          <w:sz w:val="18"/>
          <w:szCs w:val="18"/>
          <w:color w:val="2A2A2B"/>
        </w:rPr>
        <w:t xml:space="preserve"> </w:t>
      </w:r>
      <w:r>
        <w:rPr>
          <w:rFonts w:ascii="Times New Roman" w:cs="Times New Roman" w:eastAsia="Times New Roman" w:hAnsi="Times New Roman"/>
          <w:sz w:val="18"/>
          <w:szCs w:val="18"/>
          <w:color w:val="000000"/>
        </w:rPr>
        <w:t>the acquisition with the remaining available balance on the delayed draw term loan (see Note 10 — Debt for additional information). Cushon operates as part of our Health, Wealth &amp; Career (Benefits Delivery &amp; Outsourcing) segment.</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summary of preliminary fair values of the identifiable assets acquired and liabilities assumed of Cushon at April 30, 2026 are summarized in the following table. We have prepared analyses necessary to assess the fair values of the assets acquired and liabilities assumed and the amount of goodwill and consideration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Accordingly, there may be adjustments to the assigned values of acquired assets and liabilities assumed. The final determination of acquisition date fair values and residual goodwill will be completed as soon as practicable, and within the measurement period of up to one year from the acquisition date as permitted under U.S. GAAP. Any adjustments to provisional amounts that are identified during the measurement period will be recorded in the reporting period in which the adjustment is determined.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237</w:t>
            </w:r>
          </w:p>
        </w:tc>
      </w:tr>
    </w:tbl>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Preliminary values of intangible assets consist primarily of $58 million of customer relationships, $49 million of developed software and $4 million of trade names with preliminary weighted-average expected lives of 20 years, 5 years and 10 years, respectively.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is calculated as the difference between the aggregate consideration and the acquisition date fair value of the net assets acquired, including acquired intangible assets, and represents the value of Cushon’s assembled workforce and the future economic benefits that we expect to achieve as a result of the acquisition. None of the goodwill recognized on the transaction is tax-deductible.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Al-Futtaim Willis - Acquisition of Remaining Interests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30, 2026, the Company completed the acquisition of the remaining 51% controlling interest of its longstanding broking joint venture, Al-Futtaim Willis (‘AFW’), based in the United Arab Emirates, for cash consideration of $58 million, subject to certain adjustments. The results of AFW were previously included in interest in earnings of associates, net of tax, on the condensed consolidated statements of comprehensive income, but will be fully consolidated after the close of the transaction. As a result of the acquisition completed in stages, the Company recognized a preliminary non-cash revaluation gain of $37 million as a result of remeasuring the previously-held interests which is included in other income/(loss), net on the condensed consolidated statements of comprehensive income. AFW operates as part of both our Health, Wealth &amp; Career (Health &amp; Benefits business) and Risk &amp; Broking (Corporate Risk &amp; Broking business)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made contributions to interests in associates accounted for under the equity method of accounting in cash payments of $23 million and $16 million, respectively. Additionally, during the nine months ended September 30, 2026 and 2025, the Company made acquisitions for cash consideration of $55 million and $14 million, respectively, with related contingent consideration valued at $7 million for the nine months ended September 30, 2026. There was no related contingent consideration for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completed disposals during the nine months ended September 30, 2026 for cash proceeds of $12 million, and recognized immaterial gains, which are included in other income/(loss), net on the condensed consolidated statements of comprehensive income. During the nine months ended September 30, 2025, the Company disposed of a business and had disposal price and other adjustments to its 2024 sale of TRANZACT, resulting in a gain of $40 million, which was included in other income/(loss), net on the condensed consolidated statements of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nine months ended September 30, 2026 and 2025. Along with reimbursable expenses and other, total revenue by service offering represents our revenue from customer contracts.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4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857</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2,383</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1,047</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2,404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2,460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-1464945</wp:posOffset>
            </wp:positionV>
            <wp:extent cx="4963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2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488</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417</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2,652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2,430</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2,420</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3,859</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3,581</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7,123</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6,577</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3,921</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3,632</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3,274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6,635</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3,657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3,379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3,090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7,338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6,772</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-1464945</wp:posOffset>
            </wp:positionV>
            <wp:extent cx="4963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6316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60" w:hanging="272"/>
        <w:spacing w:after="0" w:line="261" w:lineRule="auto"/>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560" w:type="dxa"/>
            <w:vAlign w:val="bottom"/>
          </w:tcPr>
          <w:p>
            <w:pPr>
              <w:jc w:val="right"/>
              <w:ind w:right="43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-145415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540" w:type="dxa"/>
            <w:vAlign w:val="bottom"/>
          </w:tcPr>
          <w:p>
            <w:pPr>
              <w:jc w:val="right"/>
              <w:ind w:right="41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tables present revenue from service offerings by the geography where our work was performed for the three and nine months ended September 30, 2026 and 2025. Reconciliations to total revenue on our condensed consolidated statements of comprehensive income and to segment revenue are shown in the tables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761</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3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1,195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3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-144780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-144780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2,146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1,250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620" w:type="dxa"/>
            <w:vAlign w:val="bottom"/>
            <w:tcBorders>
              <w:bottom w:val="single" w:sz="8" w:color="CFF0FC"/>
            </w:tcBorders>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41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3,122</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916</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3,859</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3,581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3,262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2,995</w:t>
            </w: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accounts receivable and deferred revenue balances at September 30, 2026 and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$40 million and $30 million</w:t>
            </w:r>
          </w:p>
        </w:tc>
        <w:tc>
          <w:tcPr>
            <w:tcW w:w="480" w:type="dxa"/>
            <w:vAlign w:val="bottom"/>
            <w:shd w:val="clear" w:color="auto" w:fill="CFF0FC"/>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1,732</w:t>
            </w:r>
          </w:p>
        </w:tc>
        <w:tc>
          <w:tcPr>
            <w:tcW w:w="6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4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contract assets</w:t>
            </w: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r>
      <w:tr>
        <w:trPr>
          <w:trHeight w:val="209"/>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2,462</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2,702</w:t>
            </w:r>
          </w:p>
        </w:tc>
      </w:tr>
      <w:tr>
        <w:trPr>
          <w:trHeight w:val="20"/>
        </w:trPr>
        <w:tc>
          <w:tcPr>
            <w:tcW w:w="8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480" w:type="dxa"/>
            <w:vAlign w:val="bottom"/>
            <w:tcBorders>
              <w:bottom w:val="single" w:sz="8" w:color="auto"/>
            </w:tcBorders>
            <w:shd w:val="clear" w:color="auto" w:fill="CFF0FC"/>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-462280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revenue of $61 million and $456 million, respectively, was recognized that was reflected as deferred revenue at December 31, 2025. During the three months ended September 30, 2026, revenue of $336 million was recognized that was reflected as deferred revenue at June 30, 2026.</w:t>
      </w:r>
    </w:p>
    <w:p>
      <w:pPr>
        <w:spacing w:after="0" w:line="122" w:lineRule="exact"/>
        <w:rPr>
          <w:sz w:val="20"/>
          <w:szCs w:val="20"/>
          <w:color w:val="auto"/>
        </w:rPr>
      </w:pPr>
    </w:p>
    <w:p>
      <w:pPr>
        <w:ind w:right="240"/>
        <w:spacing w:after="0" w:line="438"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2026, the Company had no revenue related to performance obligations satisfied in a prior period. </w:t>
      </w:r>
      <w:r>
        <w:rPr>
          <w:rFonts w:ascii="Times New Roman" w:cs="Times New Roman" w:eastAsia="Times New Roman" w:hAnsi="Times New Roman"/>
          <w:sz w:val="18"/>
          <w:szCs w:val="18"/>
          <w:b w:val="1"/>
          <w:bCs w:val="1"/>
          <w:color w:val="auto"/>
        </w:rPr>
        <w:t>Performance Obligations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September 30, 2026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2028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expected to be recognized on contracts as of September 30, 2026</w:t>
            </w:r>
          </w:p>
        </w:tc>
        <w:tc>
          <w:tcPr>
            <w:tcW w:w="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809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September 30, 2026 have been excluded from the table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Company has not presented any individual significant expense categories due to the following factors:</w:t>
      </w:r>
    </w:p>
    <w:p>
      <w:pPr>
        <w:spacing w:after="0" w:line="117" w:lineRule="exact"/>
        <w:rPr>
          <w:sz w:val="20"/>
          <w:szCs w:val="20"/>
          <w:color w:val="auto"/>
        </w:rPr>
      </w:pPr>
    </w:p>
    <w:p>
      <w:pPr>
        <w:ind w:left="760" w:right="3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6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 CODM routinely reviews budgeted, forecasted and actual expense information at the consolidated level only and not at the individual segment level.</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Segment operating income excludes certain costs, including (i) amortization of intangibles; (ii) certain transaction and program expenses; and (iii)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three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1,253</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2,437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2,268</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1,718</w:t>
            </w: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361</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550</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-916305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-899795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-899795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-899795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-916305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-899795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-916305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-899795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-333375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-316865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-333375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-316865</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-333375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-316865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-333375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-316865</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-333375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-316865</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nine months ended September 30,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3,863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3,584</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3,292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7,155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6,592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3,885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7,252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6,687</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2,611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5,352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4,974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124</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5,476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5,098</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4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952</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1,589</w:t>
            </w:r>
          </w:p>
        </w:tc>
      </w:tr>
      <w:tr>
        <w:trPr>
          <w:trHeight w:val="588"/>
        </w:trPr>
        <w:tc>
          <w:tcPr>
            <w:tcW w:w="34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-1782445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-1799590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-1799590</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-1799590</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-1782445</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-1799590</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-1782445</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-1216660</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-1199515</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-1216660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-1199515</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-1216660</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-1199515</wp:posOffset>
            </wp:positionV>
            <wp:extent cx="85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-1216660</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-1199515</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-908050</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-890905</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-908050</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-890905</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-890905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-908050</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-890905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ind w:right="11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nine months ended September 30, 2026 and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revenue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2,437</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2,268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7,252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6,687</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2,460</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2,288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7,338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1,776</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program expenses </w:t>
            </w:r>
            <w:r>
              <w:rPr>
                <w:rFonts w:ascii="Times New Roman" w:cs="Times New Roman" w:eastAsia="Times New Roman" w:hAnsi="Times New Roman"/>
                <w:sz w:val="24"/>
                <w:szCs w:val="24"/>
                <w:color w:val="auto"/>
                <w:vertAlign w:val="superscript"/>
              </w:rPr>
              <w:t>(ii)</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income/(loss), net</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1"/>
        </w:trPr>
        <w:tc>
          <w:tcPr>
            <w:tcW w:w="58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 earnings of</w:t>
            </w:r>
          </w:p>
        </w:tc>
        <w:tc>
          <w:tcPr>
            <w:tcW w:w="720" w:type="dxa"/>
            <w:vAlign w:val="bottom"/>
            <w:gridSpan w:val="2"/>
            <w:vMerge w:val="restart"/>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401</w:t>
            </w:r>
          </w:p>
        </w:tc>
        <w:tc>
          <w:tcPr>
            <w:tcW w:w="8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1,069</w:t>
            </w:r>
          </w:p>
        </w:tc>
        <w:tc>
          <w:tcPr>
            <w:tcW w:w="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194"/>
        </w:trPr>
        <w:tc>
          <w:tcPr>
            <w:tcW w:w="58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associates</w:t>
            </w:r>
          </w:p>
        </w:tc>
        <w:tc>
          <w:tcPr>
            <w:tcW w:w="7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-1696720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-1696720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-1696720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-282575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-282575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-282575</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AI Acceleration Plan for the composition of costs for 2026.</w:t>
      </w:r>
    </w:p>
    <w:p>
      <w:pPr>
        <w:spacing w:after="0" w:line="28" w:lineRule="exact"/>
        <w:rPr>
          <w:rFonts w:ascii="Times New Roman" w:cs="Times New Roman" w:eastAsia="Times New Roman" w:hAnsi="Times New Roman"/>
          <w:sz w:val="14"/>
          <w:szCs w:val="14"/>
          <w:color w:val="auto"/>
        </w:rPr>
      </w:pPr>
    </w:p>
    <w:p>
      <w:pPr>
        <w:ind w:left="280" w:right="20" w:hanging="272"/>
        <w:spacing w:after="0" w:line="250"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share-based compensation and other transaction-related costs attributable to our Newfront and Cushon acquisitions (see Note 3 — Acquisitions and Divestitures) and costs associated with the integration of significant acquired companies and the Propel AI Acceleration Plan (see Note 6 – AI Acceleration Plan).</w:t>
      </w:r>
    </w:p>
    <w:p>
      <w:pPr>
        <w:spacing w:after="0" w:line="1" w:lineRule="exact"/>
        <w:rPr>
          <w:rFonts w:ascii="Times New Roman" w:cs="Times New Roman" w:eastAsia="Times New Roman" w:hAnsi="Times New Roman"/>
          <w:sz w:val="14"/>
          <w:szCs w:val="14"/>
          <w:color w:val="auto"/>
        </w:rPr>
      </w:pPr>
    </w:p>
    <w:p>
      <w:pPr>
        <w:ind w:left="280" w:right="80" w:hanging="272"/>
        <w:spacing w:after="0" w:line="243"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our revenue (on the basis of where the work was performed) and tangible long-lived assets for Ireland, our country of domicile, countries with significant concentrations and all other foreign countries as of and for the periods ended as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r>
      <w:tr>
        <w:trPr>
          <w:trHeight w:val="117"/>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4"/>
          </w:tcPr>
          <w:p>
            <w:pPr>
              <w:jc w:val="right"/>
              <w:ind w:right="49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gridSpan w:val="4"/>
          </w:tcPr>
          <w:p>
            <w:pPr>
              <w:jc w:val="right"/>
              <w:ind w:right="493"/>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372</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Countries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39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2,460</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2,288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7,338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6,772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-316865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-316865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-316865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-316865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-316865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right-of-use (‘ROU’)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AI Acceleration Plan</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July 28, 2026, the Board of Directors of WTW approved and authorized management to execute Propel, an artificial intelligence (‘AI’) acceleration plan (the ‘Plan’). The Plan will extend through December 31, 2028, and embed AI and automation across the enterprise. Supported by the Company's ongoing investments in AI, data and technology, including the acquisition of Newfront, the Plan is expected to enhance client service and create additional opportunities for growth as well as streamline core operating processes. The Company expects to generate approximately $400 million in annual cost savings and, after reinvesting approximately $50 million to support growth initiatives, to deliver approximately $350 million in net annual cost savings by the end of 2028. Approximately $625 million of cash costs are expected to be incurred as well as approximately $25 million in non-cash charges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260"/>
        <w:spacing w:after="0" w:line="261" w:lineRule="auto"/>
        <w:rPr>
          <w:sz w:val="20"/>
          <w:szCs w:val="20"/>
          <w:color w:val="auto"/>
        </w:rPr>
      </w:pPr>
      <w:r>
        <w:rPr>
          <w:rFonts w:ascii="Times New Roman" w:cs="Times New Roman" w:eastAsia="Times New Roman" w:hAnsi="Times New Roman"/>
          <w:sz w:val="18"/>
          <w:szCs w:val="18"/>
          <w:color w:val="auto"/>
        </w:rPr>
        <w:t>through the end of 2028 in connection with the Plan, with the cash costs consisting principally of process automation and organizational transition costs, including process and organizational design costs, severance and separation-related costs and temporary retention costs, as well as costs associated with implementing AI systems and related technologies, including technology implementation, integration and certain contractor and vendor contract termination costs. An immaterial portion of these costs is expected to be capitalized.</w:t>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Plan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condensed consolidated statements of comprehensive income. Other costs incurred under the Plan are included in transaction and program expenses and were $7 million for the three months ended September 30, 2026. Restructuring costs incurred under the Plan from commencement to September 30, 2026 consist of $14 million of asset impairment expense attributable to our R&amp;B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2026 was $79 million compared to $77 million for the three months ended September 30, 2025. Provision for income taxes was $206 million and $121 million for the nine months ended September 30, 2026 and 2025, respectively. The effective tax rates were 19.5% and 19.3% for the three and nine months ended September 30, 2026, respectively, and 19.7% and 12.0% for the three and nine months ended September 30, 2025, respectively. These effective tax rates are calculated using extended values from our condensed consolidated statements of comprehensive income and are therefore more precise tax rates than can be calculated from rounded values. The effective tax rate for the nine months ended September 30, 2025 was lower due to favorable discrete tax items, primarily related to provision-to-tax return adjustments.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At September 30, 2026,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$38 million, excluding interest and penalties.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nine months ended September 30,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34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7,317</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10,211</w:t>
            </w:r>
          </w:p>
        </w:tc>
      </w:tr>
      <w:tr>
        <w:trPr>
          <w:trHeight w:val="216"/>
        </w:trPr>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December 31, 2025</w:t>
            </w:r>
          </w:p>
        </w:tc>
        <w:tc>
          <w:tcPr>
            <w:tcW w:w="2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8,938</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2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Goodwill disposals</w:t>
            </w:r>
          </w:p>
        </w:tc>
        <w:tc>
          <w:tcPr>
            <w:tcW w:w="2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5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2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7,830</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11,051</w:t>
            </w: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5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September 30, 2026</w:t>
            </w:r>
          </w:p>
        </w:tc>
        <w:tc>
          <w:tcPr>
            <w:tcW w:w="34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6,919</w:t>
            </w:r>
          </w:p>
        </w:tc>
        <w:tc>
          <w:tcPr>
            <w:tcW w:w="1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9,778</w:t>
            </w:r>
          </w:p>
        </w:tc>
      </w:tr>
      <w:tr>
        <w:trPr>
          <w:trHeight w:val="629"/>
        </w:trPr>
        <w:tc>
          <w:tcPr>
            <w:tcW w:w="406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-2056765</wp:posOffset>
            </wp:positionV>
            <wp:extent cx="1028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-2056765</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-1499235</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-1499235</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-933450</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102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nine months ended September 30,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10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December 31, 2025</w:t>
            </w: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3,528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849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1,044</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September 30, 2026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583</w:t>
            </w:r>
          </w:p>
        </w:tc>
        <w:tc>
          <w:tcPr>
            <w:tcW w:w="10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-1148080</wp:posOffset>
            </wp:positionV>
            <wp:extent cx="1968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-1148080</wp:posOffset>
            </wp:positionV>
            <wp:extent cx="1968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1885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1885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-591185</wp:posOffset>
            </wp:positionV>
            <wp:extent cx="1968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-591185</wp:posOffset>
            </wp:positionV>
            <wp:extent cx="1968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-591185</wp:posOffset>
            </wp:positionV>
            <wp:extent cx="1885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-591185</wp:posOffset>
            </wp:positionV>
            <wp:extent cx="1885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1968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1968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1968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1968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1885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885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1885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885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September 30, 2026 was 10.1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2026 and for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633</w:t>
            </w: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1,431</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Investments and Note 17 — Accumulated Other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September 30, 2026 and December 31, 2025 had total notional amounts of $158 million and $165 million, respectively, with net fair value assets of $1 million and $3 million, respectively.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estimates, based on current exchange rates, there will be $1 million of net derivative gains on forward exchange rates reclassified from accumulated other comprehensive loss into earnings within the next twelve months as the forecast transactions affect earnings. At September 30, 2026, our longest outstanding maturity was 1.7 years.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nine months ended September 30, 2026 and 2025 are below. Amounts pertaining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right="120"/>
        <w:spacing w:after="0" w:line="282" w:lineRule="auto"/>
        <w:rPr>
          <w:sz w:val="20"/>
          <w:szCs w:val="20"/>
          <w:color w:val="auto"/>
        </w:rPr>
      </w:pPr>
      <w:r>
        <w:rPr>
          <w:rFonts w:ascii="Times New Roman" w:cs="Times New Roman" w:eastAsia="Times New Roman" w:hAnsi="Times New Roman"/>
          <w:sz w:val="18"/>
          <w:szCs w:val="18"/>
          <w:color w:val="auto"/>
        </w:rPr>
        <w:t>ineffective portion of hedging instruments and those excluded from effectiveness testing were not material for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6"/>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0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 of gain reclassified from Accumulated OCL into income (effective</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60" w:type="dxa"/>
            <w:vAlign w:val="bottom"/>
            <w:gridSpan w:val="9"/>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Gain reclassified from Accumulated OCL into income (effective element)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9"/>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income/(loss), net</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4640" w:type="dxa"/>
            <w:vAlign w:val="bottom"/>
          </w:tcPr>
          <w:p>
            <w:pPr>
              <w:spacing w:after="0"/>
              <w:rPr>
                <w:sz w:val="17"/>
                <w:szCs w:val="17"/>
                <w:color w:val="auto"/>
              </w:rPr>
            </w:pPr>
          </w:p>
        </w:tc>
        <w:tc>
          <w:tcPr>
            <w:tcW w:w="1080" w:type="dxa"/>
            <w:vAlign w:val="bottom"/>
            <w:gridSpan w:val="2"/>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gridSpan w:val="2"/>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-1148080</wp:posOffset>
            </wp:positionV>
            <wp:extent cx="1543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-1130935</wp:posOffset>
            </wp:positionV>
            <wp:extent cx="1543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1454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-1130935</wp:posOffset>
            </wp:positionV>
            <wp:extent cx="1454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1460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-1130935</wp:posOffset>
            </wp:positionV>
            <wp:extent cx="1460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1543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145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1460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September 30, 2026 and December 31, 2025, we had notional amounts of $723 million and $739 million, respectively, with a net fair value liability of $3 million and a net fair value asset of $1 million, respectively. Such derivatives typically mature within three months.</w:t>
      </w:r>
    </w:p>
    <w:p>
      <w:pPr>
        <w:spacing w:after="0" w:line="12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nine months ended September 30, 2026 and 2025 are as follows (see Note 16 — Other Income/(Loss), Net for the net foreign currency impact on the Company’s condensed consolidated statements of comprehensive income which includes the results of the offset of underlying exposures).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the Company had foreign exchange option derivatives to hedge against cash flow risk associated with its now-completed Cushon acquisition (see Note 3 — Acquisitions and Divestitures). These derivatives were not designated as hedging instruments and matured during the second quarter of 2026. The effect of the foreign exchange options on the condensed consolidated statements of comprehensive income was not material for the three and nine months ended September 30,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4"/>
          </w:tcPr>
          <w:p>
            <w:pPr>
              <w:jc w:val="center"/>
              <w:ind w:left="151"/>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tcPr>
          <w:p>
            <w:pPr>
              <w:jc w:val="center"/>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(loss)/gain</w:t>
            </w: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4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income/(loss), net</w:t>
            </w:r>
          </w:p>
        </w:tc>
        <w:tc>
          <w:tcPr>
            <w:tcW w:w="860" w:type="dxa"/>
            <w:vAlign w:val="bottom"/>
            <w:gridSpan w:val="2"/>
            <w:shd w:val="clear" w:color="auto" w:fill="CFF0FC"/>
          </w:tcPr>
          <w:p>
            <w:pPr>
              <w:jc w:val="right"/>
              <w:ind w:right="55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93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60" w:type="dxa"/>
            <w:vAlign w:val="bottom"/>
            <w:shd w:val="clear" w:color="auto" w:fill="CFF0FC"/>
          </w:tcPr>
          <w:p>
            <w:pPr>
              <w:spacing w:after="0"/>
              <w:rPr>
                <w:sz w:val="21"/>
                <w:szCs w:val="21"/>
                <w:color w:val="auto"/>
              </w:rPr>
            </w:pP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749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r>
      <w:tr>
        <w:trPr>
          <w:trHeight w:val="215"/>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3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54"/>
        </w:trPr>
        <w:tc>
          <w:tcPr>
            <w:tcW w:w="5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4.550% senior notes due 2031</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5.150% senior notes due 2036</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738</w:t>
            </w:r>
          </w:p>
        </w:tc>
      </w:tr>
      <w:tr>
        <w:trPr>
          <w:trHeight w:val="230"/>
        </w:trPr>
        <w:tc>
          <w:tcPr>
            <w:tcW w:w="536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5,783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5,756</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-2270760</wp:posOffset>
            </wp:positionV>
            <wp:extent cx="120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-2253615</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draw term loan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7, 2026, the Company, together with Trinity Acquisition plc and Willis North America Inc. as borrowers (the ‘Borrowers’), entered into a $775 million delayed draw term loan (the ‘DDTL’). Drawings against the DDTL may be used (i) to finance a portion of the Newfront acquisition (see Note 3 — Acquisitions and Divestitures); (ii) to refinance certain outstanding indebtedness of the Company and its subsidiaries, and (iii) for working capital, capital expenditures, permitted acquisitions and general corporate purposes.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Amounts outstanding under the DDTL shall bear interest, at the Borrowers’ option, at a rate equal to (i) the term secured overnight financing rate plus an applicable margin of 0.625% to 1.250% (based upon the Company’s guaranteed senior-unsecured long-term debt rating) or (ii) the base rate plus an applicable margin of 0.00% to 0.250% (based upon the Company’s guaranteed senior-unsecured long-term debt rating). In addition, the Borrowers will pay a commitment fee in an amount equal to 0.055% to 0.140% (based upon the Company’s guaranteed senior-unsecured long-term debt rating) on the unused amount of commitments under the DDTL. Interest is payable no later than every three months and interest rates are reset on a one-, three- or six-month basis, at the election of the Company, but may be shorter or longer durations with consent of the lenders.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DDTL may be drawn on up to four borrowings, each of which is subject to customary conditions, including, solely in the case of drawings that are not used to fund the Newfront acquisition, the accuracy and completeness in all material respects of all representations and warranties in the loan documentation and that no default under the DDTL shall exist, or would result from such borrowing or the application of the drawings thereof.</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16, 2026, the Company made the first borrowing under the DDTL for $550 million in relation to the repayment of the 4.400% senior notes due 2026 (see below). On April 30, 2026, the Company borrowed the remaining $225 million available under the DDTL to fund its Cushon acquisition (see Note 3 — Acquisitions and Divestitures). In accordance with the terms of the DDTL agreement, the maturity date for all borrowings is established as three years from the date of the first borrowing, or March 16, 2029.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4.400% Senior Notes due 2026</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16, 2026, the Company repaid in full the $550 million aggregate principal amount and related accrued interest of the 4.400% senior notes due 2026 ($562 million in total) using borrowings against the DDTL and cash on hand.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Compliance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we were in compliance with all financial covenants.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 and Investments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are classified as Level 1 financial instruments as they are based on quoted market prices in active markets.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3"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September 30, 2026 and December 31, 2025:</w:t>
      </w:r>
    </w:p>
    <w:p>
      <w:pPr>
        <w:spacing w:after="0" w:line="15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3"/>
          <w:szCs w:val="13"/>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-635</wp:posOffset>
            </wp:positionV>
            <wp:extent cx="26574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560"/>
        <w:spacing w:after="0"/>
        <w:tabs>
          <w:tab w:leader="none" w:pos="7260" w:val="left"/>
          <w:tab w:leader="none" w:pos="8360" w:val="left"/>
          <w:tab w:leader="none" w:pos="9420" w:val="left"/>
          <w:tab w:leader="none" w:pos="10540" w:val="left"/>
        </w:tabs>
        <w:rPr>
          <w:sz w:val="20"/>
          <w:szCs w:val="20"/>
          <w:color w:val="auto"/>
        </w:rPr>
      </w:pPr>
      <w:r>
        <w:rPr>
          <w:rFonts w:ascii="Times New Roman" w:cs="Times New Roman" w:eastAsia="Times New Roman" w:hAnsi="Times New Roman"/>
          <w:sz w:val="13"/>
          <w:szCs w:val="13"/>
          <w:b w:val="1"/>
          <w:bCs w:val="1"/>
          <w:color w:val="auto"/>
        </w:rPr>
        <w:t>Balance Sheet Location</w:t>
      </w:r>
      <w:r>
        <w:rPr>
          <w:sz w:val="20"/>
          <w:szCs w:val="20"/>
          <w:color w:val="auto"/>
        </w:rPr>
        <w:tab/>
      </w:r>
      <w:r>
        <w:rPr>
          <w:rFonts w:ascii="Times New Roman" w:cs="Times New Roman" w:eastAsia="Times New Roman" w:hAnsi="Times New Roman"/>
          <w:sz w:val="13"/>
          <w:szCs w:val="13"/>
          <w:b w:val="1"/>
          <w:bCs w:val="1"/>
          <w:color w:val="auto"/>
        </w:rPr>
        <w:t>Level 1</w:t>
      </w:r>
      <w:r>
        <w:rPr>
          <w:sz w:val="20"/>
          <w:szCs w:val="20"/>
          <w:color w:val="auto"/>
        </w:rPr>
        <w:tab/>
      </w:r>
      <w:r>
        <w:rPr>
          <w:rFonts w:ascii="Times New Roman" w:cs="Times New Roman" w:eastAsia="Times New Roman" w:hAnsi="Times New Roman"/>
          <w:sz w:val="13"/>
          <w:szCs w:val="13"/>
          <w:b w:val="1"/>
          <w:bCs w:val="1"/>
          <w:color w:val="auto"/>
        </w:rPr>
        <w:t>Level 2</w:t>
      </w:r>
      <w:r>
        <w:rPr>
          <w:sz w:val="20"/>
          <w:szCs w:val="20"/>
          <w:color w:val="auto"/>
        </w:rPr>
        <w:tab/>
      </w:r>
      <w:r>
        <w:rPr>
          <w:rFonts w:ascii="Times New Roman" w:cs="Times New Roman" w:eastAsia="Times New Roman" w:hAnsi="Times New Roman"/>
          <w:sz w:val="13"/>
          <w:szCs w:val="13"/>
          <w:b w:val="1"/>
          <w:bCs w:val="1"/>
          <w:color w:val="auto"/>
        </w:rPr>
        <w:t>Level 3</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0</wp:posOffset>
            </wp:positionV>
            <wp:extent cx="4894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Debt securities</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5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Fiduciary assets</w:t>
            </w:r>
          </w:p>
        </w:tc>
        <w:tc>
          <w:tcPr>
            <w:tcW w:w="5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w:t>
            </w:r>
          </w:p>
        </w:tc>
        <w:tc>
          <w:tcPr>
            <w:tcW w:w="50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5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5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-1158875</wp:posOffset>
            </wp:positionV>
            <wp:extent cx="713232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-901700</wp:posOffset>
            </wp:positionV>
            <wp:extent cx="713232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-575945</wp:posOffset>
            </wp:positionV>
            <wp:extent cx="713232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-198755</wp:posOffset>
            </wp:positionV>
            <wp:extent cx="713232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820" w:space="720"/>
            <w:col w:w="7660"/>
          </w:cols>
          <w:pgMar w:left="320" w:top="1143" w:right="379" w:bottom="1440" w:gutter="0" w:footer="0" w:header="0"/>
          <w:type w:val="continuous"/>
        </w:sectPr>
      </w:pP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33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-873760</wp:posOffset>
            </wp:positionV>
            <wp:extent cx="713232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-548005</wp:posOffset>
            </wp:positionV>
            <wp:extent cx="71323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-273685</wp:posOffset>
            </wp:positionV>
            <wp:extent cx="71323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660"/>
          </w:cols>
          <w:pgMar w:left="320" w:top="1143" w:right="379" w:bottom="1440" w:gutter="0" w:footer="0" w:header="0"/>
          <w:type w:val="continuous"/>
        </w:sectPr>
      </w:pP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type w:val="continuous"/>
        </w:sectPr>
      </w:pPr>
    </w:p>
    <w:bookmarkStart w:id="25" w:name="page26"/>
    <w:bookmarkEnd w:id="2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-183515</wp:posOffset>
            </wp:positionV>
            <wp:extent cx="713232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 2025</w:t>
      </w: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w:t>
            </w:r>
          </w:p>
        </w:tc>
      </w:tr>
      <w:tr>
        <w:trPr>
          <w:trHeight w:val="297"/>
        </w:trPr>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r>
      <w:tr>
        <w:trPr>
          <w:trHeight w:val="51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ectPr>
          <w:pgSz w:w="11900" w:h="16838" w:orient="portrait"/>
          <w:cols w:equalWidth="0" w:num="3">
            <w:col w:w="2820" w:space="720"/>
            <w:col w:w="3140" w:space="380"/>
            <w:col w:w="4180"/>
          </w:cols>
          <w:pgMar w:left="320" w:top="1243" w:right="339" w:bottom="1440" w:gutter="0" w:footer="0" w:header="0"/>
        </w:sect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9512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-410845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-136525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820" w:space="720"/>
            <w:col w:w="7700"/>
          </w:cols>
          <w:pgMar w:left="320" w:top="1243" w:right="339" w:bottom="1440" w:gutter="0" w:footer="0" w:header="0"/>
          <w:type w:val="continuous"/>
        </w:sectPr>
      </w:pPr>
    </w:p>
    <w:p>
      <w:pPr>
        <w:ind w:left="280" w:right="200" w:hanging="272"/>
        <w:spacing w:after="0" w:line="251"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contracts.</w:t>
      </w:r>
    </w:p>
    <w:p>
      <w:pPr>
        <w:spacing w:after="0" w:line="28" w:lineRule="exact"/>
        <w:rPr>
          <w:rFonts w:ascii="Times New Roman" w:cs="Times New Roman" w:eastAsia="Times New Roman" w:hAnsi="Times New Roman"/>
          <w:sz w:val="14"/>
          <w:szCs w:val="14"/>
          <w:color w:val="auto"/>
        </w:rPr>
      </w:pPr>
    </w:p>
    <w:p>
      <w:pPr>
        <w:jc w:val="both"/>
        <w:ind w:left="280" w:right="340" w:hanging="272"/>
        <w:spacing w:after="0" w:line="236"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2026 and December 31, 2025, represents consideration due to be paid across multiple years until 2031 and 2029, respectively. Probability weightings are based on our knowledge of the past and planned performance of the acquired entity to which the contingent consideration applies. The fair value weighted-average discount rates used in our material contingent consideration calculations were 11.31% and 11.00% at September 30, 2026 and December 31, 2025, respectively. The range of these discount rates was 11.00% - 13.40% at September 30, 2026. Using different probability weightings and discount rates could result in an increase or decrease of the contingent consideration payable.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assumed</w:t>
            </w:r>
          </w:p>
        </w:tc>
        <w:tc>
          <w:tcPr>
            <w:tcW w:w="180" w:type="dxa"/>
            <w:vAlign w:val="bottom"/>
          </w:tcPr>
          <w:p>
            <w:pPr>
              <w:spacing w:after="0"/>
              <w:rPr>
                <w:sz w:val="18"/>
                <w:szCs w:val="18"/>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164"/>
        </w:trPr>
        <w:tc>
          <w:tcPr>
            <w:tcW w:w="92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4"/>
                <w:szCs w:val="14"/>
                <w:color w:val="auto"/>
              </w:rPr>
            </w:pPr>
          </w:p>
        </w:tc>
        <w:tc>
          <w:tcPr>
            <w:tcW w:w="1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r>
      <w:tr>
        <w:trPr>
          <w:trHeight w:val="268"/>
        </w:trPr>
        <w:tc>
          <w:tcPr>
            <w:tcW w:w="9240" w:type="dxa"/>
            <w:vAlign w:val="bottom"/>
          </w:tcPr>
          <w:p>
            <w:pPr>
              <w:ind w:left="180"/>
              <w:spacing w:after="0" w:line="267" w:lineRule="exact"/>
              <w:rPr>
                <w:sz w:val="20"/>
                <w:szCs w:val="20"/>
                <w:color w:val="auto"/>
              </w:rPr>
            </w:pPr>
            <w:r>
              <w:rPr>
                <w:rFonts w:ascii="Times New Roman" w:cs="Times New Roman" w:eastAsia="Times New Roman" w:hAnsi="Times New Roman"/>
                <w:sz w:val="18"/>
                <w:szCs w:val="18"/>
                <w:color w:val="auto"/>
              </w:rPr>
              <w:t xml:space="preserve">Realized and unrealized gains </w:t>
            </w:r>
            <w:r>
              <w:rPr>
                <w:rFonts w:ascii="Times New Roman" w:cs="Times New Roman" w:eastAsia="Times New Roman" w:hAnsi="Times New Roman"/>
                <w:sz w:val="24"/>
                <w:szCs w:val="24"/>
                <w:color w:val="auto"/>
                <w:vertAlign w:val="superscript"/>
              </w:rPr>
              <w:t>(i)</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760" w:hanging="272"/>
        <w:spacing w:after="0" w:line="261"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gains include accretion and adjustments to contingent consideration liabilities, which are included within Interest expense and Other operating expenses, respectively, on the condensed consolidated statements of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nine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invested $50 million in debt securities, which it had intended to hold to maturity. During the second quarter of 2026, the Company reclassified these debt instruments to available-for-sale upon determining that the investment strategy could change in the future should the interest rate environment change significantly.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Additional Fair Value Information about Financial Instruments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as well as information about our available-for-sale securities, at September 30, 2026 and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4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5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20" w:type="dxa"/>
            <w:vAlign w:val="bottom"/>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Debt securities </w:t>
            </w:r>
            <w:r>
              <w:rPr>
                <w:rFonts w:ascii="Times New Roman" w:cs="Times New Roman" w:eastAsia="Times New Roman" w:hAnsi="Times New Roman"/>
                <w:sz w:val="24"/>
                <w:szCs w:val="24"/>
                <w:color w:val="auto"/>
                <w:vertAlign w:val="superscript"/>
              </w:rPr>
              <w:t>(i)</w:t>
            </w: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one year or less</w:t>
            </w:r>
          </w:p>
        </w:tc>
        <w:tc>
          <w:tcPr>
            <w:tcW w:w="19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greater than five years</w:t>
            </w:r>
          </w:p>
        </w:tc>
        <w:tc>
          <w:tcPr>
            <w:tcW w:w="19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422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748</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5,783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5,308</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5,756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-1105535</wp:posOffset>
            </wp:positionV>
            <wp:extent cx="946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-1105535</wp:posOffset>
            </wp:positionV>
            <wp:extent cx="93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-1105535</wp:posOffset>
            </wp:positionV>
            <wp:extent cx="939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-281940</wp:posOffset>
            </wp:positionV>
            <wp:extent cx="946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-281940</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-281940</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200" w:hanging="272"/>
        <w:spacing w:after="0" w:line="261"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available-for-sale securities at September 30, 2026 and held-to-maturity securities at December 31, 2025. At September 30, 2026, the available-for-sale securities are carried at fair value.</w:t>
      </w:r>
    </w:p>
    <w:p>
      <w:pPr>
        <w:spacing w:after="0" w:line="1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carrying values of our revolving credit facility and DDTL approximate their fair values. The fair values above, which exclude accrued interest, are not necessarily indicative of the amounts that the Company would realize upon disposition, nor do they indicate the Company’s intent or ability to dispose of the financial instruments. The fair values of our debt securities are considered Level 1 financial instruments as they are based on quoted market prices in active markets. The fair values of our respective senior notes are considered Level 2 financial instruments as they are corroborated by observable market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Cost/(Credit) for Defined Benefit Pension Plans</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periodic benefit cost/(credit) for the Company’s defined benefit pension plans for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 (gain)/expense</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cost/(credit)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 (gain)/expense</w:t>
            </w: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cost/(credit)</w:t>
            </w: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-1456690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-1439545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-1456690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-1439545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-1456690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-1439545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-1456690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-1439545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-1456690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-1439545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did not make any contributions to its U.S. plan during the nine months ended September 30, 2026 and currently does not anticipate making contributions over the remainder of the fiscal year. The Company made contributions of $1 million to its U.K. plans for the nine months ended September 30, 2026 and anticipates making additional contributions totaling $1 million for the remainder of the fiscal year. The Company made contributions of $1 million to its other plans for the nine months ended September 30, 2026 and anticipates making additional contributions totaling less than $1 million for the remainder of the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Annuity Purchases</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September 2026, the Company’s Willis Towers Watson Canada Retirement Income Plan, the Canadian registered pension plan (the ‘WTW Canada Plan’), purchased a single premium group annuity contract from a third-party insurance company and irrevocably transferred to that insurance company approximately $150 million of the WTW Canada Plan’s defined benefit pension obligations and related plan assets, thereby reducing the pension obligations and assets of the WTW Canada Plan by this same amount. The group annuity contract was purchased using assets of the WTW Canada Plan and no additional funding contribution was required by the Company. As a result of this transaction, WTW recognized a one-time, non-cash pre-tax pension settlement gain of $11 million in the third quarter of 2026, attributable to the accelerated recognition of accumulated actuarial gains of the WTW Canada Plan.</w:t>
      </w:r>
    </w:p>
    <w:p>
      <w:pPr>
        <w:spacing w:after="0" w:line="13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In February 2025, the Company’s Willis Towers Watson Pension Plan for U.S. Employees, a qualified pension plan (‘the WTW U.S. Plan’), purchased a nonparticipating single premium group annuity contract from a third-party insurance company and irrevocably transferred to that insurance company approximately $423 million of the WTW U.S. Plan’s defined benefit pension obligations and related plan assets, thereby reducing the pension obligations and assets of the WTW U.S. Plan by this same amount. The group annuity contract was purchased using assets of the WTW U.S.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WTW U.S.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had defined contribution plan expense of $44 million and $127 million during the three and nine months ended September 30, 2026, respectively, and $39 million and $120 million during the three and nine months ended September 30,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and Related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5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16"/>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cost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cost, net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5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857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lease costs are included in other operating expenses in our condensed consolidated statements of comprehensive income.</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disposed of buildings and related improvements for cash proceeds of $29 million and recognized a gain of $13 million included in other operating expenses in the condensed consolidated statements of operations. The Company entered into new operating leases for portions of the buildings for a term of 10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September 30, 2026, we have not incurred a material loss with respect to the indemnification of such third parties. In addition, as of September 30, 2026, we do not believe that any potential liability that may arise from such indemnity obligations is probable or will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September 30, 2026 and December 31, 2025 in the condensed consolidated balance sheets.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7"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Willis Re and the Acquisition of BMS Re 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18, 2026, Willis Re entered into a definitive purchase agreement through a newly created subsidiary (‘Seahawk Purchaser’) to acquire the U.S. reinsurance business of independent broker BMS Group (the ‘Seahawk Acquisition’). In support of Seahawk Purchaser’s obligations in the purchase agreement, the Company and Bain Capital (the ‘Equity Investors’), as shareholders of Willis Re, entered into an equity commitment letter with BMS Group pursuant to which they are required to subscribe for equity or debt securities in, and/or make loans to, Seahawk Purchaser so that it can satisfy the Seahawk Acquisition purchase price and, as applicable, cover any damages in the event Seahawk Purchaser breaches obligations under the purchase agreement leading to a failure to complete the Seahawk Acquisition. To satisfy these obligations and to support general corporate purposes at Willis Re, the Equity Investors entered into a side letter agreement pursuant to which the Company is obligated to fund a maximum amount of approximately $102 million to Willis Re. Once all of the Company’s obligations under that agreement are fully funded, any remaining currently-committed funding obligations that the Company has to Willis Re are extinguished. The Company may in the future commit to additional capital contributions or other obligations to provide funding to Willis Re.</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of the Company’s purchase price obligations are required to be funded upfront at the closing of the Seahawk Acquisition. All commitments made by the Company under the purchase agreement, the equity commitment letter, and the side letter investor agreement are subject to completion of the Seahawk Acquisition, and will fall away if such acquisition does not occur. The Seahawk Acquisition is expected to close during the fourth quarter of 2026, subject to receipt of the remaining regulatory approvals and satisfaction or waiver of all other closing conditions applicable to the transaction.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ind w:right="5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5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413"/>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56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5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5"/>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56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and long-term compensation plan liabilities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356</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Other Income/(Loss), Net</w:t>
            </w: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 consists of the following:</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Gain on disposal of operations </w:t>
            </w:r>
            <w:r>
              <w:rPr>
                <w:rFonts w:ascii="Times New Roman" w:cs="Times New Roman" w:eastAsia="Times New Roman" w:hAnsi="Times New Roman"/>
                <w:sz w:val="24"/>
                <w:szCs w:val="24"/>
                <w:color w:val="auto"/>
                <w:vertAlign w:val="superscript"/>
              </w:rPr>
              <w:t>(i)</w:t>
            </w:r>
          </w:p>
        </w:tc>
        <w:tc>
          <w:tcPr>
            <w:tcW w:w="132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periodic pension and postretirement benefit credits/(costs) </w:t>
            </w:r>
            <w:r>
              <w:rPr>
                <w:rFonts w:ascii="Times New Roman" w:cs="Times New Roman" w:eastAsia="Times New Roman" w:hAnsi="Times New Roman"/>
                <w:sz w:val="24"/>
                <w:szCs w:val="24"/>
                <w:color w:val="auto"/>
                <w:vertAlign w:val="superscript"/>
              </w:rPr>
              <w:t>(ii)</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Foreign exchange loss </w:t>
            </w:r>
            <w:r>
              <w:rPr>
                <w:rFonts w:ascii="Times New Roman" w:cs="Times New Roman" w:eastAsia="Times New Roman" w:hAnsi="Times New Roman"/>
                <w:sz w:val="24"/>
                <w:szCs w:val="24"/>
                <w:color w:val="auto"/>
                <w:vertAlign w:val="superscript"/>
              </w:rPr>
              <w:t>(iii)</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5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-4105275</wp:posOffset>
            </wp:positionV>
            <wp:extent cx="1200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-4088130</wp:posOffset>
            </wp:positionV>
            <wp:extent cx="1200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-3093720</wp:posOffset>
            </wp:positionV>
            <wp:extent cx="1200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-3076575</wp:posOffset>
            </wp:positionV>
            <wp:extent cx="1200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-1910715</wp:posOffset>
            </wp:positionV>
            <wp:extent cx="1200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20" w:hanging="272"/>
        <w:spacing w:after="0" w:line="251"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2026, includes a preliminary $37 million non-cash revaluation gain related to an acquisition completed in stages. See Note 3 — Acquisitions and Divestitures.</w:t>
      </w:r>
    </w:p>
    <w:p>
      <w:pPr>
        <w:ind w:left="280" w:right="620" w:hanging="272"/>
        <w:spacing w:after="0" w:line="250"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2026, includes a pension settlement gain of $11 million, and for the nine months ended September 30, 2025, includes a pension settlement charge of $82 million. See Note 12 — Retirement Benefits.</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9 — Derivative Financial Instruments.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 for the three and nine months ended September 30, 2026 and 2025. This table excludes amounts attributable to non-controlling interests, which are not material for further disclosure.</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Quarter-to-date activity:</w:t>
      </w:r>
    </w:p>
    <w:p>
      <w:pPr>
        <w:spacing w:after="0" w:line="5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2C2C2C"/>
        </w:rPr>
        <w:t>Balance at June 30, 2026 and 2025, respectively Other comprehensive (loss)/income before reclassifications</w:t>
      </w:r>
    </w:p>
    <w:p>
      <w:pPr>
        <w:spacing w:after="0" w:line="1"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4"/>
          <w:szCs w:val="14"/>
          <w:color w:val="2C2C2C"/>
        </w:rPr>
        <w:t>(Gain)/loss reclassified from accumulated other comprehensive loss (net of income tax expense of $8 and $6, respectively)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C2C2C"/>
              </w:rPr>
              <w:t>Available-for-sale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2C2C2C"/>
                <w:w w:val="98"/>
              </w:rPr>
              <w:t xml:space="preserve">instruments </w:t>
            </w:r>
            <w:r>
              <w:rPr>
                <w:rFonts w:ascii="Times New Roman" w:cs="Times New Roman" w:eastAsia="Times New Roman" w:hAnsi="Times New Roman"/>
                <w:sz w:val="19"/>
                <w:szCs w:val="19"/>
                <w:b w:val="1"/>
                <w:bCs w:val="1"/>
                <w:color w:val="2C2C2C"/>
                <w:w w:val="98"/>
                <w:vertAlign w:val="superscript"/>
              </w:rPr>
              <w:t>(i)</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2C2C2C"/>
              </w:rPr>
              <w:t>securities</w:t>
            </w:r>
          </w:p>
        </w:tc>
        <w:tc>
          <w:tcPr>
            <w:tcW w:w="100" w:type="dxa"/>
            <w:vAlign w:val="bottom"/>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0" w:type="dxa"/>
            <w:vAlign w:val="bottom"/>
          </w:tcPr>
          <w:p>
            <w:pPr>
              <w:spacing w:after="0"/>
              <w:rPr>
                <w:sz w:val="1"/>
                <w:szCs w:val="1"/>
                <w:color w:val="auto"/>
              </w:rPr>
            </w:pPr>
          </w:p>
        </w:tc>
      </w:tr>
      <w:tr>
        <w:trPr>
          <w:trHeight w:val="426"/>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(677)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C2C2C"/>
              </w:rPr>
              <w:t>(704)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2C2C2C"/>
              </w:rPr>
              <w:t>8</w:t>
            </w:r>
          </w:p>
        </w:tc>
        <w:tc>
          <w:tcPr>
            <w:tcW w:w="56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color w:val="2C2C2C"/>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87"/>
              </w:rPr>
              <w:t>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(2,180)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(2,016)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(2,849)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(2,706)</w:t>
            </w:r>
          </w:p>
        </w:tc>
        <w:tc>
          <w:tcPr>
            <w:tcW w:w="0" w:type="dxa"/>
            <w:vAlign w:val="bottom"/>
          </w:tcPr>
          <w:p>
            <w:pPr>
              <w:spacing w:after="0"/>
              <w:rPr>
                <w:sz w:val="1"/>
                <w:szCs w:val="1"/>
                <w:color w:val="auto"/>
              </w:rPr>
            </w:pPr>
          </w:p>
        </w:tc>
      </w:tr>
      <w:tr>
        <w:trPr>
          <w:trHeight w:val="291"/>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C2C2C"/>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2C2C2C"/>
              </w:rPr>
              <w:t>5</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(19)</w:t>
            </w:r>
          </w:p>
        </w:tc>
        <w:tc>
          <w:tcPr>
            <w:tcW w:w="0" w:type="dxa"/>
            <w:vAlign w:val="bottom"/>
          </w:tcPr>
          <w:p>
            <w:pPr>
              <w:spacing w:after="0"/>
              <w:rPr>
                <w:sz w:val="1"/>
                <w:szCs w:val="1"/>
                <w:color w:val="auto"/>
              </w:rPr>
            </w:pPr>
          </w:p>
        </w:tc>
      </w:tr>
      <w:tr>
        <w:trPr>
          <w:trHeight w:val="432"/>
        </w:trPr>
        <w:tc>
          <w:tcPr>
            <w:tcW w:w="7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2C2C2C"/>
              </w:rPr>
              <w:t>26</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2C2C2C"/>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2C2C2C"/>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2C2C2C"/>
              </w:rPr>
              <w:t>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-732790</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-458470</wp:posOffset>
            </wp:positionV>
            <wp:extent cx="7132320" cy="1885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780" w:space="220"/>
            <w:col w:w="824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30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2C2C2C"/>
              </w:rPr>
              <w:t>Net current-period other comprehensive</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(14)</w:t>
            </w:r>
          </w:p>
        </w:tc>
        <w:tc>
          <w:tcPr>
            <w:tcW w:w="12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w:t>
            </w: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120" w:type="dxa"/>
            <w:vAlign w:val="bottom"/>
            <w:vMerge w:val="restart"/>
            <w:shd w:val="clear" w:color="auto" w:fill="CFF0FC"/>
          </w:tcPr>
          <w:p>
            <w:pPr>
              <w:spacing w:after="0"/>
              <w:rPr>
                <w:sz w:val="10"/>
                <w:szCs w:val="10"/>
                <w:color w:val="auto"/>
              </w:rPr>
            </w:pPr>
          </w:p>
        </w:tc>
        <w:tc>
          <w:tcPr>
            <w:tcW w:w="700" w:type="dxa"/>
            <w:vAlign w:val="bottom"/>
            <w:tcBorders>
              <w:top w:val="single" w:sz="8" w:color="auto"/>
            </w:tcBorders>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31</w:t>
            </w:r>
          </w:p>
        </w:tc>
        <w:tc>
          <w:tcPr>
            <w:tcW w:w="100" w:type="dxa"/>
            <w:vAlign w:val="bottom"/>
            <w:vMerge w:val="restart"/>
            <w:shd w:val="clear" w:color="auto" w:fill="CFF0FC"/>
          </w:tcPr>
          <w:p>
            <w:pPr>
              <w:spacing w:after="0"/>
              <w:rPr>
                <w:sz w:val="10"/>
                <w:szCs w:val="10"/>
                <w:color w:val="auto"/>
              </w:rPr>
            </w:pPr>
          </w:p>
        </w:tc>
        <w:tc>
          <w:tcPr>
            <w:tcW w:w="720" w:type="dxa"/>
            <w:vAlign w:val="bottom"/>
            <w:tcBorders>
              <w:top w:val="single" w:sz="8" w:color="auto"/>
            </w:tcBorders>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20</w:t>
            </w:r>
          </w:p>
        </w:tc>
        <w:tc>
          <w:tcPr>
            <w:tcW w:w="10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vMerge w:val="restart"/>
            <w:shd w:val="clear" w:color="auto" w:fill="CFF0FC"/>
          </w:tcPr>
          <w:p>
            <w:pPr>
              <w:spacing w:after="0"/>
              <w:rPr>
                <w:sz w:val="10"/>
                <w:szCs w:val="10"/>
                <w:color w:val="auto"/>
              </w:rPr>
            </w:pPr>
          </w:p>
        </w:tc>
        <w:tc>
          <w:tcPr>
            <w:tcW w:w="700" w:type="dxa"/>
            <w:vAlign w:val="bottom"/>
            <w:tcBorders>
              <w:top w:val="single" w:sz="8" w:color="auto"/>
            </w:tcBorders>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16</w:t>
            </w:r>
          </w:p>
        </w:tc>
        <w:tc>
          <w:tcPr>
            <w:tcW w:w="120" w:type="dxa"/>
            <w:vAlign w:val="bottom"/>
            <w:vMerge w:val="restart"/>
            <w:shd w:val="clear" w:color="auto" w:fill="CFF0FC"/>
          </w:tcPr>
          <w:p>
            <w:pPr>
              <w:spacing w:after="0"/>
              <w:rPr>
                <w:sz w:val="10"/>
                <w:szCs w:val="10"/>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0" w:type="dxa"/>
            <w:vAlign w:val="bottom"/>
          </w:tcPr>
          <w:p>
            <w:pPr>
              <w:spacing w:after="0"/>
              <w:rPr>
                <w:sz w:val="1"/>
                <w:szCs w:val="1"/>
                <w:color w:val="auto"/>
              </w:rPr>
            </w:pPr>
          </w:p>
        </w:tc>
      </w:tr>
      <w:tr>
        <w:trPr>
          <w:trHeight w:val="158"/>
        </w:trPr>
        <w:tc>
          <w:tcPr>
            <w:tcW w:w="300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2C2C2C"/>
              </w:rPr>
              <w:t>(loss)/income</w:t>
            </w: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2C2C2C"/>
              </w:rPr>
              <w:t>Balance at September 30, 2026 and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(691)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C2C2C"/>
              </w:rPr>
              <w:t>$</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C2C2C"/>
              </w:rPr>
              <w:t>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C2C2C"/>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(2,149)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(1,996)</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(2,833)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  (2,709)</w:t>
            </w:r>
          </w:p>
        </w:tc>
        <w:tc>
          <w:tcPr>
            <w:tcW w:w="0" w:type="dxa"/>
            <w:vAlign w:val="bottom"/>
          </w:tcPr>
          <w:p>
            <w:pPr>
              <w:spacing w:after="0"/>
              <w:rPr>
                <w:sz w:val="1"/>
                <w:szCs w:val="1"/>
                <w:color w:val="auto"/>
              </w:rPr>
            </w:pPr>
          </w:p>
        </w:tc>
      </w:tr>
      <w:tr>
        <w:trPr>
          <w:trHeight w:val="54"/>
        </w:trPr>
        <w:tc>
          <w:tcPr>
            <w:tcW w:w="3000" w:type="dxa"/>
            <w:vAlign w:val="bottom"/>
          </w:tcPr>
          <w:p>
            <w:pPr>
              <w:spacing w:after="0" w:line="48" w:lineRule="exact"/>
              <w:rPr>
                <w:sz w:val="20"/>
                <w:szCs w:val="20"/>
                <w:color w:val="auto"/>
              </w:rPr>
            </w:pPr>
            <w:r>
              <w:rPr>
                <w:rFonts w:ascii="Times New Roman" w:cs="Times New Roman" w:eastAsia="Times New Roman" w:hAnsi="Times New Roman"/>
                <w:sz w:val="5"/>
                <w:szCs w:val="5"/>
                <w:color w:val="2C2C2C"/>
              </w:rPr>
              <w:t>respectively</w:t>
            </w: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-334010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-334010</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-334010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-334010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-334010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-334010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-334010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-334010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-334010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C2C2C"/>
        </w:rPr>
        <w:t>Year-to-date activity:</w:t>
      </w:r>
    </w:p>
    <w:p>
      <w:pPr>
        <w:spacing w:after="0" w:line="4"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4"/>
          <w:szCs w:val="14"/>
          <w:color w:val="2C2C2C"/>
        </w:rPr>
        <w:t>Balance at December 31, 2025 and 2024, respectively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2C2C2C"/>
        </w:rPr>
        <w:t>Other comprehensive (loss)/income before reclassifications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2C2C2C"/>
              </w:rPr>
              <w:t>$   (608)</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2C2C2C"/>
              </w:rPr>
              <w:t>$  (1,020)</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2C2C2C"/>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10</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2C2C2C"/>
              </w:rPr>
              <w:t>$</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(2,236)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(2,145)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(2,834)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  (3,158)</w:t>
            </w:r>
          </w:p>
        </w:tc>
      </w:tr>
      <w:tr>
        <w:trPr>
          <w:trHeight w:val="290"/>
        </w:trPr>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2C2C2C"/>
              </w:rPr>
              <w:t>(83)</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C2C2C"/>
              </w:rPr>
              <w:t>296</w:t>
            </w:r>
          </w:p>
        </w:tc>
        <w:tc>
          <w:tcPr>
            <w:tcW w:w="360" w:type="dxa"/>
            <w:vAlign w:val="bottom"/>
          </w:tcPr>
          <w:p>
            <w:pPr>
              <w:spacing w:after="0"/>
              <w:rPr>
                <w:sz w:val="24"/>
                <w:szCs w:val="24"/>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44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rPr>
              <w:t>7</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C2C2C"/>
              </w:rPr>
              <w:t>9</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C2C2C"/>
              </w:rPr>
              <w:t>93</w:t>
            </w:r>
          </w:p>
        </w:tc>
        <w:tc>
          <w:tcPr>
            <w:tcW w:w="340" w:type="dxa"/>
            <w:vAlign w:val="bottom"/>
          </w:tcPr>
          <w:p>
            <w:pPr>
              <w:spacing w:after="0"/>
              <w:rPr>
                <w:sz w:val="24"/>
                <w:szCs w:val="24"/>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6"/>
                <w:szCs w:val="16"/>
                <w:color w:val="2C2C2C"/>
              </w:rPr>
              <w:t>(1)</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2C2C2C"/>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-372110</wp:posOffset>
            </wp:positionV>
            <wp:extent cx="7132320" cy="1885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60" w:space="540"/>
            <w:col w:w="824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30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7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w:t>
            </w:r>
          </w:p>
        </w:tc>
        <w:tc>
          <w:tcPr>
            <w:tcW w:w="12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78</w:t>
            </w:r>
          </w:p>
        </w:tc>
        <w:tc>
          <w:tcPr>
            <w:tcW w:w="10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56</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76</w:t>
            </w:r>
          </w:p>
        </w:tc>
        <w:tc>
          <w:tcPr>
            <w:tcW w:w="12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53</w:t>
            </w:r>
          </w:p>
        </w:tc>
        <w:tc>
          <w:tcPr>
            <w:tcW w:w="0" w:type="dxa"/>
            <w:vAlign w:val="bottom"/>
          </w:tcPr>
          <w:p>
            <w:pPr>
              <w:spacing w:after="0"/>
              <w:rPr>
                <w:sz w:val="1"/>
                <w:szCs w:val="1"/>
                <w:color w:val="auto"/>
              </w:rPr>
            </w:pPr>
          </w:p>
        </w:tc>
      </w:tr>
      <w:tr>
        <w:trPr>
          <w:trHeight w:val="158"/>
        </w:trPr>
        <w:tc>
          <w:tcPr>
            <w:tcW w:w="300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2C2C2C"/>
              </w:rPr>
              <w:t>$25 and $18, respectively)</w:t>
            </w: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2C2C2C"/>
              </w:rPr>
              <w:t>Net other comprehensive (loss)/income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(83)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C2C2C"/>
              </w:rPr>
              <w:t>296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87</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149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449</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2C2C2C"/>
              </w:rPr>
              <w:t>Balance at September 30, 2026 and 2025,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(691)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(724)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2C2C2C"/>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2C2C2C"/>
              </w:rPr>
              <w:t>$</w:t>
            </w:r>
          </w:p>
        </w:tc>
        <w:tc>
          <w:tcPr>
            <w:tcW w:w="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(2,149)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(1,996)</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(2,833)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(2,709)</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bottom w:val="single" w:sz="8" w:color="CFF0FC"/>
            </w:tcBorders>
            <w:shd w:val="clear" w:color="auto" w:fill="CFF0FC"/>
          </w:tcPr>
          <w:p>
            <w:pPr>
              <w:spacing w:after="0" w:line="7" w:lineRule="exact"/>
              <w:rPr>
                <w:sz w:val="20"/>
                <w:szCs w:val="20"/>
                <w:color w:val="auto"/>
              </w:rPr>
            </w:pPr>
            <w:r>
              <w:rPr>
                <w:rFonts w:ascii="Times New Roman" w:cs="Times New Roman" w:eastAsia="Times New Roman" w:hAnsi="Times New Roman"/>
                <w:sz w:val="1"/>
                <w:szCs w:val="1"/>
                <w:color w:val="2C2C2C"/>
              </w:rPr>
              <w:t>respectively</w:t>
            </w:r>
          </w:p>
        </w:tc>
        <w:tc>
          <w:tcPr>
            <w:tcW w:w="74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5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44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bottom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bottom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-333375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-333375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-333375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-333375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-333375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-333375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-333375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-333375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-333375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-24765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-24765</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line="242"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Share-based Compensation</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compensation cost that has been recognized for the Company’s share-based compensation plans for the three and nine months ended September 30, 2026 was $70 million and $179 million, respectively, and $36 million and $104 million for the three and nine months ended September 30, 2025, respectively. Of these amounts, the portion recognized within transaction and program expenses on the condensed consolidated statements of comprehensive income was $21 million and $65 million for the three and nine months ended September 30, 2026, respectively, and was not material for the three and nine months ended September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a total of 692,000 shares were issued:</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shares (consisting entirely of RSA grants) related to our acquisition of Newfront;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467,000 shares issued under employee stock compensation plans representing:</w:t>
      </w:r>
    </w:p>
    <w:p>
      <w:pPr>
        <w:spacing w:after="0" w:line="117" w:lineRule="exact"/>
        <w:rPr>
          <w:sz w:val="20"/>
          <w:szCs w:val="20"/>
          <w:color w:val="auto"/>
        </w:rPr>
      </w:pPr>
    </w:p>
    <w:p>
      <w:pPr>
        <w:ind w:left="1540" w:hanging="514"/>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shares issued under non-qualified plans;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 shares issued under our Employee Share Purchase Plan; and</w:t>
      </w:r>
    </w:p>
    <w:p>
      <w:pPr>
        <w:spacing w:after="0" w:line="117"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342,000 shares consisting of 569,000 vested RSUs of which 227,000 were not issued due to net settlements and retirement eligibility provisions.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Additionally, during the nine months ended September 30, 2026, 1,129,000 RSUs were granted, including 187,000 RSUs as a result of the Newfront acquisition. See Note 3 — Acquisitions and Divestitures for more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19 — Earnings Per Share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September 30, 2026 and 2025, there were approximately 953,000 and 643,000 restricted performance-based stock units outstanding, respectively, and approximately 608,000 and 306,000 restricted time-based stock units outstanding, respectively. In addition, at September 30, 2026, there were approximately 225,000 restricted stock awards outstanding. The Company had no time-based share options or performance-based share options outstanding at September 30, 2026 and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4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r>
      <w:tr>
        <w:trPr>
          <w:trHeight w:val="197"/>
        </w:trPr>
        <w:tc>
          <w:tcPr>
            <w:tcW w:w="446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9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8.74</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-1165225</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-1148080</wp:posOffset>
            </wp:positionV>
            <wp:extent cx="857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-1165225</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-1148080</wp:posOffset>
            </wp:positionV>
            <wp:extent cx="857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-1165225</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857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approximately 233,000 restricted stock units were not included in the computation of the dilutive effect of potentially issuable shares because their effect was anti-dilutive; for the nine months ended September 30, 2025, approximately 89,000 restricted stock units were not included in the computation of the dilutive effect of potentially issuable shares because their effect was anti-dilutive. There were no anti-dilutive restricted stock units for the three months ended September 30, 2026 and 2025. There were no anti-dilutive options for the three and nine months ended September 30, 2026 and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3,528</w:t>
            </w:r>
          </w:p>
        </w:tc>
      </w:tr>
      <w:tr>
        <w:trPr>
          <w:trHeight w:val="209"/>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5,356</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5,423</w:t>
            </w:r>
          </w:p>
        </w:tc>
      </w:tr>
      <w:tr>
        <w:trPr>
          <w:trHeight w:val="20"/>
        </w:trPr>
        <w:tc>
          <w:tcPr>
            <w:tcW w:w="5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3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cash, cash equivalents and other restricted cash</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fiduciary funds</w:t>
            </w:r>
          </w:p>
        </w:tc>
        <w:tc>
          <w:tcPr>
            <w:tcW w:w="2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289</w:t>
            </w:r>
          </w:p>
        </w:tc>
      </w:tr>
      <w:tr>
        <w:trPr>
          <w:trHeight w:val="209"/>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5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3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95"/>
        </w:trPr>
        <w:tc>
          <w:tcPr>
            <w:tcW w:w="5340" w:type="dxa"/>
            <w:vAlign w:val="bottom"/>
            <w:shd w:val="clear" w:color="auto" w:fill="CFF0FC"/>
          </w:tcPr>
          <w:p>
            <w:pPr>
              <w:spacing w:after="0"/>
              <w:rPr>
                <w:sz w:val="8"/>
                <w:szCs w:val="8"/>
                <w:color w:val="auto"/>
              </w:rPr>
            </w:pPr>
          </w:p>
        </w:tc>
        <w:tc>
          <w:tcPr>
            <w:tcW w:w="2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Newfront ordinary shares issued</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 related to acquisitions</w:t>
            </w:r>
          </w:p>
        </w:tc>
        <w:tc>
          <w:tcPr>
            <w:tcW w:w="27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607"/>
        </w:trPr>
        <w:tc>
          <w:tcPr>
            <w:tcW w:w="5340" w:type="dxa"/>
            <w:vAlign w:val="bottom"/>
          </w:tcPr>
          <w:p>
            <w:pPr>
              <w:spacing w:after="0"/>
              <w:rPr>
                <w:sz w:val="24"/>
                <w:szCs w:val="24"/>
                <w:color w:val="auto"/>
              </w:rPr>
            </w:pPr>
          </w:p>
        </w:tc>
        <w:tc>
          <w:tcPr>
            <w:tcW w:w="270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-2245360</wp:posOffset>
            </wp:positionV>
            <wp:extent cx="1111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-1662430</wp:posOffset>
            </wp:positionV>
            <wp:extent cx="1111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Market Conditions on Our Business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advisory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At the time of filing this Quarterly Report, market conditions continue to soften, with the exception of U.S. Casualty and a few specialty product lines.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various geographical economies which we serve around the world, insurance rate movements, and insurance and reinsurance buying patterns of our clients.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markets for our advisory, technology and solutions, and marketplace services are affected by economic, regulatory and legislative changes, technological developments, and increased competition from established and new competitors. We believe that the primary factors in selecting a company with expertise in human resources or risk management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including evolving technology and artificial intelligence (‘AI’) solutions, for both internal operations and for maintaining industry standards and meeting client preferences (see the discussion of our artificial intelligence acceleration plan under ‘AI Acceleration Plan’ below and in Note 6 — AI Acceleration Plan within Part I, Item 1 ‘Financial Statements,’). We have made such investments from time to time and may decide, based on perceived business needs, to make investments in the future that may be different from past practice or our current expectations.</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role of health care coverage in recruiting/retaining employees and transitioning employees to retirement, the availability of price competitive individual insurance policies, the array of coverage choices available through the exchange provider and its ability to deliver measurable cost savings for corporate clients, and to both execute efficiently and deliver high quality service. Since the individual insurance market for Medicare policies is well-established and a significant portion of corporate employers have already implemented an exchange for their Medicare retirees, growth in this population segment will be derived from public employers and educational and other not-for-profit institutions. This growth may be more episodic in nature. Growth in other population segments is likely to remain low unless a more competitive individual insurance market emerges for these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changes in U.S.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spacing w:after="0" w:line="269" w:lineRule="auto"/>
        <w:rPr>
          <w:sz w:val="20"/>
          <w:szCs w:val="20"/>
          <w:color w:val="auto"/>
        </w:rPr>
      </w:pPr>
      <w:r>
        <w:rPr>
          <w:rFonts w:ascii="Times New Roman" w:cs="Times New Roman" w:eastAsia="Times New Roman" w:hAnsi="Times New Roman"/>
          <w:sz w:val="17"/>
          <w:szCs w:val="17"/>
          <w:color w:val="auto"/>
        </w:rPr>
        <w:t>policies across a broad range of areas and the speed with which such changes are or may be implemented, and the geopolitical conflicts and tensions in Russia, Ukraine and the Middle East creating or exacerbating those conditions, while also experiencing rapid development of evolving AI technologies driving growth and market performance for many industries. Although the length and impact of these situations are highly 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 the continuing dynamic tariff environment on our business (which we do not expect to be significant, so long as retaliatory actions do not extend to services), the global tariff landscape continues to fluctuate, creating uncertainty for the business. This uncertainty may be exacerbated by U.S. legislation and other U.S. federal government actions, including the recent decision of the U.S. Supreme Court striking down tariffs imposed under the International Emergency Economic Powers Act. Additionally, indirect impacts from changes in tariffs and other legislative or regulatory developments, such as changes in consumer sentiment, trade relations, economic activity, disruption of U.S. federal government operations, willingness to do business with U.S.-listed firms, inflationary pressures and employee distraction, among others, could also negatively affect our business, operations and financial condition.</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general economic conditions, including inflation, stagflation, political volatility, supply chain disruptions,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35"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25, 2026, and updated in this Quarterly Report on Form 10-Q for a discussion of risks that may affect, among other things, our growth relative to expectation and our ability to achieve our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 Acceleration Plan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28, 2026, the Board of Directors of WTW approved and authorized management to execute Propel, an artificial intelligence (‘AI’) acceleration plan (the ‘Plan’). The Plan will extend through December 31, 2028, and embed AI and automation across the enterprise. Supported by the Company's ongoing investments in AI, data and technology, including the acquisition of Newfront, the Plan is expected to enhance client service and create additional opportunities for growth as well as streamline core operating processes. The Company expects to generate approximately $400 million in annual cost savings and, after reinvesting approximately $50 million to support growth initiatives, to deliver approximately $350 million in net annual cost savings by the end of 2028. Approximately $625 million of cash costs are expected to be incurred as well as approximately $25 million in non-cash charges through the end of 2028 in connection with the Plan, with the cash costs consisting principally of process automation and organizational transition costs, including process and organizational design costs, severance and separation-related costs and temporary retention costs, as well as costs associated with implementing AI systems and related technologies, including technology implementation, integration and certain contractor and vendor contract termination costs. An immaterial portion of these costs is expected to be capitalized.</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Plan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condensed consolidated statements of comprehensive income. From commencement of the Plan to September 30, 2026, restructuring charges under the Plan totaled $14 million. Other costs incurred under the Plan are included in transaction and program expenses in the condensed consolidated statements of comprehensive income and were $7 million for the three months ended September 30,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some of the risks associated with the Plan, see Part II, Item 1A ‘Risk Factors’ in this Quarterly Report on Form 10-Q.</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r>
      <w:tr>
        <w:trPr>
          <w:trHeight w:val="155"/>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3"/>
                <w:szCs w:val="13"/>
                <w:color w:val="auto"/>
              </w:rPr>
            </w:pPr>
          </w:p>
        </w:tc>
      </w:tr>
      <w:tr>
        <w:trPr>
          <w:trHeight w:val="142"/>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 except</w:t>
            </w: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7,338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6,772</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1,413</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6,097</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5,554</w:t>
            </w:r>
          </w:p>
        </w:tc>
        <w:tc>
          <w:tcPr>
            <w:tcW w:w="1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r>
      <w:tr>
        <w:trPr>
          <w:trHeight w:val="216"/>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AND INTEREST IN EARNINGS OF</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4"/>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ASSOCIATES</w:t>
            </w: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8.76</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-2699385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-2699385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-2699385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-2699385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-1584960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-1584960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-1584960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-1584960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-187960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September 30, 2026 was $2.5 billion, compared to $2.3 billion for the three months ended September 30, 2025, an increase of $172 million, or 8%, on an as-reported basis. Adjusting for the impacts of foreign currency and acquisitions and disposals, our organic revenue growth was 4% for the three months ended September 30, 2026. Revenue for the nine months ended September 30, 2026 was $7.3 billion, compared to $6.8 billion for the nine months ended September 30, 2025, an increase of $566 million, or 8%, on an as-reported basis. Adjusting for the impacts of foreign currency and acquisitions and disposals, our organic revenue growth was 4% for the nine months ended September 30, 2026. For additional information, please see the section entitled ‘Segment Revenue and Segment Operating Income’ elsewhere within Part I, Item 2 of this Quarterly Report on Form 10-Q.</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September 30, 2026, currency translation decreased our as-reported consolidated revenue by $1 million. The primary currency driving this change was the Euro. For the nine months ended September 30, 2026, currency translation increased our consolidated revenue by $120 million. The primary currencies driving this change were the Euro and Pound Sterling.</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nine months ended September 30, 2026. These figures do not represent the currency of the related revenue, which is presented in the next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7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7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7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08"/>
        </w:trPr>
        <w:tc>
          <w:tcPr>
            <w:tcW w:w="3380" w:type="dxa"/>
            <w:vAlign w:val="bottom"/>
          </w:tcPr>
          <w:p>
            <w:pPr>
              <w:spacing w:after="0"/>
              <w:rPr>
                <w:sz w:val="24"/>
                <w:szCs w:val="24"/>
                <w:color w:val="auto"/>
              </w:rPr>
            </w:pPr>
          </w:p>
        </w:tc>
        <w:tc>
          <w:tcPr>
            <w:tcW w:w="560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nine months ended September 30, 2026.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80" w:hanging="272"/>
        <w:spacing w:after="0" w:line="261"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w:t>
      </w:r>
    </w:p>
    <w:p>
      <w:pPr>
        <w:spacing w:after="0" w:line="11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nine months ended September 30, 2026 and 2025, and the components of the change in total revenue for the three and nine months ended September 30, 2026, as compared to the prior-year period. The components of the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2,460</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2,288</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426"/>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bottom w:val="single" w:sz="8" w:color="CFF0FC"/>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7,338</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6,772</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-899795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-882650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-899795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-882650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-25400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768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2026.</w:t>
      </w:r>
    </w:p>
    <w:p>
      <w:pPr>
        <w:spacing w:after="0" w:line="1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Part I,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Operating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25, 2026.</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and (ii) certain transaction and program expenses, and includes certain expense amounts which may be determined on both a direct and allocated basis. See Note 5 – Segment Information within Part I, Item 1 ‘Financial Statements’ of this Quarterly Report on Form 10-Q for more information about how our segment revenue and segment operating income are calculated and for a reconciliation to our U.S. GAAP results.</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(‘BD&amp;O’), the segment is focused on addressing our clients’ people and risk needs to help them succeed in a global marketplace.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September 30, 2026 and 2025, and the components of the change in revenue for the three months ended September 30, 2026 from the three months ended September 30,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1,343</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1,350</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116"/>
        </w:trPr>
        <w:tc>
          <w:tcPr>
            <w:tcW w:w="25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HWC segment revenue for the three months ended September 30, 2026 and 2025 was $1.4 billion and $1.3 billion, respectively. Health delivered organic revenue growth with positive contributions from all regions, driven by new business and strong renewals. Wealth generated organic revenue growth supported by the strength of Retirement work outside of North America and new client wins. Career organic revenue growth was primarily driven by higher compensation survey sales and a return to typical timing for compensation survey delivery, along with increased communications project work. BD&amp;O organic revenue declined, with growth from new client wins, project work and regulatory-driven activity in Outsourcing being more than offset by lower commissions in Individual Marketplace.</w:t>
      </w:r>
    </w:p>
    <w:p>
      <w:pPr>
        <w:spacing w:after="0" w:line="1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three months ended September 30, 2026 and 2025 was $398 million and $361 million, respectively. HWC segment operating income increased primarily due to improved operating leverage and expense discipline.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nine months ended September 30, 2026 and 2025 and the components of the change in revenue for the nine months ended September 30, 2026 from the nine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3,863</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3,584</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3,885</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3,606</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116"/>
        </w:trPr>
        <w:tc>
          <w:tcPr>
            <w:tcW w:w="25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HWC segment revenue for the nine months ended September 30, 2026 and 2025 was $3.9 billion and $3.6 billion, respectively. Health revenue increased on an organic basis, supported by growth across all regions, with International leading the overall performance. Wealth generated organic revenue growth supported by higher levels of Retirement work across all regions, alongside growth in the Investments business. Career revenue increased on an organic basis principally driven by higher compensation survey sales and the timing of survey delivery, along with regulatory driven project work. BD&amp;O revenue declined on an organic basis as expected due to expanded project work, regulatory-driven activity and new administration engagements in Outsourcing being more than offset by lower commissions in Individual Marketplace.</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nine months ended September 30, 2026 and 2025 was $1.1 billion and $952 million, respectively. HWC segment operating income increased primarily due to improved operating leverage and expense discipline.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September 30, 2026 and 2025, and the components of the change in revenue for the three months ended September 30, 2026 from the three months ended September 30,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1,061</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1,087</w:t>
            </w:r>
          </w:p>
        </w:tc>
        <w:tc>
          <w:tcPr>
            <w:tcW w:w="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R&amp;B segment revenue for the three months ended September 30, 2026 and 2025 was $1.1 billion and $1.0 billion, respectively. Corporate Risk &amp; Broking had organic revenue growth driven by strong new business activity in North America and International, along with higher book-of-business settlement activity, partially offset by a strong prior-year comparable that included revenue recognized from multi-year project-based placements within the global specialty businesses. Insurance Consulting and Technology delivered organic revenue growth primarily from strong software sales in the Technology practice, partially offset by lower Consulting revenue.</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R&amp;B segment operating income for the three months ended September 30, 2026 and 2025 was $216 million and $189 million, respectively. R&amp;B segment operating income increased primarily due to higher book-of-business settlement activity alongside disciplined expense management.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nine months ended September 30, 2026 and 2025 and the components of the change in revenue for the nine months ended September 30, 2026 from the nine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3,292</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3,367</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3,081</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-325120</wp:posOffset>
            </wp:positionV>
            <wp:extent cx="768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-307975</wp:posOffset>
            </wp:positionV>
            <wp:extent cx="768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R&amp;B segment revenue for the nine months ended September 30, 2026 and 2025 was $3.4 billion and $3.1 billion, respectively. Corporate Risk &amp; Broking had organic revenue growth driven by new business activity and strong client retention globally. Insurance Consulting and Technology delivered organic revenue growth primarily from strong software sales in the Technology practice.</w:t>
      </w:r>
    </w:p>
    <w:p>
      <w:pPr>
        <w:spacing w:after="0" w:line="12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R&amp;B segment operating income for the nine months ended September 30, 2026 and 2025 was $726 million and $637 million, respectively. R&amp;B segment operating income increased primarily due to operating leverage, the impact of foreign exchange and book-of-business settlement activity.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September 30, 2026 were $2.0 billion, compared to $1.9 billion for the three months ended September 30, 2025, an increase of $161 million, or 9%. Total costs of providing services for the nine months ended September 30, 2026 were $6.1 billion, compared to $5.6 billion for the nine months ended September 30, 2025, an increase of $543 million, or 10%. See the following discussion for further details.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Salaries and benefits for the three months ended September 30, 2026 were $1.5 billion, compared to $1.4 billion for the three months ended September 30, 2025, an increase of $94 million, or 7%. Approximately one-half of this increase resulted from the acquisitions of Newfront and Cushon, and the remaining increase in the current-year period is primarily due to higher salary expense, driven by annual salary increases, and increased incentive costs. Salaries and benefits, as a percentage of revenue, represented 61% and 62% for the three months ended September 30, 2026 and 2025, respectively.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Salaries and benefits for the nine months ended September 30, 2026 were $4.5 billion, compared to $4.2 billion for the nine months ended September 30, 2025, an increase of $306 million, or 7%. Over one-third of this increase resulted from the acquisitions of Newfront and Cushon. The remaining increase in the current year is primarily due to higher salary expense, driven by annual salary increases, increased incentive costs and higher benefit costs, primarily medical expenses. Salaries and benefits, as a percentage of revenue, represented 61% and 62% for the nine months ended September 30, 2026 and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three months ended September 30, 2026 were $354 million, compared to $352 million for the three months ended September 30, 2025, an increase of $2 million. The increase was primarily due to increased local office expenses and higher professional services costs in the current-year period, partially offset by lower non-income-related tax expense in the current-year period as compared to the prior-year period. Additionally, during the three months ended September 30, 2026, the Company recognized a one-time gain of $13 million related to the sale of office buildings.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expenses for both the nine months ended September 30, 2026 and 2025 were $1.1 billion, an increase of $66 million or 6%. The increase was primarily due to higher professional services costs and increased local office expenses for the current year, partially offset by lower non-income-related tax expense in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for the three months ended September 30, 2026 was $55 million, compared to $56 million for the three months ended September 30, 2025, a decrease of $1 million. Depreciation for the nine months ended September 30, 2026 was $166 million, compared to $167 million for the nine months ended September 30, 2025, a decrease of $1 million. These decreases were primarily due to a lower depreciable base of assets resulting from disposals in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Amortization for the three months ended September 30, 2026 was $59 million, compared to $47 million for the three months ended September 30, 2025, an increase of $12 million, or 26%. Amortization for the nine months ended September 30, 2026 was $162 million, compared to $144 million for the nine months ended September 30, 2025, an increase of $18 million, or 13%. Our intangible amortization is generally more heavily weighted to the initial years of the useful lives of the related intangibles, and therefore amortization related to intangible assets will begin to increase over time as a result of our recent acquisitions.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months ended September 30, 2026 were $14 million and consisted of costs associated with the Company’s recently-commenced Propel AI Acceleration Plan (see Note 6 — AI Acceleration Plan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Program Expenses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Transaction and program expenses for the three and nine months ended September 30, 2026 were $42 million and $144 million, respectively, and primarily included incremental share-based compensation and transaction-related costs attributable to our Newfront and Cushon acquisitions completed during the first half of 2026, and costs associated with our Propel AI Acceleration Plan. See Note 3 — Acquisitions and Divestitures, Note 6 — AI Acceleration Plan and Note 18 — Share-based Compensation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months ended September 30, 2026 was $429 million, compared to $418 million for the three months ended September 30, 2025, an increase of $11 million. Income from operations for both the nine months ended September 30, 2026 and 2025 was $1.2 billion, an increase of $23 million. These increases resulted primarily from higher revenue and lower non-income-related tax expense, partially offset by increased salary expense and incentive costs, transaction and program expenses, restructuring costs, local office expenses and professional services costs in the current 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2026 was $80 million, compared to $65 million for the three months ended September 30, 2025, an increase of $15 million, or 23%. Interest expense for the nine months ended September 30, 2026 was $235 million as compared to $194 million for the nine months ended September 30, 2025, an increase of $41 million or 21%. These increases were primarily due to new senior notes issued by the Company during the fourth quarter of 2025 and interest expense associated with the current-year drawdowns of our $775 million delayed draw term loan (the ‘DDTL’).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Income/(Loss), Net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income/(loss), net for the three months ended September 30, 2026 was income of $52 million, compared to $37 million for the three months ended September 30, 2025, an increase of $15 million. The increase was due primarily to a higher gain on disposals, attributable to a revaluation gain related to an acquisition completed in stages in the current-year period (see Note 3 — Acquisitions and Divestitures in Part I, Item 1 ‘Financial Statements’ in this Quarterly Report on Form 10-Q) and higher pension income in the current-year period.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income/(loss), net for the nine months ended September 30, 2026 was income of $63 million, compared to a loss of $18 million for the nine months ended September 30, 2025, an increase of $81 million. The increase was due primarily to higher pension income, which resulted from the absence of a significant non-recurring pension settlement cost recognized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2026 was $79 million, compared to $77 million for the three months ended September 30, 2025, an increase of $2 million. The effective tax rate was 19.5% for the three months ended September 30, 2026, and 19.7% for the three months ended September 30, 2025. Provision for income taxes for the nine months ended September 30, 2026 was $206 million, compared to $121 million for the nine months ended September 20, 2025, an increase of $85 million. The effective tax rate was 19.3% for the nine months ended September 30, 2026 and 12.0% for the nine months ended September 30, 2025. These effective tax rates are calculated using extended values from our condensed consolidated statements of comprehensive income and are therefore more precise tax rates than can be calculated from rounded values. The effective tax rate for the nine months ended September 30, 2025 was lower due to favorable discrete tax items, primarily related to provision-to-tax return adjustments.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income attributable to WTW for the three months ended September 30, 2026 was $303 million, compared to $304 million for the three months ended September 30, 2025, a decrease of $1 million. Results were flat for the quarters as improvements in income from operations and other income/(loss), net in the current quarter, were offset by increases in interest expense and losses in interest in earnings of associates.</w:t>
      </w:r>
    </w:p>
    <w:p>
      <w:pPr>
        <w:spacing w:after="0" w:line="12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Net income attributable to WTW for the nine months ended September 30, 2026 was $829 million, compared to $870 million for the nine months ended September 30, 2025, a decrease of $41 million, or 5%. This decrease resulted primarily from increases in salary expense and incentive costs, income tax, interest expense, transaction and program expenses, restructuring costs, local office expenses and professional services costs in the current year, partially offset by higher revenue and pension income and lower non-income-related tax expense this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amounts available under our revolving credit facility, the DDTL and any new debt offerings.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the Company has access to sufficient liquidity to meet our cash needs for the next twelve months. Including our cash generated from operations, our liquidity also includes all of the borrowing capacity available to draw against our $1.5 billion revolving credit facility. During the nine months ended September 30, 2026, we used the net proceeds from our December 2025 $1.0 billion senior notes offering, after deducting underwriter discounts and commissions and estimated offering expenses, to pay the consideration, and related fees, costs and expenses, for our acquisition of Newfront Insurance Holdings, Inc. (‘Newfront’), which was completed 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ind w:right="240"/>
        <w:spacing w:after="0" w:line="266" w:lineRule="auto"/>
        <w:rPr>
          <w:sz w:val="20"/>
          <w:szCs w:val="20"/>
          <w:color w:val="auto"/>
        </w:rPr>
      </w:pPr>
      <w:r>
        <w:rPr>
          <w:rFonts w:ascii="Times New Roman" w:cs="Times New Roman" w:eastAsia="Times New Roman" w:hAnsi="Times New Roman"/>
          <w:sz w:val="18"/>
          <w:szCs w:val="18"/>
          <w:color w:val="auto"/>
        </w:rPr>
        <w:t>January 27, 2026. In addition, we used borrowings against our $775 million DDTL, along with cash on hand, to repay in full the $550 million aggregate principal amount of the 4.400% senior notes due 2026 and related accrued interest and to fund our Cushon acquisition (see Note 3 — Acquisitions and Divestitures and Note 10 — Debt within Part I, Item 1 ‘Financial Statements’ of this Quarterly Report on Form 10-Q).</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respect to Willis Re, we have an option to acquire a controlling interest in the joint venture in the future. Given the funding needs of a start-up venture, we expect to make certain capital contributions from time to time resulting in a reduction to earnings until such time as the joint venture generates sufficient revenue to be profitable. In connection with Willis Re’s entry into a definitive purchase agreement through a newly created subsidiary to acquire the U.S. reinsurance business of independent broker BMS Group, the Company is obligated to fund approximately $102 million to Willis Re at the completion of the transaction (see Note 14 — Commitments and Contingencies within Part I, Item 1 ‘Financial Statements’ of this Quarterly Report on Form 10-Q).</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$970 million of our outstanding shares and have authorization to repurchase an additional $1.8 billion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the Company has not provided for deferred taxes on outside basis differences in our investments, as these outside basis differences can either be repatriated in a nontaxable manner or are considered permanently reinvested.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September 30, 2026 totaled $1.9 billion, compared to $3.1 billion at December 31, 2025. The significant change in cash from December 31, 2025 to September 30, 2026 was attributable to cash outflows of $1.1 billion primarily associated with our Newfront and Cushon acquisitions, $970 million of share repurchases and $267 million of dividend payments, partially offset by $1.2 billion of cash inflows from operating activities.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Additionally, at September 30, 2026 and December 31, 2025, we had all of the borrowing capacity available to draw against our $1.5 billion revolving credit facility.</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September 30, 2026 and December 31, 2025 are amounts held for regulatory capital adequacy requirements, including $93 million and $105 million, respectively, within our regulated U.K. entities.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nine months ended September 30,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center"/>
              <w:ind w:right="66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1,213</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171"/>
        </w:trPr>
        <w:tc>
          <w:tcPr>
            <w:tcW w:w="7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(DECREASE)/INCREASE IN CASH, CASH EQUIVALENTS AND RESTRICTED</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54"/>
        </w:trPr>
        <w:tc>
          <w:tcPr>
            <w:tcW w:w="7940" w:type="dxa"/>
            <w:vAlign w:val="bottom"/>
            <w:shd w:val="clear" w:color="auto" w:fill="CCEEFF"/>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9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6,487</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r>
      <w:tr>
        <w:trPr>
          <w:trHeight w:val="209"/>
        </w:trPr>
        <w:tc>
          <w:tcPr>
            <w:tcW w:w="79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5,356</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5,423</w:t>
            </w:r>
          </w:p>
        </w:tc>
      </w:tr>
      <w:tr>
        <w:trPr>
          <w:trHeight w:val="20"/>
        </w:trPr>
        <w:tc>
          <w:tcPr>
            <w:tcW w:w="7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jc w:val="both"/>
        <w:ind w:left="280" w:right="120" w:hanging="272"/>
        <w:spacing w:after="0" w:line="251"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20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1 ‘Financial Statements’ within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were $1.2 billion for the nine months ended September 30, 2026, compared to $1.0 billion for the nine months ended September 30, 2025. The $1.2 billion of net cash from operating activities for the nine months ended September 30, 2026 included net income of $843 million and $547 million of favorable non-cash adjustments, partially offset by unfavorable changes in operating assets and liabilities of $177 million. The increase was primarily driven by operating margin expansion.</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$1.0 billion of net cash from operating activities for the nine months ended September 30, 2025 included net income of $877 million and $556 million of favorable non-cash adjustments, partially offset by unfavorable changes in operating assets and liabilities of $429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Investing Activities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2026 were $1.3 billion as compared to cash flows from investing activities of $530 million for the nine months ended September 30, 2025. The cash flows used in investing activities in the current year were primarily driven by the acquisitions of Newfront and Cushon, as well as capital expenditures, including software additions, and contributions made by the Company to its investments in associates, partially offset by proceeds received from the sale of buildings and related improvements. The cash flows from investing activities in the prior year consisted primarily of net proceeds from sales of operations resulting from divestitures that occurred in prior years. These inflows were partially offset by capital expenditures, including software additions, our net purchases of held-to-maturity and available-for-sale securities and cash and fiduciary fund transfers.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2026 were $1.0 billion. The significant financing activities included share repurchases of $970 million, repayments of debt of $552 million and dividend payments of $267 million, partially offset by net borrowings of other debt of $771 million and net proceeds from fiduciary funds held for clients of $52 million.</w:t>
      </w:r>
    </w:p>
    <w:p>
      <w:pPr>
        <w:spacing w:after="0" w:line="122"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2025 were $1.3 billion. The significant financing activities included share repurchases of $1.3 billion and dividend payments of $269 million, partially offset by net proceeds from fiduciary funds held for clients of $343 million.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September 30, 2026 and December 31, 2025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144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5,783</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5,756</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550</w:t>
            </w:r>
          </w:p>
        </w:tc>
      </w:tr>
      <w:tr>
        <w:trPr>
          <w:trHeight w:val="24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6,532</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6,306</w:t>
            </w:r>
          </w:p>
        </w:tc>
      </w:tr>
      <w:tr>
        <w:trPr>
          <w:trHeight w:val="197"/>
        </w:trPr>
        <w:tc>
          <w:tcPr>
            <w:tcW w:w="76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7,764</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7,976</w:t>
            </w:r>
          </w:p>
        </w:tc>
      </w:tr>
      <w:tr>
        <w:trPr>
          <w:trHeight w:val="197"/>
        </w:trPr>
        <w:tc>
          <w:tcPr>
            <w:tcW w:w="76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Capitalization ratio</w:t>
            </w:r>
          </w:p>
        </w:tc>
        <w:tc>
          <w:tcPr>
            <w:tcW w:w="20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-624840</wp:posOffset>
            </wp:positionV>
            <wp:extent cx="1111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1111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-325120</wp:posOffset>
            </wp:positionV>
            <wp:extent cx="1111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-307975</wp:posOffset>
            </wp:positionV>
            <wp:extent cx="11112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111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current and long-term debt, please see ‘Supplemental Guarantor Financial Information’ elsewhere within Part I, Item 2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we had fiduciary funds of $3.9 billion and $3.8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28, 2026, the board of directors approved a $1.5 billion increase to the existing share repurchase program and on September 16, 2025, approved a $1.5 billion increase to the existing share repurchase program. These increases brought the total approved authorization, since the announcement of the program on April 20, 2016, to $13.2 billion.</w:t>
      </w:r>
    </w:p>
    <w:p>
      <w:pPr>
        <w:spacing w:after="0" w:line="12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At September 30, 2026, approximately $1.8 billion remained on the current repurchase authority. The maximum number of shares that could be repurchased based on the closing price of our ordinary shares on September 30, 2026 of $288.23 was 6,320,621.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580" w:type="dxa"/>
            <w:vAlign w:val="bottom"/>
          </w:tcPr>
          <w:p>
            <w:pPr>
              <w:spacing w:after="0"/>
              <w:rPr>
                <w:sz w:val="15"/>
                <w:szCs w:val="15"/>
                <w:color w:val="auto"/>
              </w:rPr>
            </w:pPr>
          </w:p>
        </w:tc>
        <w:tc>
          <w:tcPr>
            <w:tcW w:w="18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687,386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3,435,294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$282.35</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 million</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 million</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capital expenditures for fixed assets and software were $178 million during the nine months ended September 30, 2026. The Company estimates that there will be additional such expenditures in the range of $50 million to $75 million during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ind w:right="480"/>
        <w:spacing w:after="0" w:line="313" w:lineRule="auto"/>
        <w:rPr>
          <w:sz w:val="20"/>
          <w:szCs w:val="20"/>
          <w:color w:val="auto"/>
        </w:rPr>
      </w:pPr>
      <w:r>
        <w:rPr>
          <w:rFonts w:ascii="Times New Roman" w:cs="Times New Roman" w:eastAsia="Times New Roman" w:hAnsi="Times New Roman"/>
          <w:sz w:val="18"/>
          <w:szCs w:val="18"/>
          <w:color w:val="auto"/>
        </w:rPr>
        <w:t>remainder of 2026. We currently expect cash from operations to adequately provide for these cash needs. There have been no material changes to our capital commitments since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cash dividends of $267 million were paid during the nine months ended September 30, 2026. In August 2026, the board of directors approved a quarterly cash dividend of $0.96 per share ($3.84 per share annualized rate), which was paid on October 15, 2026 to shareholders of record as of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WTW has issued the following debt securities (the ‘notes’):</w:t>
      </w:r>
    </w:p>
    <w:p>
      <w:pPr>
        <w:spacing w:after="0" w:line="117" w:lineRule="exact"/>
        <w:rPr>
          <w:sz w:val="20"/>
          <w:szCs w:val="20"/>
          <w:color w:val="auto"/>
        </w:rPr>
      </w:pPr>
    </w:p>
    <w:p>
      <w:pPr>
        <w:ind w:left="760" w:right="20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$5.5 billion senior notes outstanding, of which $1.0 billion were issued on September 10, 2018, $1.0 billion were issued on September 10, 2019, $275 million were issued on May 29, 2020, $750 million were issued on May 19, 2022, $750 million were issued on May 17, 2023, $750 million were issued on March 5, 2024 and $1.0 billion were issued on December 22, 2025, and has $775 million outstanding under a DDTL; and</w:t>
      </w:r>
    </w:p>
    <w:p>
      <w:pPr>
        <w:spacing w:after="0" w:line="71"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$275 million senior notes outstanding, which were issued on August 15, 2013, and a $1.5 billion revolving credit facility, on which no balance was outstanding at September 30, 2026.</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September 30, 2026. These subsidiaries are all consolidated by Willis Towers Watson plc (the ‘parent company’) and together with the parent company comprise the ‘Obligor group’.</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36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$1.5 billion revolving credit facility and any debt under the DDTL;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September 30, 2026 and December 31, 2025,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to the Obligor group. In addition, such non-guarantor subsidiaries may enter into contractual arrangements that limit their ability to pay dividends and make loans and advances to the Obligor group.</w:t>
      </w:r>
    </w:p>
    <w:p>
      <w:pPr>
        <w:spacing w:after="0" w:line="10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September 30, 2026 and December 31, 2025, the intercompany balances of the Obligor group with non-guarantor subsidiaries were net receivables of $1.9 billion at both periods presented, and net payables of $18.2 billion and $16.3 billion,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center"/>
              <w:ind w:right="1355"/>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10,163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7,733</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15,068</w:t>
            </w:r>
          </w:p>
        </w:tc>
      </w:tr>
      <w:tr>
        <w:trPr>
          <w:trHeight w:val="537"/>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7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and interest in earnings of associates </w:t>
            </w:r>
            <w:r>
              <w:rPr>
                <w:rFonts w:ascii="Times New Roman" w:cs="Times New Roman" w:eastAsia="Times New Roman" w:hAnsi="Times New Roman"/>
                <w:sz w:val="24"/>
                <w:szCs w:val="24"/>
                <w:color w:val="auto"/>
                <w:vertAlign w:val="superscript"/>
              </w:rPr>
              <w:t>(i)</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$399 million for the nine months ended September 30,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income/margin</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6520" w:type="dxa"/>
            <w:vAlign w:val="bottom"/>
            <w:shd w:val="clear" w:color="auto" w:fill="CFF0FC"/>
          </w:tcPr>
          <w:p>
            <w:pPr>
              <w:ind w:left="1020"/>
              <w:spacing w:after="0" w:line="198" w:lineRule="exact"/>
              <w:rPr>
                <w:sz w:val="20"/>
                <w:szCs w:val="20"/>
                <w:color w:val="auto"/>
              </w:rPr>
            </w:pPr>
            <w:r>
              <w:rPr>
                <w:rFonts w:ascii="Times New Roman" w:cs="Times New Roman" w:eastAsia="Times New Roman" w:hAnsi="Times New Roman"/>
                <w:sz w:val="18"/>
                <w:szCs w:val="18"/>
                <w:color w:val="auto"/>
              </w:rPr>
              <w:t>Adjusted income before taxes</w:t>
            </w: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6520" w:type="dxa"/>
            <w:vAlign w:val="bottom"/>
            <w:shd w:val="clear" w:color="auto" w:fill="CFF0FC"/>
          </w:tcPr>
          <w:p>
            <w:pPr>
              <w:spacing w:after="0"/>
              <w:rPr>
                <w:sz w:val="20"/>
                <w:szCs w:val="20"/>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5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ind w:right="120"/>
        <w:spacing w:after="0" w:line="26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72" w:lineRule="exact"/>
        <w:rPr>
          <w:sz w:val="20"/>
          <w:szCs w:val="20"/>
          <w:color w:val="auto"/>
        </w:rPr>
      </w:pPr>
    </w:p>
    <w:p>
      <w:pPr>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program expenses – Management believes it is appropriate to adjust for restructuring costs, significant acquisition-related transaction expenses, and program expenses, which include integration expenses pertaining to significant acquisitions and expenses associated with our Propel AI Acceleration Plan (see Note 6 — AI Acceleration Plan within Part I, Item 1 ‘Financial Statements’ of this Quarterly Report on Form 10-Q). We believe the adjustment is necessary to present how the Company is performing, both now and in the future when the incurrence of these costs will have concluded.</w:t>
      </w:r>
    </w:p>
    <w:p>
      <w:pPr>
        <w:spacing w:after="0" w:line="75"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adjustments – Adjustment to remove the gains or losses associated with earnout adjustments, including both fair value adjustments and interest accretion, and gains or losses associated with amounts that were estimated at the time of acquisition but for which the measurement period has ended.</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periodic pension and postretirement benefits – Adjustment to remove the recognition of net periodic pension and postretirement benefits (including pension settlements), other than service costs.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52" w:lineRule="exact"/>
        <w:rPr>
          <w:sz w:val="20"/>
          <w:szCs w:val="20"/>
          <w:color w:val="auto"/>
        </w:rPr>
      </w:pPr>
    </w:p>
    <w:p>
      <w:pPr>
        <w:ind w:left="760" w:right="60" w:hanging="378"/>
        <w:spacing w:after="0" w:line="25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4"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the as-reported change to the constant currency and organic changes for the three and nine months ended September 30, 2026 from the three and nine months ended September 30, 2025 are as follows. The components of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2,460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2,288</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736"/>
        </w:trPr>
        <w:tc>
          <w:tcPr>
            <w:tcW w:w="12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60" w:type="dxa"/>
            <w:vAlign w:val="bottom"/>
            <w:tcBorders>
              <w:top w:val="single" w:sz="8" w:color="CFF0FC"/>
            </w:tcBorders>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-1002030</wp:posOffset>
            </wp:positionV>
            <wp:extent cx="768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-985520</wp:posOffset>
            </wp:positionV>
            <wp:extent cx="768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-1002030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-985520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0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7,338</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6,772</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2026.</w:t>
      </w:r>
    </w:p>
    <w:p>
      <w:pPr>
        <w:spacing w:after="0" w:line="1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our as-reported revenue increased by $172 million, or 8% and our organic revenue grew by 4%. For the nine months ended September 30, 2026, our as-reported revenue increased by $566 million, or 8%, and our organic revenue grew by 4%. For additional information, please see the section entitled ‘Segment Revenue and Segment Operating Income’ elsewhere within Part I, Item 2 of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program expenses, acquisition-related adjustments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and nine months ended September 30, 2026 and 2025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1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429</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1,241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539</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467</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1,556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1,366</w:t>
            </w:r>
          </w:p>
        </w:tc>
      </w:tr>
      <w:tr>
        <w:trPr>
          <w:trHeight w:val="196"/>
        </w:trPr>
        <w:tc>
          <w:tcPr>
            <w:tcW w:w="566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-448310</wp:posOffset>
            </wp:positionV>
            <wp:extent cx="857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857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-448310</wp:posOffset>
            </wp:positionV>
            <wp:extent cx="857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-431165</wp:posOffset>
            </wp:positionV>
            <wp:extent cx="857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-448310</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-431165</wp:posOffset>
            </wp:positionV>
            <wp:extent cx="857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September 30, 2026 to $539 million, from $467 million for the three months ended September 30, 2025, and increased for the nine months ended September 30, 2026 to $1.6 billion from $1.4 billion for the nine months ended September 30, 2025. These increases resulted primarily from higher revenue and lower non-income-related tax expense, partially offset by increased salary expense and incentive costs, local office expenses and professional services costs in the current year. Additionally, during the three months ended September 30, 2026, the Company recognized a one-time gain of $13 million related to the sale of office buildings.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Adjusted EBITDA margin is calculated by dividing adjusted EBITDA by revenue.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and nine months ended September 30, 2026 and 2025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1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309</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306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843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577</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515</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1,695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1,517</w:t>
            </w:r>
          </w:p>
        </w:tc>
      </w:tr>
      <w:tr>
        <w:trPr>
          <w:trHeight w:val="197"/>
        </w:trPr>
        <w:tc>
          <w:tcPr>
            <w:tcW w:w="566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-448310</wp:posOffset>
            </wp:positionV>
            <wp:extent cx="857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-448310</wp:posOffset>
            </wp:positionV>
            <wp:extent cx="857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-431165</wp:posOffset>
            </wp:positionV>
            <wp:extent cx="857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-448310</wp:posOffset>
            </wp:positionV>
            <wp:extent cx="857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-431165</wp:posOffset>
            </wp:positionV>
            <wp:extent cx="857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was $577 million, compared to $515 million for the three months ended September 30, 2025, and was $1.7 billion for the nine months ended September 30, 2026, compared to $1.5 billion for the nine months ended September 30, 2025. These increases resulted primarily from higher revenue and lower non-income-related tax expense, partially offset by increased salary expense and incentive costs, local office expenses and professional services costs in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ind w:right="380"/>
        <w:spacing w:after="0" w:line="313"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and nine months ended September 30, 2026 and 2025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0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829</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1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339</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902</w:t>
            </w:r>
          </w:p>
        </w:tc>
      </w:tr>
      <w:tr>
        <w:trPr>
          <w:trHeight w:val="197"/>
        </w:trPr>
        <w:tc>
          <w:tcPr>
            <w:tcW w:w="472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4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8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8.76</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1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9.07</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-1979930</wp:posOffset>
            </wp:positionV>
            <wp:extent cx="857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-1962150</wp:posOffset>
            </wp:positionV>
            <wp:extent cx="85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-1979930</wp:posOffset>
            </wp:positionV>
            <wp:extent cx="857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-1962150</wp:posOffset>
            </wp:positionV>
            <wp:extent cx="85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-1979930</wp:posOffset>
            </wp:positionV>
            <wp:extent cx="8572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-1962150</wp:posOffset>
            </wp:positionV>
            <wp:extent cx="857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nine months ended September 30, 2026 as compared to the prior year due in part to a lower weighted-average outstanding share count due to our share repurchase activity over the last year. However the increase primarily resulted from higher revenue and lower non-income-related tax expense, partially offset by increased salary expense and incentive costs, local office expenses and professional services costs in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and interest in earnings of associates adjusted for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Adjusted income before taxes is used solely for the purpose of calculating the adjusted income tax rate.</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program expenses, gains and losses on disposals of operations, net periodic pension and postretirement benefits, acquisition-related adjustments,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ind w:right="380"/>
        <w:spacing w:after="0" w:line="282"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and interest in earnings of associates to adjusted income before taxes and provision for income taxes to adjusted income taxes for the three and nine months ended September 30, 2026 and 2025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1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56"/>
        </w:trPr>
        <w:tc>
          <w:tcPr>
            <w:tcW w:w="56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w:t>
            </w: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34"/>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INTEREST IN EARNINGS OF ASSOCIATES</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401</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390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1,069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and program expenses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456</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1,315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1,164</w:t>
            </w:r>
          </w:p>
        </w:tc>
      </w:tr>
      <w:tr>
        <w:trPr>
          <w:trHeight w:val="197"/>
        </w:trPr>
        <w:tc>
          <w:tcPr>
            <w:tcW w:w="566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6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740" w:type="dxa"/>
            <w:vAlign w:val="bottom"/>
          </w:tcPr>
          <w:p>
            <w:pPr>
              <w:spacing w:after="0"/>
              <w:rPr>
                <w:sz w:val="18"/>
                <w:szCs w:val="18"/>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GAAP tax rate</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-1156970</wp:posOffset>
            </wp:positionV>
            <wp:extent cx="857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-1139190</wp:posOffset>
            </wp:positionV>
            <wp:extent cx="857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857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857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-1156970</wp:posOffset>
            </wp:positionV>
            <wp:extent cx="8572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-1139190</wp:posOffset>
            </wp:positionV>
            <wp:extent cx="857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-582295</wp:posOffset>
            </wp:positionV>
            <wp:extent cx="857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-582295</wp:posOffset>
            </wp:positionV>
            <wp:extent cx="857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-582295</wp:posOffset>
            </wp:positionV>
            <wp:extent cx="857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 GAAP tax rates were 19.5% and 19.7% for the three months ended September 30, 2026 and 2025, respectively, and 19.3% and 12.0% for the nine months ended September 30 2026 and 2025, respectively. The effective tax rate for the nine months ended September 30, 2025 was lower due to favorable discrete tax items, primarily related to provision-to-tax return adjustments.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adjusted income tax rates were 21.9% and 22.4% for the three months ended September 30, 2026 and 2025, respectively, and 20.6% and 21.2% for the nine months ended September 30, 2026 and 2025, respectively. The current-year quarter’s adjusted tax rate is lower primarily due to the geographical distribution of profits.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net cash used to purchase fixed assets and software. Management believes that free cash flow presents the core operating performance and cash generating capabilities of our business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used in operating activities to free cash flow for the nine months ended September 30, 2026 and 2025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gridSpan w:val="3"/>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8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1,213</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Net additions to fixed assets and software</w:t>
            </w:r>
          </w:p>
        </w:tc>
        <w:tc>
          <w:tcPr>
            <w:tcW w:w="2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1,064</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2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was primarily driven by operating margin expansion. The period also included $29 million of cash proceeds from the disposal of buildings and related improvements.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2025, filed with the SEC on February 25, 2026.</w:t>
      </w:r>
    </w:p>
    <w:p>
      <w:pPr>
        <w:spacing w:after="0" w:line="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43" w:right="6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nine months ended September 30, 2026 and have determined that there have been no material changes to our exposure to market risks from those described in the Company’s Annual Report on Form 10-K for the year ended December 31, 2025, filed with the SEC on February 25, 2026. However, we have provided the following information to supplement or update our disclosures on our Form 10-K.</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Short-term rates in most major currencies continued to decrease in 2025 from end-of-2024 levels, with many central banks reducing rates throughout the period. Our interest income in 2025 reflected a combination of lower average interest rates over the course of 2025 offset with some increases in our invested cash balances. Through the third quarter of 2026, short-term rates have remained in line with expectations. Significant economic uncertainty prevails at this time, and the timing and magnitude of future central bank rate changes are uncertain. As to be expected, interest income in the future will be a function of the short-term rates we are able to obtain by currency and the cash balances available to invest. Interest income was $35 million and $108 million for the three and nine months ended September 30, 2026, respectively, and $42 million and $121 million for the three and nine months ended September 30, 2025, respectively. At September 30, 2026, we held $2.8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September 30, 2026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reasonable assurance of achieving their stated objectives, and the CEO and CFO have concluded that the disclosure controls and procedures are effective at a reasonable assurance level.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9"/>
          <w:szCs w:val="19"/>
          <w:color w:val="auto"/>
        </w:rPr>
        <w:t>xcept for the risk factor discussed below, t</w:t>
      </w:r>
      <w:r>
        <w:rPr>
          <w:rFonts w:ascii="Times New Roman" w:cs="Times New Roman" w:eastAsia="Times New Roman" w:hAnsi="Times New Roman"/>
          <w:sz w:val="18"/>
          <w:szCs w:val="18"/>
          <w:color w:val="auto"/>
        </w:rPr>
        <w:t>here are no material changes from risk factors as previously disclosed in our Annual Report on Form 10-K, filed with the SEC on February 25, 2026. We urge you to read the risk factors contained therein.</w:t>
      </w:r>
    </w:p>
    <w:p>
      <w:pPr>
        <w:spacing w:after="0" w:line="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artificial intelligence (‘AI’) acceleration plan (the ‘Plan’), or other activities we may from time to time undertake that impact our workforce, technology or processes could have adverse effects on the Company and may not achieve the intended benefits.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Plan, described in more detail in this Quarterly Report on Form 10-Q under Note 6 – AI Acceleration Plan within Part I, Item 1 ‘Financial Statements,’ and under ‘AI Acceleration Plan’ within Part I, Item 2 ‘Management’s Discussion and Analysis of Financial Condition and Results of Operations,’ may not be successful. Programs such as the Plan, or similar transformation activities we may undertake in the future impacting our workforce, technology or processes, create significant risks, including exacerbating risks to the Company as we discussed in our Risk Factors within Part I, Item 1A of our Annual Report on Form 10-K for the fiscal year ended December 31, 2025.</w:t>
      </w:r>
    </w:p>
    <w:p>
      <w:pPr>
        <w:spacing w:after="0" w:line="1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Among other things, the implementation of the Plan, as well as our regular ongoing transformation or cost reduction activities (including in connection with the integration of acquired businesses), may reduce or restructure some roles, adversely impact other resources, significantly change processes and/or distract our available human capital assets, which could slow the anticipated platform enhancements, technology optimization and improvements in our products and services, adversely affect our ability to effectively respond to clients, harm our ability to generate revenue growth and/or limit our ability to address client demands effectively, efficiently and on the desired timelines. Implementation of AI initiatives may not achieve planned benefits, further our strategic goals or strengthen our competitive position, and they can create significant operational risks, such as potential correlated errors and omission liability from AI not operating as intended, regulatory, privacy or other compliance exposures, intellectual property challenges, cyber-security exposures, operational resilience challenges from reliance on AI tools or vendors, and potential reputational damage. There can be no assurance that our intended governance processes will sufficiently mitigate risks, especially given the complexity and scale of the Plan and the limited time to implement. We also may not successfully manage human capital challenges and implement cultural changes needed to achieve the Plan goals, and retention or engagement of key employees could suffer as the Plan is implemented. In addition, delays in implementing planned actions or other productivity improvements, unexpected costs or other problems with planned initiatives, or failure to meet targeted improvements may diminish the operational or financial benefits we realize from such actions. Moreover, we can provide no assurance that we will realize the expected savings in the amounts or on the timeline currently anticipated. Any of the circumstances described above could adversely impact our business and results.</w:t>
      </w:r>
    </w:p>
    <w:p>
      <w:pPr>
        <w:spacing w:after="0" w:line="139" w:lineRule="exact"/>
        <w:rPr>
          <w:sz w:val="20"/>
          <w:szCs w:val="20"/>
          <w:color w:val="auto"/>
        </w:rPr>
      </w:pPr>
    </w:p>
    <w:p>
      <w:pPr>
        <w:ind w:right="4120"/>
        <w:spacing w:after="0" w:line="440"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Unregistered Sales of Equity Securities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no shares were issued by the Company without registration under the Securities Act of 1933, as amended. On May 20, 2026, in connection with the acquisition of Newfront, the Company issued an aggregate of 2,804.205 restricted stock units (‘RSUs’) to trusts established by certain key employees of Newfront, subject to further vesting and transfer restrictions. The securities were issued without registration in reliance on Section 4(a)(2) of the Securities Act as a sale by the Company not involving a public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28, 2026, the board of directors approved a $1.5 billion increase to the existing share repurchase program and on September 16, 2025, approved a $1.5 billion increase to the existing share repurchase program. These increases brought the total approved authorization, since the announcement of the program on April 20, 2016, to $13.2 billion.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third quarter of 2026 and the Company’s remaining repurchase authority.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Total 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Average price</w:t>
            </w:r>
          </w:p>
        </w:tc>
        <w:tc>
          <w:tcPr>
            <w:tcW w:w="12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paid per share</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2026 through July 31, 2026</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193,966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294.10</w:t>
            </w:r>
          </w:p>
        </w:tc>
        <w:tc>
          <w:tcPr>
            <w:tcW w:w="21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193,966</w:t>
            </w:r>
          </w:p>
        </w:tc>
        <w:tc>
          <w:tcPr>
            <w:tcW w:w="20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6,814,041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August 1, 2026 through August 31, 2026</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303,243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339.51</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303,243</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6,510,798</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2026 through September 30, 2026</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190,177</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315.50</w:t>
            </w:r>
          </w:p>
        </w:tc>
        <w:tc>
          <w:tcPr>
            <w:tcW w:w="1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190,177</w:t>
            </w:r>
          </w:p>
        </w:tc>
        <w:tc>
          <w:tcPr>
            <w:tcW w:w="20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6,320,621</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687,386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320.05</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687,386</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939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September 30, 2026 the maximum number of shares that may yet be purchased under the existing share repurchase plan is 6,320,621, with approximately $1.8 billion remaining on the current open-ended repurchase authority granted by the board. An estimate of the maximum number of shares under the existing authorities was determined using the closing price of our ordinary shares on September 30, 2026 of $288.23.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40" w:type="dxa"/>
            <w:vAlign w:val="bottom"/>
            <w:gridSpan w:val="10"/>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w:t>
            </w: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6840" w:type="dxa"/>
            <w:vAlign w:val="bottom"/>
            <w:gridSpan w:val="10"/>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shd w:val="clear" w:color="auto" w:fill="C3F3FF"/>
          </w:tcPr>
          <w:p>
            <w:pPr>
              <w:spacing w:after="0" w:line="169"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3F3FF"/>
          </w:tcPr>
          <w:p>
            <w:pPr>
              <w:spacing w:after="0"/>
              <w:rPr>
                <w:sz w:val="14"/>
                <w:szCs w:val="14"/>
                <w:color w:val="auto"/>
              </w:rPr>
            </w:pPr>
          </w:p>
        </w:tc>
        <w:tc>
          <w:tcPr>
            <w:tcW w:w="6840" w:type="dxa"/>
            <w:vAlign w:val="bottom"/>
            <w:gridSpan w:val="10"/>
            <w:shd w:val="clear" w:color="auto" w:fill="C3F3FF"/>
          </w:tcPr>
          <w:p>
            <w:pPr>
              <w:spacing w:after="0" w:line="169"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List of Issuers and Guarantor Subsidiaries.</w:t>
              </w:r>
            </w:hyperlink>
          </w:p>
        </w:tc>
        <w:tc>
          <w:tcPr>
            <w:tcW w:w="540" w:type="dxa"/>
            <w:vAlign w:val="bottom"/>
            <w:shd w:val="clear" w:color="auto" w:fill="C3F3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540" w:type="dxa"/>
            <w:vAlign w:val="bottom"/>
            <w:gridSpan w:val="2"/>
            <w:shd w:val="clear" w:color="auto" w:fill="C3F3FF"/>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3F3FF"/>
          </w:tcPr>
          <w:p>
            <w:pPr>
              <w:spacing w:after="0"/>
              <w:rPr>
                <w:sz w:val="14"/>
                <w:szCs w:val="14"/>
                <w:color w:val="auto"/>
              </w:rPr>
            </w:pPr>
          </w:p>
        </w:tc>
        <w:tc>
          <w:tcPr>
            <w:tcW w:w="1100" w:type="dxa"/>
            <w:vAlign w:val="bottom"/>
            <w:shd w:val="clear" w:color="auto" w:fill="C3F3FF"/>
          </w:tcPr>
          <w:p>
            <w:pPr>
              <w:jc w:val="center"/>
              <w:spacing w:after="0" w:line="169" w:lineRule="exact"/>
              <w:rPr>
                <w:sz w:val="20"/>
                <w:szCs w:val="20"/>
                <w:color w:val="auto"/>
              </w:rPr>
            </w:pPr>
            <w:r>
              <w:rPr>
                <w:rFonts w:ascii="Times New Roman" w:cs="Times New Roman" w:eastAsia="Times New Roman" w:hAnsi="Times New Roman"/>
                <w:sz w:val="17"/>
                <w:szCs w:val="17"/>
                <w:color w:val="auto"/>
                <w:w w:val="99"/>
              </w:rPr>
              <w:t>July 30, 2026</w:t>
            </w:r>
          </w:p>
        </w:tc>
        <w:tc>
          <w:tcPr>
            <w:tcW w:w="120" w:type="dxa"/>
            <w:vAlign w:val="bottom"/>
            <w:shd w:val="clear" w:color="auto" w:fill="C3F3FF"/>
          </w:tcPr>
          <w:p>
            <w:pPr>
              <w:spacing w:after="0"/>
              <w:rPr>
                <w:sz w:val="14"/>
                <w:szCs w:val="14"/>
                <w:color w:val="auto"/>
              </w:rPr>
            </w:pPr>
          </w:p>
        </w:tc>
        <w:tc>
          <w:tcPr>
            <w:tcW w:w="660" w:type="dxa"/>
            <w:vAlign w:val="bottom"/>
            <w:shd w:val="clear" w:color="auto" w:fill="C3F3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3060" w:type="dxa"/>
            <w:vAlign w:val="bottom"/>
            <w:tcBorders>
              <w:top w:val="single" w:sz="8" w:color="0000FF"/>
            </w:tcBorders>
            <w:shd w:val="clear" w:color="auto" w:fill="C3F3FF"/>
          </w:tcPr>
          <w:p>
            <w:pPr>
              <w:spacing w:after="0" w:line="20" w:lineRule="exact"/>
              <w:rPr>
                <w:sz w:val="1"/>
                <w:szCs w:val="1"/>
                <w:color w:val="auto"/>
              </w:rPr>
            </w:pPr>
          </w:p>
        </w:tc>
        <w:tc>
          <w:tcPr>
            <w:tcW w:w="40" w:type="dxa"/>
            <w:vAlign w:val="bottom"/>
            <w:tcBorders>
              <w:top w:val="single" w:sz="8" w:color="C3F3FF"/>
            </w:tcBorders>
            <w:shd w:val="clear" w:color="auto" w:fill="C3F3FF"/>
          </w:tcPr>
          <w:p>
            <w:pPr>
              <w:spacing w:after="0" w:line="20" w:lineRule="exact"/>
              <w:rPr>
                <w:sz w:val="1"/>
                <w:szCs w:val="1"/>
                <w:color w:val="auto"/>
              </w:rPr>
            </w:pPr>
          </w:p>
        </w:tc>
        <w:tc>
          <w:tcPr>
            <w:tcW w:w="360" w:type="dxa"/>
            <w:vAlign w:val="bottom"/>
            <w:tcBorders>
              <w:top w:val="single" w:sz="8" w:color="C3F3FF"/>
            </w:tcBorders>
            <w:shd w:val="clear" w:color="auto" w:fill="C3F3FF"/>
          </w:tcPr>
          <w:p>
            <w:pPr>
              <w:spacing w:after="0" w:line="20" w:lineRule="exact"/>
              <w:rPr>
                <w:sz w:val="1"/>
                <w:szCs w:val="1"/>
                <w:color w:val="auto"/>
              </w:rPr>
            </w:pPr>
          </w:p>
        </w:tc>
        <w:tc>
          <w:tcPr>
            <w:tcW w:w="340" w:type="dxa"/>
            <w:vAlign w:val="bottom"/>
            <w:tcBorders>
              <w:top w:val="single" w:sz="8" w:color="C3F3FF"/>
            </w:tcBorders>
            <w:shd w:val="clear" w:color="auto" w:fill="C3F3FF"/>
          </w:tcPr>
          <w:p>
            <w:pPr>
              <w:spacing w:after="0" w:line="20" w:lineRule="exact"/>
              <w:rPr>
                <w:sz w:val="1"/>
                <w:szCs w:val="1"/>
                <w:color w:val="auto"/>
              </w:rPr>
            </w:pPr>
          </w:p>
        </w:tc>
        <w:tc>
          <w:tcPr>
            <w:tcW w:w="2560" w:type="dxa"/>
            <w:vAlign w:val="bottom"/>
            <w:tcBorders>
              <w:top w:val="single" w:sz="8" w:color="C3F3FF"/>
            </w:tcBorders>
            <w:shd w:val="clear" w:color="auto" w:fill="C3F3FF"/>
          </w:tcPr>
          <w:p>
            <w:pPr>
              <w:spacing w:after="0" w:line="20" w:lineRule="exact"/>
              <w:rPr>
                <w:sz w:val="1"/>
                <w:szCs w:val="1"/>
                <w:color w:val="auto"/>
              </w:rPr>
            </w:pPr>
          </w:p>
        </w:tc>
        <w:tc>
          <w:tcPr>
            <w:tcW w:w="40" w:type="dxa"/>
            <w:vAlign w:val="bottom"/>
            <w:tcBorders>
              <w:top w:val="single" w:sz="8" w:color="C3F3FF"/>
            </w:tcBorders>
            <w:shd w:val="clear" w:color="auto" w:fill="C3F3FF"/>
          </w:tcPr>
          <w:p>
            <w:pPr>
              <w:spacing w:after="0" w:line="20" w:lineRule="exact"/>
              <w:rPr>
                <w:sz w:val="1"/>
                <w:szCs w:val="1"/>
                <w:color w:val="auto"/>
              </w:rPr>
            </w:pPr>
          </w:p>
        </w:tc>
        <w:tc>
          <w:tcPr>
            <w:tcW w:w="22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2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5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4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1100" w:type="dxa"/>
            <w:vAlign w:val="bottom"/>
            <w:tcBorders>
              <w:top w:val="single" w:sz="8" w:color="C3F3FF"/>
            </w:tcBorders>
            <w:shd w:val="clear" w:color="auto" w:fill="C3F3FF"/>
          </w:tcPr>
          <w:p>
            <w:pPr>
              <w:spacing w:after="0" w:line="20" w:lineRule="exact"/>
              <w:rPr>
                <w:sz w:val="1"/>
                <w:szCs w:val="1"/>
                <w:color w:val="auto"/>
              </w:rPr>
            </w:pPr>
          </w:p>
        </w:tc>
        <w:tc>
          <w:tcPr>
            <w:tcW w:w="120" w:type="dxa"/>
            <w:vAlign w:val="bottom"/>
            <w:tcBorders>
              <w:top w:val="single" w:sz="8" w:color="C3F3FF"/>
            </w:tcBorders>
            <w:shd w:val="clear" w:color="auto" w:fill="C3F3FF"/>
          </w:tcPr>
          <w:p>
            <w:pPr>
              <w:spacing w:after="0" w:line="20" w:lineRule="exact"/>
              <w:rPr>
                <w:sz w:val="1"/>
                <w:szCs w:val="1"/>
                <w:color w:val="auto"/>
              </w:rPr>
            </w:pPr>
          </w:p>
        </w:tc>
        <w:tc>
          <w:tcPr>
            <w:tcW w:w="660" w:type="dxa"/>
            <w:vAlign w:val="bottom"/>
            <w:tcBorders>
              <w:top w:val="single" w:sz="8" w:color="C3F3FF"/>
            </w:tcBorders>
            <w:shd w:val="clear" w:color="auto" w:fill="C3F3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6720" w:type="dxa"/>
            <w:vAlign w:val="bottom"/>
            <w:tcBorders>
              <w:bottom w:val="single" w:sz="8" w:color="0000FF"/>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 13a-</w:t>
            </w:r>
          </w:p>
        </w:tc>
        <w:tc>
          <w:tcPr>
            <w:tcW w:w="1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14 of the Securities Exchange Act of 1934.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Borders>
              <w:bottom w:val="single" w:sz="8" w:color="C3F3FF"/>
            </w:tcBorders>
            <w:shd w:val="clear" w:color="auto" w:fill="C3F3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3F3FF"/>
            </w:tcBorders>
            <w:shd w:val="clear" w:color="auto" w:fill="C3F3FF"/>
          </w:tcPr>
          <w:p>
            <w:pPr>
              <w:spacing w:after="0"/>
              <w:rPr>
                <w:sz w:val="15"/>
                <w:szCs w:val="15"/>
                <w:color w:val="auto"/>
              </w:rPr>
            </w:pPr>
          </w:p>
        </w:tc>
        <w:tc>
          <w:tcPr>
            <w:tcW w:w="6400" w:type="dxa"/>
            <w:vAlign w:val="bottom"/>
            <w:tcBorders>
              <w:bottom w:val="single" w:sz="8" w:color="0000FF"/>
            </w:tcBorders>
            <w:gridSpan w:val="6"/>
            <w:shd w:val="clear" w:color="auto" w:fill="C3F3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w:t>
            </w:r>
          </w:p>
        </w:tc>
        <w:tc>
          <w:tcPr>
            <w:tcW w:w="440" w:type="dxa"/>
            <w:vAlign w:val="bottom"/>
            <w:tcBorders>
              <w:bottom w:val="single" w:sz="8" w:color="C3F3FF"/>
            </w:tcBorders>
            <w:gridSpan w:val="4"/>
            <w:shd w:val="clear" w:color="auto" w:fill="C3F3FF"/>
          </w:tcPr>
          <w:p>
            <w:pPr>
              <w:spacing w:after="0"/>
              <w:rPr>
                <w:sz w:val="15"/>
                <w:szCs w:val="15"/>
                <w:color w:val="auto"/>
              </w:rPr>
            </w:pPr>
          </w:p>
        </w:tc>
        <w:tc>
          <w:tcPr>
            <w:tcW w:w="540" w:type="dxa"/>
            <w:vAlign w:val="bottom"/>
            <w:tcBorders>
              <w:bottom w:val="single" w:sz="8" w:color="C3F3FF"/>
            </w:tcBorders>
            <w:shd w:val="clear" w:color="auto" w:fill="C3F3FF"/>
          </w:tcPr>
          <w:p>
            <w:pPr>
              <w:spacing w:after="0"/>
              <w:rPr>
                <w:sz w:val="15"/>
                <w:szCs w:val="15"/>
                <w:color w:val="auto"/>
              </w:rPr>
            </w:pPr>
          </w:p>
        </w:tc>
        <w:tc>
          <w:tcPr>
            <w:tcW w:w="100" w:type="dxa"/>
            <w:vAlign w:val="bottom"/>
            <w:tcBorders>
              <w:bottom w:val="single" w:sz="8" w:color="C3F3FF"/>
            </w:tcBorders>
            <w:shd w:val="clear" w:color="auto" w:fill="C3F3FF"/>
          </w:tcPr>
          <w:p>
            <w:pPr>
              <w:spacing w:after="0"/>
              <w:rPr>
                <w:sz w:val="15"/>
                <w:szCs w:val="15"/>
                <w:color w:val="auto"/>
              </w:rPr>
            </w:pPr>
          </w:p>
        </w:tc>
        <w:tc>
          <w:tcPr>
            <w:tcW w:w="440" w:type="dxa"/>
            <w:vAlign w:val="bottom"/>
            <w:tcBorders>
              <w:bottom w:val="single" w:sz="8" w:color="C3F3FF"/>
            </w:tcBorders>
            <w:shd w:val="clear" w:color="auto" w:fill="C3F3FF"/>
          </w:tcPr>
          <w:p>
            <w:pPr>
              <w:spacing w:after="0"/>
              <w:rPr>
                <w:sz w:val="15"/>
                <w:szCs w:val="15"/>
                <w:color w:val="auto"/>
              </w:rPr>
            </w:pPr>
          </w:p>
        </w:tc>
        <w:tc>
          <w:tcPr>
            <w:tcW w:w="100" w:type="dxa"/>
            <w:vAlign w:val="bottom"/>
            <w:tcBorders>
              <w:bottom w:val="single" w:sz="8" w:color="C3F3FF"/>
            </w:tcBorders>
            <w:shd w:val="clear" w:color="auto" w:fill="C3F3FF"/>
          </w:tcPr>
          <w:p>
            <w:pPr>
              <w:spacing w:after="0"/>
              <w:rPr>
                <w:sz w:val="15"/>
                <w:szCs w:val="15"/>
                <w:color w:val="auto"/>
              </w:rPr>
            </w:pPr>
          </w:p>
        </w:tc>
        <w:tc>
          <w:tcPr>
            <w:tcW w:w="1100" w:type="dxa"/>
            <w:vAlign w:val="bottom"/>
            <w:tcBorders>
              <w:bottom w:val="single" w:sz="8" w:color="C3F3FF"/>
            </w:tcBorders>
            <w:shd w:val="clear" w:color="auto" w:fill="C3F3FF"/>
          </w:tcPr>
          <w:p>
            <w:pPr>
              <w:spacing w:after="0"/>
              <w:rPr>
                <w:sz w:val="15"/>
                <w:szCs w:val="15"/>
                <w:color w:val="auto"/>
              </w:rPr>
            </w:pPr>
          </w:p>
        </w:tc>
        <w:tc>
          <w:tcPr>
            <w:tcW w:w="120" w:type="dxa"/>
            <w:vAlign w:val="bottom"/>
            <w:tcBorders>
              <w:bottom w:val="single" w:sz="8" w:color="C3F3FF"/>
            </w:tcBorders>
            <w:shd w:val="clear" w:color="auto" w:fill="C3F3FF"/>
          </w:tcPr>
          <w:p>
            <w:pPr>
              <w:spacing w:after="0"/>
              <w:rPr>
                <w:sz w:val="15"/>
                <w:szCs w:val="15"/>
                <w:color w:val="auto"/>
              </w:rPr>
            </w:pPr>
          </w:p>
        </w:tc>
        <w:tc>
          <w:tcPr>
            <w:tcW w:w="660" w:type="dxa"/>
            <w:vAlign w:val="bottom"/>
            <w:tcBorders>
              <w:bottom w:val="single" w:sz="8" w:color="C3F3FF"/>
            </w:tcBorders>
            <w:shd w:val="clear" w:color="auto" w:fill="C3F3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3F3FF"/>
          </w:tcPr>
          <w:p>
            <w:pPr>
              <w:spacing w:after="0"/>
              <w:rPr>
                <w:sz w:val="17"/>
                <w:szCs w:val="17"/>
                <w:color w:val="auto"/>
              </w:rPr>
            </w:pPr>
          </w:p>
        </w:tc>
        <w:tc>
          <w:tcPr>
            <w:tcW w:w="100" w:type="dxa"/>
            <w:vAlign w:val="bottom"/>
            <w:shd w:val="clear" w:color="auto" w:fill="C3F3FF"/>
          </w:tcPr>
          <w:p>
            <w:pPr>
              <w:spacing w:after="0"/>
              <w:rPr>
                <w:sz w:val="17"/>
                <w:szCs w:val="17"/>
                <w:color w:val="auto"/>
              </w:rPr>
            </w:pPr>
          </w:p>
        </w:tc>
        <w:tc>
          <w:tcPr>
            <w:tcW w:w="6840" w:type="dxa"/>
            <w:vAlign w:val="bottom"/>
            <w:gridSpan w:val="10"/>
            <w:shd w:val="clear" w:color="auto" w:fill="C3F3FF"/>
          </w:tcPr>
          <w:p>
            <w:pPr>
              <w:spacing w:after="0" w:line="196"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540" w:type="dxa"/>
            <w:vAlign w:val="bottom"/>
            <w:shd w:val="clear" w:color="auto" w:fill="C3F3FF"/>
          </w:tcPr>
          <w:p>
            <w:pPr>
              <w:spacing w:after="0"/>
              <w:rPr>
                <w:sz w:val="17"/>
                <w:szCs w:val="17"/>
                <w:color w:val="auto"/>
              </w:rPr>
            </w:pPr>
          </w:p>
        </w:tc>
        <w:tc>
          <w:tcPr>
            <w:tcW w:w="100" w:type="dxa"/>
            <w:vAlign w:val="bottom"/>
            <w:shd w:val="clear" w:color="auto" w:fill="C3F3FF"/>
          </w:tcPr>
          <w:p>
            <w:pPr>
              <w:spacing w:after="0"/>
              <w:rPr>
                <w:sz w:val="17"/>
                <w:szCs w:val="17"/>
                <w:color w:val="auto"/>
              </w:rPr>
            </w:pPr>
          </w:p>
        </w:tc>
        <w:tc>
          <w:tcPr>
            <w:tcW w:w="440" w:type="dxa"/>
            <w:vAlign w:val="bottom"/>
            <w:shd w:val="clear" w:color="auto" w:fill="C3F3FF"/>
          </w:tcPr>
          <w:p>
            <w:pPr>
              <w:spacing w:after="0"/>
              <w:rPr>
                <w:sz w:val="17"/>
                <w:szCs w:val="17"/>
                <w:color w:val="auto"/>
              </w:rPr>
            </w:pPr>
          </w:p>
        </w:tc>
        <w:tc>
          <w:tcPr>
            <w:tcW w:w="100" w:type="dxa"/>
            <w:vAlign w:val="bottom"/>
            <w:shd w:val="clear" w:color="auto" w:fill="C3F3FF"/>
          </w:tcPr>
          <w:p>
            <w:pPr>
              <w:spacing w:after="0"/>
              <w:rPr>
                <w:sz w:val="17"/>
                <w:szCs w:val="17"/>
                <w:color w:val="auto"/>
              </w:rPr>
            </w:pPr>
          </w:p>
        </w:tc>
        <w:tc>
          <w:tcPr>
            <w:tcW w:w="1100" w:type="dxa"/>
            <w:vAlign w:val="bottom"/>
            <w:shd w:val="clear" w:color="auto" w:fill="C3F3FF"/>
          </w:tcPr>
          <w:p>
            <w:pPr>
              <w:spacing w:after="0"/>
              <w:rPr>
                <w:sz w:val="17"/>
                <w:szCs w:val="17"/>
                <w:color w:val="auto"/>
              </w:rPr>
            </w:pPr>
          </w:p>
        </w:tc>
        <w:tc>
          <w:tcPr>
            <w:tcW w:w="120" w:type="dxa"/>
            <w:vAlign w:val="bottom"/>
            <w:shd w:val="clear" w:color="auto" w:fill="C3F3FF"/>
          </w:tcPr>
          <w:p>
            <w:pPr>
              <w:spacing w:after="0"/>
              <w:rPr>
                <w:sz w:val="17"/>
                <w:szCs w:val="17"/>
                <w:color w:val="auto"/>
              </w:rPr>
            </w:pPr>
          </w:p>
        </w:tc>
        <w:tc>
          <w:tcPr>
            <w:tcW w:w="660" w:type="dxa"/>
            <w:vAlign w:val="bottom"/>
            <w:shd w:val="clear" w:color="auto" w:fill="C3F3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3060" w:type="dxa"/>
            <w:vAlign w:val="bottom"/>
            <w:tcBorders>
              <w:top w:val="single" w:sz="8" w:color="0000FF"/>
            </w:tcBorders>
            <w:shd w:val="clear" w:color="auto" w:fill="C3F3FF"/>
          </w:tcPr>
          <w:p>
            <w:pPr>
              <w:spacing w:after="0" w:line="20" w:lineRule="exact"/>
              <w:rPr>
                <w:sz w:val="1"/>
                <w:szCs w:val="1"/>
                <w:color w:val="auto"/>
              </w:rPr>
            </w:pPr>
          </w:p>
        </w:tc>
        <w:tc>
          <w:tcPr>
            <w:tcW w:w="40" w:type="dxa"/>
            <w:vAlign w:val="bottom"/>
            <w:tcBorders>
              <w:top w:val="single" w:sz="8" w:color="0000FF"/>
            </w:tcBorders>
            <w:shd w:val="clear" w:color="auto" w:fill="C3F3FF"/>
          </w:tcPr>
          <w:p>
            <w:pPr>
              <w:spacing w:after="0" w:line="20" w:lineRule="exact"/>
              <w:rPr>
                <w:sz w:val="1"/>
                <w:szCs w:val="1"/>
                <w:color w:val="auto"/>
              </w:rPr>
            </w:pPr>
          </w:p>
        </w:tc>
        <w:tc>
          <w:tcPr>
            <w:tcW w:w="360" w:type="dxa"/>
            <w:vAlign w:val="bottom"/>
            <w:tcBorders>
              <w:top w:val="single" w:sz="8" w:color="0000FF"/>
            </w:tcBorders>
            <w:shd w:val="clear" w:color="auto" w:fill="C3F3FF"/>
          </w:tcPr>
          <w:p>
            <w:pPr>
              <w:spacing w:after="0" w:line="20" w:lineRule="exact"/>
              <w:rPr>
                <w:sz w:val="1"/>
                <w:szCs w:val="1"/>
                <w:color w:val="auto"/>
              </w:rPr>
            </w:pPr>
          </w:p>
        </w:tc>
        <w:tc>
          <w:tcPr>
            <w:tcW w:w="340" w:type="dxa"/>
            <w:vAlign w:val="bottom"/>
            <w:tcBorders>
              <w:top w:val="single" w:sz="8" w:color="0000FF"/>
            </w:tcBorders>
            <w:shd w:val="clear" w:color="auto" w:fill="C3F3FF"/>
          </w:tcPr>
          <w:p>
            <w:pPr>
              <w:spacing w:after="0" w:line="20" w:lineRule="exact"/>
              <w:rPr>
                <w:sz w:val="1"/>
                <w:szCs w:val="1"/>
                <w:color w:val="auto"/>
              </w:rPr>
            </w:pPr>
          </w:p>
        </w:tc>
        <w:tc>
          <w:tcPr>
            <w:tcW w:w="2560" w:type="dxa"/>
            <w:vAlign w:val="bottom"/>
            <w:tcBorders>
              <w:top w:val="single" w:sz="8" w:color="C3F3FF"/>
            </w:tcBorders>
            <w:shd w:val="clear" w:color="auto" w:fill="C3F3FF"/>
          </w:tcPr>
          <w:p>
            <w:pPr>
              <w:spacing w:after="0" w:line="20" w:lineRule="exact"/>
              <w:rPr>
                <w:sz w:val="1"/>
                <w:szCs w:val="1"/>
                <w:color w:val="auto"/>
              </w:rPr>
            </w:pPr>
          </w:p>
        </w:tc>
        <w:tc>
          <w:tcPr>
            <w:tcW w:w="40" w:type="dxa"/>
            <w:vAlign w:val="bottom"/>
            <w:tcBorders>
              <w:top w:val="single" w:sz="8" w:color="C3F3FF"/>
            </w:tcBorders>
            <w:shd w:val="clear" w:color="auto" w:fill="C3F3FF"/>
          </w:tcPr>
          <w:p>
            <w:pPr>
              <w:spacing w:after="0" w:line="20" w:lineRule="exact"/>
              <w:rPr>
                <w:sz w:val="1"/>
                <w:szCs w:val="1"/>
                <w:color w:val="auto"/>
              </w:rPr>
            </w:pPr>
          </w:p>
        </w:tc>
        <w:tc>
          <w:tcPr>
            <w:tcW w:w="22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2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5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440" w:type="dxa"/>
            <w:vAlign w:val="bottom"/>
            <w:tcBorders>
              <w:top w:val="single" w:sz="8" w:color="C3F3FF"/>
            </w:tcBorders>
            <w:shd w:val="clear" w:color="auto" w:fill="C3F3FF"/>
          </w:tcPr>
          <w:p>
            <w:pPr>
              <w:spacing w:after="0" w:line="20" w:lineRule="exact"/>
              <w:rPr>
                <w:sz w:val="1"/>
                <w:szCs w:val="1"/>
                <w:color w:val="auto"/>
              </w:rPr>
            </w:pPr>
          </w:p>
        </w:tc>
        <w:tc>
          <w:tcPr>
            <w:tcW w:w="100" w:type="dxa"/>
            <w:vAlign w:val="bottom"/>
            <w:tcBorders>
              <w:top w:val="single" w:sz="8" w:color="C3F3FF"/>
            </w:tcBorders>
            <w:shd w:val="clear" w:color="auto" w:fill="C3F3FF"/>
          </w:tcPr>
          <w:p>
            <w:pPr>
              <w:spacing w:after="0" w:line="20" w:lineRule="exact"/>
              <w:rPr>
                <w:sz w:val="1"/>
                <w:szCs w:val="1"/>
                <w:color w:val="auto"/>
              </w:rPr>
            </w:pPr>
          </w:p>
        </w:tc>
        <w:tc>
          <w:tcPr>
            <w:tcW w:w="1100" w:type="dxa"/>
            <w:vAlign w:val="bottom"/>
            <w:tcBorders>
              <w:top w:val="single" w:sz="8" w:color="C3F3FF"/>
            </w:tcBorders>
            <w:shd w:val="clear" w:color="auto" w:fill="C3F3FF"/>
          </w:tcPr>
          <w:p>
            <w:pPr>
              <w:spacing w:after="0" w:line="20" w:lineRule="exact"/>
              <w:rPr>
                <w:sz w:val="1"/>
                <w:szCs w:val="1"/>
                <w:color w:val="auto"/>
              </w:rPr>
            </w:pPr>
          </w:p>
        </w:tc>
        <w:tc>
          <w:tcPr>
            <w:tcW w:w="120" w:type="dxa"/>
            <w:vAlign w:val="bottom"/>
            <w:tcBorders>
              <w:top w:val="single" w:sz="8" w:color="C3F3FF"/>
            </w:tcBorders>
            <w:shd w:val="clear" w:color="auto" w:fill="C3F3FF"/>
          </w:tcPr>
          <w:p>
            <w:pPr>
              <w:spacing w:after="0" w:line="20" w:lineRule="exact"/>
              <w:rPr>
                <w:sz w:val="1"/>
                <w:szCs w:val="1"/>
                <w:color w:val="auto"/>
              </w:rPr>
            </w:pPr>
          </w:p>
        </w:tc>
        <w:tc>
          <w:tcPr>
            <w:tcW w:w="660" w:type="dxa"/>
            <w:vAlign w:val="bottom"/>
            <w:tcBorders>
              <w:top w:val="single" w:sz="8" w:color="C3F3FF"/>
            </w:tcBorders>
            <w:shd w:val="clear" w:color="auto" w:fill="C3F3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5"/>
                <w:szCs w:val="15"/>
                <w:color w:val="auto"/>
              </w:rPr>
            </w:pPr>
          </w:p>
        </w:tc>
        <w:tc>
          <w:tcPr>
            <w:tcW w:w="662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w:t>
            </w:r>
          </w:p>
        </w:tc>
        <w:tc>
          <w:tcPr>
            <w:tcW w:w="220" w:type="dxa"/>
            <w:vAlign w:val="bottom"/>
            <w:gridSpan w:val="3"/>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Officer, Andrew J. Krasner, pursuant to 18 U.S.C. Section 1350, as adopted pursuant to</w:t>
            </w:r>
          </w:p>
        </w:tc>
        <w:tc>
          <w:tcPr>
            <w:tcW w:w="48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shd w:val="clear" w:color="auto" w:fill="C3F3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3F3FF"/>
          </w:tcPr>
          <w:p>
            <w:pPr>
              <w:spacing w:after="0"/>
              <w:rPr>
                <w:sz w:val="17"/>
                <w:szCs w:val="17"/>
                <w:color w:val="auto"/>
              </w:rPr>
            </w:pPr>
          </w:p>
        </w:tc>
        <w:tc>
          <w:tcPr>
            <w:tcW w:w="6840" w:type="dxa"/>
            <w:vAlign w:val="bottom"/>
            <w:gridSpan w:val="10"/>
            <w:shd w:val="clear" w:color="auto" w:fill="C3F3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shd w:val="clear" w:color="auto" w:fill="C3F3FF"/>
          </w:tcPr>
          <w:p>
            <w:pPr>
              <w:spacing w:after="0"/>
              <w:rPr>
                <w:sz w:val="17"/>
                <w:szCs w:val="17"/>
                <w:color w:val="auto"/>
              </w:rPr>
            </w:pPr>
          </w:p>
        </w:tc>
        <w:tc>
          <w:tcPr>
            <w:tcW w:w="100" w:type="dxa"/>
            <w:vAlign w:val="bottom"/>
            <w:shd w:val="clear" w:color="auto" w:fill="C3F3FF"/>
          </w:tcPr>
          <w:p>
            <w:pPr>
              <w:spacing w:after="0"/>
              <w:rPr>
                <w:sz w:val="17"/>
                <w:szCs w:val="17"/>
                <w:color w:val="auto"/>
              </w:rPr>
            </w:pPr>
          </w:p>
        </w:tc>
        <w:tc>
          <w:tcPr>
            <w:tcW w:w="440" w:type="dxa"/>
            <w:vAlign w:val="bottom"/>
            <w:shd w:val="clear" w:color="auto" w:fill="C3F3FF"/>
          </w:tcPr>
          <w:p>
            <w:pPr>
              <w:spacing w:after="0"/>
              <w:rPr>
                <w:sz w:val="17"/>
                <w:szCs w:val="17"/>
                <w:color w:val="auto"/>
              </w:rPr>
            </w:pPr>
          </w:p>
        </w:tc>
        <w:tc>
          <w:tcPr>
            <w:tcW w:w="100" w:type="dxa"/>
            <w:vAlign w:val="bottom"/>
            <w:shd w:val="clear" w:color="auto" w:fill="C3F3FF"/>
          </w:tcPr>
          <w:p>
            <w:pPr>
              <w:spacing w:after="0"/>
              <w:rPr>
                <w:sz w:val="17"/>
                <w:szCs w:val="17"/>
                <w:color w:val="auto"/>
              </w:rPr>
            </w:pPr>
          </w:p>
        </w:tc>
        <w:tc>
          <w:tcPr>
            <w:tcW w:w="1100" w:type="dxa"/>
            <w:vAlign w:val="bottom"/>
            <w:shd w:val="clear" w:color="auto" w:fill="C3F3FF"/>
          </w:tcPr>
          <w:p>
            <w:pPr>
              <w:spacing w:after="0"/>
              <w:rPr>
                <w:sz w:val="17"/>
                <w:szCs w:val="17"/>
                <w:color w:val="auto"/>
              </w:rPr>
            </w:pPr>
          </w:p>
        </w:tc>
        <w:tc>
          <w:tcPr>
            <w:tcW w:w="120" w:type="dxa"/>
            <w:vAlign w:val="bottom"/>
            <w:shd w:val="clear" w:color="auto" w:fill="C3F3FF"/>
          </w:tcPr>
          <w:p>
            <w:pPr>
              <w:spacing w:after="0"/>
              <w:rPr>
                <w:sz w:val="17"/>
                <w:szCs w:val="17"/>
                <w:color w:val="auto"/>
              </w:rPr>
            </w:pPr>
          </w:p>
        </w:tc>
        <w:tc>
          <w:tcPr>
            <w:tcW w:w="660" w:type="dxa"/>
            <w:vAlign w:val="bottom"/>
            <w:shd w:val="clear" w:color="auto" w:fill="C3F3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3F3FF"/>
          </w:tcPr>
          <w:p>
            <w:pPr>
              <w:spacing w:after="0"/>
              <w:rPr>
                <w:sz w:val="20"/>
                <w:szCs w:val="20"/>
                <w:color w:val="auto"/>
              </w:rPr>
            </w:pPr>
          </w:p>
        </w:tc>
        <w:tc>
          <w:tcPr>
            <w:tcW w:w="100" w:type="dxa"/>
            <w:vAlign w:val="bottom"/>
            <w:shd w:val="clear" w:color="auto" w:fill="C3F3FF"/>
          </w:tcPr>
          <w:p>
            <w:pPr>
              <w:spacing w:after="0"/>
              <w:rPr>
                <w:sz w:val="20"/>
                <w:szCs w:val="20"/>
                <w:color w:val="auto"/>
              </w:rPr>
            </w:pPr>
          </w:p>
        </w:tc>
        <w:tc>
          <w:tcPr>
            <w:tcW w:w="6840" w:type="dxa"/>
            <w:vAlign w:val="bottom"/>
            <w:gridSpan w:val="10"/>
            <w:shd w:val="clear" w:color="auto" w:fill="C3F3FF"/>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shd w:val="clear" w:color="auto" w:fill="C3F3FF"/>
          </w:tcPr>
          <w:p>
            <w:pPr>
              <w:spacing w:after="0"/>
              <w:rPr>
                <w:sz w:val="20"/>
                <w:szCs w:val="20"/>
                <w:color w:val="auto"/>
              </w:rPr>
            </w:pPr>
          </w:p>
        </w:tc>
        <w:tc>
          <w:tcPr>
            <w:tcW w:w="100" w:type="dxa"/>
            <w:vAlign w:val="bottom"/>
            <w:shd w:val="clear" w:color="auto" w:fill="C3F3FF"/>
          </w:tcPr>
          <w:p>
            <w:pPr>
              <w:spacing w:after="0"/>
              <w:rPr>
                <w:sz w:val="20"/>
                <w:szCs w:val="20"/>
                <w:color w:val="auto"/>
              </w:rPr>
            </w:pPr>
          </w:p>
        </w:tc>
        <w:tc>
          <w:tcPr>
            <w:tcW w:w="440" w:type="dxa"/>
            <w:vAlign w:val="bottom"/>
            <w:shd w:val="clear" w:color="auto" w:fill="C3F3FF"/>
          </w:tcPr>
          <w:p>
            <w:pPr>
              <w:spacing w:after="0"/>
              <w:rPr>
                <w:sz w:val="20"/>
                <w:szCs w:val="20"/>
                <w:color w:val="auto"/>
              </w:rPr>
            </w:pPr>
          </w:p>
        </w:tc>
        <w:tc>
          <w:tcPr>
            <w:tcW w:w="100" w:type="dxa"/>
            <w:vAlign w:val="bottom"/>
            <w:shd w:val="clear" w:color="auto" w:fill="C3F3FF"/>
          </w:tcPr>
          <w:p>
            <w:pPr>
              <w:spacing w:after="0"/>
              <w:rPr>
                <w:sz w:val="20"/>
                <w:szCs w:val="20"/>
                <w:color w:val="auto"/>
              </w:rPr>
            </w:pPr>
          </w:p>
        </w:tc>
        <w:tc>
          <w:tcPr>
            <w:tcW w:w="1100" w:type="dxa"/>
            <w:vAlign w:val="bottom"/>
            <w:shd w:val="clear" w:color="auto" w:fill="C3F3FF"/>
          </w:tcPr>
          <w:p>
            <w:pPr>
              <w:spacing w:after="0"/>
              <w:rPr>
                <w:sz w:val="20"/>
                <w:szCs w:val="20"/>
                <w:color w:val="auto"/>
              </w:rPr>
            </w:pPr>
          </w:p>
        </w:tc>
        <w:tc>
          <w:tcPr>
            <w:tcW w:w="120" w:type="dxa"/>
            <w:vAlign w:val="bottom"/>
            <w:shd w:val="clear" w:color="auto" w:fill="C3F3FF"/>
          </w:tcPr>
          <w:p>
            <w:pPr>
              <w:spacing w:after="0"/>
              <w:rPr>
                <w:sz w:val="20"/>
                <w:szCs w:val="20"/>
                <w:color w:val="auto"/>
              </w:rPr>
            </w:pPr>
          </w:p>
        </w:tc>
        <w:tc>
          <w:tcPr>
            <w:tcW w:w="660" w:type="dxa"/>
            <w:vAlign w:val="bottom"/>
            <w:shd w:val="clear" w:color="auto" w:fill="C3F3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101.SC</w:t>
            </w:r>
          </w:p>
        </w:tc>
        <w:tc>
          <w:tcPr>
            <w:tcW w:w="100" w:type="dxa"/>
            <w:vAlign w:val="bottom"/>
          </w:tcPr>
          <w:p>
            <w:pPr>
              <w:spacing w:after="0"/>
              <w:rPr>
                <w:sz w:val="17"/>
                <w:szCs w:val="17"/>
                <w:color w:val="auto"/>
              </w:rPr>
            </w:pPr>
          </w:p>
        </w:tc>
        <w:tc>
          <w:tcPr>
            <w:tcW w:w="68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3F3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3F3FF"/>
          </w:tcPr>
          <w:p>
            <w:pPr>
              <w:spacing w:after="0"/>
              <w:rPr>
                <w:sz w:val="18"/>
                <w:szCs w:val="18"/>
                <w:color w:val="auto"/>
              </w:rPr>
            </w:pPr>
          </w:p>
        </w:tc>
        <w:tc>
          <w:tcPr>
            <w:tcW w:w="6840" w:type="dxa"/>
            <w:vAlign w:val="bottom"/>
            <w:gridSpan w:val="10"/>
            <w:shd w:val="clear" w:color="auto" w:fill="C3F3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shd w:val="clear" w:color="auto" w:fill="C3F3FF"/>
          </w:tcPr>
          <w:p>
            <w:pPr>
              <w:spacing w:after="0"/>
              <w:rPr>
                <w:sz w:val="18"/>
                <w:szCs w:val="18"/>
                <w:color w:val="auto"/>
              </w:rPr>
            </w:pPr>
          </w:p>
        </w:tc>
        <w:tc>
          <w:tcPr>
            <w:tcW w:w="100" w:type="dxa"/>
            <w:vAlign w:val="bottom"/>
            <w:shd w:val="clear" w:color="auto" w:fill="C3F3FF"/>
          </w:tcPr>
          <w:p>
            <w:pPr>
              <w:spacing w:after="0"/>
              <w:rPr>
                <w:sz w:val="18"/>
                <w:szCs w:val="18"/>
                <w:color w:val="auto"/>
              </w:rPr>
            </w:pPr>
          </w:p>
        </w:tc>
        <w:tc>
          <w:tcPr>
            <w:tcW w:w="440" w:type="dxa"/>
            <w:vAlign w:val="bottom"/>
            <w:shd w:val="clear" w:color="auto" w:fill="C3F3FF"/>
          </w:tcPr>
          <w:p>
            <w:pPr>
              <w:spacing w:after="0"/>
              <w:rPr>
                <w:sz w:val="18"/>
                <w:szCs w:val="18"/>
                <w:color w:val="auto"/>
              </w:rPr>
            </w:pPr>
          </w:p>
        </w:tc>
        <w:tc>
          <w:tcPr>
            <w:tcW w:w="100" w:type="dxa"/>
            <w:vAlign w:val="bottom"/>
            <w:shd w:val="clear" w:color="auto" w:fill="C3F3FF"/>
          </w:tcPr>
          <w:p>
            <w:pPr>
              <w:spacing w:after="0"/>
              <w:rPr>
                <w:sz w:val="18"/>
                <w:szCs w:val="18"/>
                <w:color w:val="auto"/>
              </w:rPr>
            </w:pPr>
          </w:p>
        </w:tc>
        <w:tc>
          <w:tcPr>
            <w:tcW w:w="1100" w:type="dxa"/>
            <w:vAlign w:val="bottom"/>
            <w:shd w:val="clear" w:color="auto" w:fill="C3F3FF"/>
          </w:tcPr>
          <w:p>
            <w:pPr>
              <w:spacing w:after="0"/>
              <w:rPr>
                <w:sz w:val="18"/>
                <w:szCs w:val="18"/>
                <w:color w:val="auto"/>
              </w:rPr>
            </w:pPr>
          </w:p>
        </w:tc>
        <w:tc>
          <w:tcPr>
            <w:tcW w:w="120" w:type="dxa"/>
            <w:vAlign w:val="bottom"/>
            <w:shd w:val="clear" w:color="auto" w:fill="C3F3FF"/>
          </w:tcPr>
          <w:p>
            <w:pPr>
              <w:spacing w:after="0"/>
              <w:rPr>
                <w:sz w:val="18"/>
                <w:szCs w:val="18"/>
                <w:color w:val="auto"/>
              </w:rPr>
            </w:pPr>
          </w:p>
        </w:tc>
        <w:tc>
          <w:tcPr>
            <w:tcW w:w="660" w:type="dxa"/>
            <w:vAlign w:val="bottom"/>
            <w:shd w:val="clear" w:color="auto" w:fill="C3F3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ind w:firstLine="8"/>
        <w:spacing w:after="0" w:line="258" w:lineRule="auto"/>
        <w:tabs>
          <w:tab w:leader="none" w:pos="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Carl A. Hess</w:t>
            </w:r>
          </w:p>
        </w:tc>
        <w:tc>
          <w:tcPr>
            <w:tcW w:w="560" w:type="dxa"/>
            <w:vAlign w:val="bottom"/>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29, 2026</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Carl A. Hess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Andrew J. Krasner</w:t>
            </w: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29, 2026</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Andrew J. Krasner</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Joseph S. Kurpis</w:t>
            </w: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October 29, 2026</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Joseph S. Kurpis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16" w:lineRule="exact"/>
        <w:rPr>
          <w:sz w:val="20"/>
          <w:szCs w:val="20"/>
          <w:color w:val="auto"/>
        </w:rPr>
      </w:pPr>
    </w:p>
    <w:p>
      <w:pPr>
        <w:ind w:left="1040" w:right="640" w:hanging="567"/>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2026 (the ‘Report’) fully complies with the requirements of Section 13(a) or Section 15(d), as applicable, of the Exchange Act; and</w:t>
      </w:r>
    </w:p>
    <w:p>
      <w:pPr>
        <w:spacing w:after="0" w:line="53" w:lineRule="exact"/>
        <w:rPr>
          <w:rFonts w:ascii="Times New Roman" w:cs="Times New Roman" w:eastAsia="Times New Roman" w:hAnsi="Times New Roman"/>
          <w:sz w:val="18"/>
          <w:szCs w:val="18"/>
          <w:color w:val="auto"/>
        </w:rPr>
      </w:pPr>
    </w:p>
    <w:p>
      <w:pPr>
        <w:ind w:left="1040" w:right="540" w:hanging="567"/>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o"/>
      <w:numFmt w:val="bullet"/>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70" Type="http://schemas.openxmlformats.org/officeDocument/2006/relationships/hyperlink" Target="https://www.sec.gov/Archives/edgar/data/1140536/000119312526325374/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2026-10-29T11:04:49Z</dcterms:created>
  <dcterms:modified xsi:type="dcterms:W3CDTF">2026-10-29T11:04:49Z</dcterms:modified>
</cp:coreProperties>
</file>