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379730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-232410</wp:posOffset>
            </wp:positionV>
            <wp:extent cx="2860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0"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2"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6" w:lineRule="exact"/>
        <w:rPr>
          <w:sz w:val="24"/>
          <w:szCs w:val="24"/>
          <w:color w:val="auto"/>
        </w:rPr>
      </w:pPr>
    </w:p>
    <w:p>
      <w:pPr>
        <w:ind w:left="2900"/>
        <w:spacing w:after="0"/>
        <w:tabs>
          <w:tab w:leader="none" w:pos="6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-20320</wp:posOffset>
            </wp:positionV>
            <wp:extent cx="57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111125</wp:posOffset>
            </wp:positionV>
            <wp:extent cx="2851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115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257175</wp:posOffset>
            </wp:positionV>
            <wp:extent cx="1198880" cy="385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8880"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WILLIS TOWERS WATSON PUBLIC LIMITED COMPANY</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94615</wp:posOffset>
            </wp:positionV>
            <wp:extent cx="2851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00" w:type="dxa"/>
            <w:vAlign w:val="bottom"/>
            <w:gridSpan w:val="2"/>
            <w:vMerge w:val="restart"/>
          </w:tcPr>
          <w:p>
            <w:pPr>
              <w:jc w:val="center"/>
              <w:ind w:left="1045"/>
              <w:spacing w:after="0"/>
              <w:rPr>
                <w:sz w:val="20"/>
                <w:szCs w:val="20"/>
                <w:color w:val="auto"/>
              </w:rPr>
            </w:pPr>
            <w:r>
              <w:rPr>
                <w:rFonts w:ascii="Arial" w:cs="Arial" w:eastAsia="Arial" w:hAnsi="Arial"/>
                <w:sz w:val="16"/>
                <w:szCs w:val="16"/>
                <w:b w:val="1"/>
                <w:bCs w:val="1"/>
                <w:color w:val="auto"/>
                <w:w w:val="99"/>
              </w:rPr>
              <w:t>Ireland</w:t>
            </w:r>
          </w:p>
        </w:tc>
        <w:tc>
          <w:tcPr>
            <w:tcW w:w="1680" w:type="dxa"/>
            <w:vAlign w:val="bottom"/>
          </w:tcPr>
          <w:p>
            <w:pPr>
              <w:spacing w:after="0"/>
              <w:rPr>
                <w:sz w:val="17"/>
                <w:szCs w:val="17"/>
                <w:color w:val="auto"/>
              </w:rPr>
            </w:pPr>
          </w:p>
        </w:tc>
        <w:tc>
          <w:tcPr>
            <w:tcW w:w="5160" w:type="dxa"/>
            <w:vAlign w:val="bottom"/>
            <w:gridSpan w:val="2"/>
          </w:tcPr>
          <w:p>
            <w:pPr>
              <w:jc w:val="right"/>
              <w:ind w:right="2228"/>
              <w:spacing w:after="0"/>
              <w:rPr>
                <w:sz w:val="20"/>
                <w:szCs w:val="20"/>
                <w:color w:val="auto"/>
              </w:rPr>
            </w:pPr>
            <w:r>
              <w:rPr>
                <w:rFonts w:ascii="Arial" w:cs="Arial" w:eastAsia="Arial" w:hAnsi="Arial"/>
                <w:sz w:val="16"/>
                <w:szCs w:val="16"/>
                <w:b w:val="1"/>
                <w:bCs w:val="1"/>
                <w:color w:val="auto"/>
              </w:rPr>
              <w:t>98-0352587</w:t>
            </w:r>
          </w:p>
        </w:tc>
        <w:tc>
          <w:tcPr>
            <w:tcW w:w="0" w:type="dxa"/>
            <w:vAlign w:val="bottom"/>
          </w:tcPr>
          <w:p>
            <w:pPr>
              <w:spacing w:after="0"/>
              <w:rPr>
                <w:sz w:val="1"/>
                <w:szCs w:val="1"/>
                <w:color w:val="auto"/>
              </w:rPr>
            </w:pPr>
          </w:p>
        </w:tc>
      </w:tr>
      <w:tr>
        <w:trPr>
          <w:trHeight w:val="67"/>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68"/>
              <w:spacing w:after="0"/>
              <w:rPr>
                <w:sz w:val="20"/>
                <w:szCs w:val="20"/>
                <w:color w:val="auto"/>
              </w:rPr>
            </w:pPr>
            <w:r>
              <w:rPr>
                <w:rFonts w:ascii="Arial" w:cs="Arial" w:eastAsia="Arial" w:hAnsi="Arial"/>
                <w:sz w:val="14"/>
                <w:szCs w:val="14"/>
                <w:i w:val="1"/>
                <w:iCs w:val="1"/>
                <w:color w:val="auto"/>
                <w:w w:val="91"/>
              </w:rPr>
              <w:t>(I.R.S. Employer</w:t>
            </w:r>
          </w:p>
        </w:tc>
        <w:tc>
          <w:tcPr>
            <w:tcW w:w="0" w:type="dxa"/>
            <w:vAlign w:val="bottom"/>
          </w:tcPr>
          <w:p>
            <w:pPr>
              <w:spacing w:after="0"/>
              <w:rPr>
                <w:sz w:val="1"/>
                <w:szCs w:val="1"/>
                <w:color w:val="auto"/>
              </w:rPr>
            </w:pPr>
          </w:p>
        </w:tc>
      </w:tr>
      <w:tr>
        <w:trPr>
          <w:trHeight w:val="115"/>
        </w:trPr>
        <w:tc>
          <w:tcPr>
            <w:tcW w:w="4400" w:type="dxa"/>
            <w:vAlign w:val="bottom"/>
            <w:gridSpan w:val="2"/>
            <w:vMerge w:val="restart"/>
          </w:tcPr>
          <w:p>
            <w:pPr>
              <w:jc w:val="center"/>
              <w:ind w:left="1045"/>
              <w:spacing w:after="0" w:line="149" w:lineRule="exact"/>
              <w:rPr>
                <w:sz w:val="20"/>
                <w:szCs w:val="20"/>
                <w:color w:val="auto"/>
              </w:rPr>
            </w:pPr>
            <w:r>
              <w:rPr>
                <w:rFonts w:ascii="Arial" w:cs="Arial" w:eastAsia="Arial" w:hAnsi="Arial"/>
                <w:sz w:val="14"/>
                <w:szCs w:val="14"/>
                <w:i w:val="1"/>
                <w:iCs w:val="1"/>
                <w:color w:val="auto"/>
                <w:w w:val="97"/>
              </w:rPr>
              <w:t>(Jurisdiction of</w:t>
            </w: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Arial" w:cs="Arial" w:eastAsia="Arial" w:hAnsi="Arial"/>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82"/>
        </w:trPr>
        <w:tc>
          <w:tcPr>
            <w:tcW w:w="4400" w:type="dxa"/>
            <w:vAlign w:val="bottom"/>
            <w:gridSpan w:val="2"/>
          </w:tcPr>
          <w:p>
            <w:pPr>
              <w:jc w:val="center"/>
              <w:ind w:left="1045"/>
              <w:spacing w:after="0"/>
              <w:rPr>
                <w:sz w:val="20"/>
                <w:szCs w:val="20"/>
                <w:color w:val="auto"/>
              </w:rPr>
            </w:pPr>
            <w:r>
              <w:rPr>
                <w:rFonts w:ascii="Arial" w:cs="Arial" w:eastAsia="Arial" w:hAnsi="Arial"/>
                <w:sz w:val="14"/>
                <w:szCs w:val="14"/>
                <w:i w:val="1"/>
                <w:iCs w:val="1"/>
                <w:color w:val="auto"/>
                <w:w w:val="96"/>
              </w:rPr>
              <w:t>incorporation or organization)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4400" w:type="dxa"/>
            <w:vAlign w:val="bottom"/>
            <w:gridSpan w:val="2"/>
          </w:tcPr>
          <w:p>
            <w:pPr>
              <w:jc w:val="center"/>
              <w:ind w:left="1045"/>
              <w:spacing w:after="0"/>
              <w:rPr>
                <w:sz w:val="20"/>
                <w:szCs w:val="20"/>
                <w:color w:val="auto"/>
              </w:rPr>
            </w:pPr>
            <w:r>
              <w:rPr>
                <w:rFonts w:ascii="Arial" w:cs="Arial" w:eastAsia="Arial" w:hAnsi="Arial"/>
                <w:sz w:val="16"/>
                <w:szCs w:val="16"/>
                <w:b w:val="1"/>
                <w:bCs w:val="1"/>
                <w:color w:val="auto"/>
                <w:w w:val="93"/>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400" w:type="dxa"/>
            <w:vAlign w:val="bottom"/>
            <w:gridSpan w:val="2"/>
          </w:tcPr>
          <w:p>
            <w:pPr>
              <w:jc w:val="center"/>
              <w:ind w:left="1045"/>
              <w:spacing w:after="0"/>
              <w:rPr>
                <w:sz w:val="20"/>
                <w:szCs w:val="20"/>
                <w:color w:val="auto"/>
              </w:rPr>
            </w:pPr>
            <w:r>
              <w:rPr>
                <w:rFonts w:ascii="Arial" w:cs="Arial" w:eastAsia="Arial" w:hAnsi="Arial"/>
                <w:sz w:val="16"/>
                <w:szCs w:val="16"/>
                <w:b w:val="1"/>
                <w:bCs w:val="1"/>
                <w:color w:val="auto"/>
                <w:w w:val="94"/>
              </w:rPr>
              <w:t>51 Lime Street, London EC3M 7DQ, England</w:t>
            </w:r>
          </w:p>
        </w:tc>
        <w:tc>
          <w:tcPr>
            <w:tcW w:w="1680" w:type="dxa"/>
            <w:vAlign w:val="bottom"/>
          </w:tcPr>
          <w:p>
            <w:pPr>
              <w:spacing w:after="0"/>
              <w:rPr>
                <w:sz w:val="17"/>
                <w:szCs w:val="17"/>
                <w:color w:val="auto"/>
              </w:rPr>
            </w:pPr>
          </w:p>
        </w:tc>
        <w:tc>
          <w:tcPr>
            <w:tcW w:w="5160" w:type="dxa"/>
            <w:vAlign w:val="bottom"/>
            <w:gridSpan w:val="2"/>
          </w:tcPr>
          <w:p>
            <w:pPr>
              <w:jc w:val="right"/>
              <w:ind w:right="1868"/>
              <w:spacing w:after="0"/>
              <w:rPr>
                <w:sz w:val="20"/>
                <w:szCs w:val="20"/>
                <w:color w:val="auto"/>
              </w:rPr>
            </w:pPr>
            <w:r>
              <w:rPr>
                <w:rFonts w:ascii="Arial" w:cs="Arial" w:eastAsia="Arial" w:hAnsi="Arial"/>
                <w:sz w:val="16"/>
                <w:szCs w:val="16"/>
                <w:b w:val="1"/>
                <w:bCs w:val="1"/>
                <w:color w:val="auto"/>
              </w:rPr>
              <w:t>(011) 44-20-3124-6000</w:t>
            </w:r>
          </w:p>
        </w:tc>
        <w:tc>
          <w:tcPr>
            <w:tcW w:w="0" w:type="dxa"/>
            <w:vAlign w:val="bottom"/>
          </w:tcPr>
          <w:p>
            <w:pPr>
              <w:spacing w:after="0"/>
              <w:rPr>
                <w:sz w:val="1"/>
                <w:szCs w:val="1"/>
                <w:color w:val="auto"/>
              </w:rPr>
            </w:pPr>
          </w:p>
        </w:tc>
      </w:tr>
      <w:tr>
        <w:trPr>
          <w:trHeight w:val="182"/>
        </w:trPr>
        <w:tc>
          <w:tcPr>
            <w:tcW w:w="4400" w:type="dxa"/>
            <w:vAlign w:val="bottom"/>
            <w:gridSpan w:val="2"/>
          </w:tcPr>
          <w:p>
            <w:pPr>
              <w:jc w:val="center"/>
              <w:ind w:left="1045"/>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jc w:val="center"/>
              <w:ind w:right="268"/>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40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23"/>
                <w:szCs w:val="23"/>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Ordinary Shares, nominal value $0.000304635 per share</w:t>
            </w:r>
          </w:p>
        </w:tc>
        <w:tc>
          <w:tcPr>
            <w:tcW w:w="120" w:type="dxa"/>
            <w:vAlign w:val="bottom"/>
          </w:tcPr>
          <w:p>
            <w:pPr>
              <w:spacing w:after="0"/>
              <w:rPr>
                <w:sz w:val="15"/>
                <w:szCs w:val="15"/>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WTW</w:t>
            </w:r>
          </w:p>
        </w:tc>
        <w:tc>
          <w:tcPr>
            <w:tcW w:w="120" w:type="dxa"/>
            <w:vAlign w:val="bottom"/>
          </w:tcPr>
          <w:p>
            <w:pPr>
              <w:spacing w:after="0"/>
              <w:rPr>
                <w:sz w:val="15"/>
                <w:szCs w:val="15"/>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NASDAQ Global Select Market</w:t>
            </w:r>
          </w:p>
        </w:tc>
        <w:tc>
          <w:tcPr>
            <w:tcW w:w="0" w:type="dxa"/>
            <w:vAlign w:val="bottom"/>
          </w:tcPr>
          <w:p>
            <w:pPr>
              <w:spacing w:after="0"/>
              <w:rPr>
                <w:sz w:val="1"/>
                <w:szCs w:val="1"/>
                <w:color w:val="auto"/>
              </w:rPr>
            </w:pPr>
          </w:p>
        </w:tc>
      </w:tr>
      <w:tr>
        <w:trPr>
          <w:trHeight w:val="45"/>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right="220"/>
        <w:spacing w:after="0" w:line="25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66" w:lineRule="exact"/>
        <w:rPr>
          <w:sz w:val="24"/>
          <w:szCs w:val="24"/>
          <w:color w:val="auto"/>
        </w:rPr>
      </w:pPr>
    </w:p>
    <w:p>
      <w:pPr>
        <w:ind w:right="60"/>
        <w:spacing w:after="0" w:line="25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No</w:t>
      </w:r>
    </w:p>
    <w:p>
      <w:pPr>
        <w:spacing w:after="0" w:line="66" w:lineRule="exact"/>
        <w:rPr>
          <w:sz w:val="24"/>
          <w:szCs w:val="24"/>
          <w:color w:val="auto"/>
        </w:rPr>
      </w:pPr>
    </w:p>
    <w:p>
      <w:pPr>
        <w:ind w:right="540"/>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5" w:right="339" w:bottom="1440" w:gutter="0" w:footer="0" w:header="0"/>
        </w:sectPr>
      </w:pPr>
    </w:p>
    <w:p>
      <w:pPr>
        <w:spacing w:after="0" w:line="147"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5">
            <w:col w:w="2560" w:space="720"/>
            <w:col w:w="1680" w:space="720"/>
            <w:col w:w="2240" w:space="720"/>
            <w:col w:w="1620" w:space="720"/>
            <w:col w:w="260"/>
          </w:cols>
          <w:pgMar w:left="320" w:top="615" w:right="339" w:bottom="1440" w:gutter="0" w:footer="0" w:header="0"/>
          <w:type w:val="continuous"/>
        </w:sectPr>
      </w:pPr>
    </w:p>
    <w:p>
      <w:pPr>
        <w:spacing w:after="0" w:line="49" w:lineRule="exact"/>
        <w:rPr>
          <w:sz w:val="24"/>
          <w:szCs w:val="24"/>
          <w:color w:val="auto"/>
        </w:rPr>
      </w:pPr>
    </w:p>
    <w:p>
      <w:pPr>
        <w:ind w:left="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8" w:lineRule="exact"/>
        <w:rPr>
          <w:sz w:val="24"/>
          <w:szCs w:val="24"/>
          <w:color w:val="auto"/>
        </w:rPr>
      </w:pPr>
    </w:p>
    <w:p>
      <w:pPr>
        <w:sectPr>
          <w:pgSz w:w="11900" w:h="16838" w:orient="portrait"/>
          <w:cols w:equalWidth="0" w:num="2">
            <w:col w:w="1640" w:space="720"/>
            <w:col w:w="8880"/>
          </w:cols>
          <w:pgMar w:left="320" w:top="615" w:right="339" w:bottom="1440" w:gutter="0" w:footer="0" w:header="0"/>
          <w:type w:val="continuous"/>
        </w:sectPr>
      </w:pPr>
    </w:p>
    <w:p>
      <w:pPr>
        <w:spacing w:after="0" w:line="25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5" w:lineRule="exact"/>
        <w:rPr>
          <w:sz w:val="24"/>
          <w:szCs w:val="24"/>
          <w:color w:val="auto"/>
        </w:rPr>
      </w:pPr>
    </w:p>
    <w:p>
      <w:pPr>
        <w:ind w:right="3400"/>
        <w:spacing w:after="0" w:line="25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As of October 23, 2023, there were outstanding 103,260,407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Three and Nine Months Ended September 30,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Page</w:t>
            </w:r>
          </w:p>
        </w:tc>
      </w:tr>
      <w:tr>
        <w:trPr>
          <w:trHeight w:val="182"/>
        </w:trPr>
        <w:tc>
          <w:tcPr>
            <w:tcW w:w="40" w:type="dxa"/>
            <w:vAlign w:val="bottom"/>
          </w:tcPr>
          <w:p>
            <w:pPr>
              <w:spacing w:after="0"/>
              <w:rPr>
                <w:sz w:val="15"/>
                <w:szCs w:val="15"/>
                <w:color w:val="auto"/>
              </w:rPr>
            </w:pPr>
          </w:p>
        </w:tc>
        <w:tc>
          <w:tcPr>
            <w:tcW w:w="1400" w:type="dxa"/>
            <w:vAlign w:val="bottom"/>
            <w:tcBorders>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3"/>
              </w:rPr>
              <w:t>Certain Definitions</w:t>
            </w:r>
          </w:p>
        </w:tc>
        <w:tc>
          <w:tcPr>
            <w:tcW w:w="9240" w:type="dxa"/>
            <w:vAlign w:val="bottom"/>
            <w:gridSpan w:val="2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79"/>
              </w:rPr>
              <w:t>3</w:t>
            </w:r>
          </w:p>
        </w:tc>
      </w:tr>
      <w:tr>
        <w:trPr>
          <w:trHeight w:val="223"/>
        </w:trPr>
        <w:tc>
          <w:tcPr>
            <w:tcW w:w="40" w:type="dxa"/>
            <w:vAlign w:val="bottom"/>
          </w:tcPr>
          <w:p>
            <w:pPr>
              <w:spacing w:after="0"/>
              <w:rPr>
                <w:sz w:val="19"/>
                <w:szCs w:val="19"/>
                <w:color w:val="auto"/>
              </w:rPr>
            </w:pPr>
          </w:p>
        </w:tc>
        <w:tc>
          <w:tcPr>
            <w:tcW w:w="10640" w:type="dxa"/>
            <w:vAlign w:val="bottom"/>
            <w:gridSpan w:val="26"/>
          </w:tcPr>
          <w:p>
            <w:pPr>
              <w:spacing w:after="0"/>
              <w:rPr>
                <w:sz w:val="20"/>
                <w:szCs w:val="20"/>
                <w:color w:val="auto"/>
              </w:rPr>
            </w:pPr>
            <w:r>
              <w:rPr>
                <w:rFonts w:ascii="Arial" w:cs="Arial" w:eastAsia="Arial" w:hAnsi="Arial"/>
                <w:sz w:val="18"/>
                <w:szCs w:val="18"/>
                <w:color w:val="0000FF"/>
              </w:rPr>
              <w:t>Disclaimer Regarding Forward-looking Statements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65"/>
        </w:trPr>
        <w:tc>
          <w:tcPr>
            <w:tcW w:w="40" w:type="dxa"/>
            <w:vAlign w:val="bottom"/>
          </w:tcPr>
          <w:p>
            <w:pPr>
              <w:spacing w:after="0"/>
              <w:rPr>
                <w:sz w:val="24"/>
                <w:szCs w:val="24"/>
                <w:color w:val="auto"/>
              </w:rPr>
            </w:pPr>
          </w:p>
        </w:tc>
        <w:tc>
          <w:tcPr>
            <w:tcW w:w="36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PART I. FINANCIAL INFORMATION</w:t>
            </w:r>
          </w:p>
        </w:tc>
        <w:tc>
          <w:tcPr>
            <w:tcW w:w="69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Item 1. Financial Statements (Unaudited)</w:t>
            </w:r>
          </w:p>
        </w:tc>
        <w:tc>
          <w:tcPr>
            <w:tcW w:w="20" w:type="dxa"/>
            <w:vAlign w:val="bottom"/>
            <w:tcBorders>
              <w:bottom w:val="single" w:sz="8" w:color="0000EE"/>
            </w:tcBorders>
          </w:tcPr>
          <w:p>
            <w:pPr>
              <w:spacing w:after="0"/>
              <w:rPr>
                <w:sz w:val="19"/>
                <w:szCs w:val="19"/>
                <w:color w:val="auto"/>
              </w:rPr>
            </w:pPr>
          </w:p>
        </w:tc>
        <w:tc>
          <w:tcPr>
            <w:tcW w:w="7480" w:type="dxa"/>
            <w:vAlign w:val="bottom"/>
            <w:gridSpan w:val="11"/>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1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89"/>
              </w:rPr>
              <w:t>Condensed Consolidated Statements of Comprehensive Income - Three and Nine Months Ended September 30, 2023 and 2022</w:t>
            </w:r>
          </w:p>
        </w:tc>
        <w:tc>
          <w:tcPr>
            <w:tcW w:w="1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80" w:type="dxa"/>
            <w:vAlign w:val="bottom"/>
            <w:gridSpan w:val="24"/>
          </w:tcPr>
          <w:p>
            <w:pPr>
              <w:spacing w:after="0"/>
              <w:rPr>
                <w:sz w:val="20"/>
                <w:szCs w:val="20"/>
                <w:color w:val="auto"/>
              </w:rPr>
            </w:pPr>
            <w:r>
              <w:rPr>
                <w:rFonts w:ascii="Arial" w:cs="Arial" w:eastAsia="Arial" w:hAnsi="Arial"/>
                <w:sz w:val="18"/>
                <w:szCs w:val="18"/>
                <w:color w:val="0000FF"/>
              </w:rPr>
              <w:t>Condensed Consolidated Balance Sheets - September 30, 2023 and December 31, 2022</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Cash Flows - Nine Months Ended September 30, 2023 and 2022</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Changes in Equity - Nine Months Ended September 30, 2023 and 2022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88"/>
              </w:rPr>
              <w:t>Notes to the Condensed Consolidated Financial Statements</w:t>
            </w:r>
          </w:p>
        </w:tc>
        <w:tc>
          <w:tcPr>
            <w:tcW w:w="20" w:type="dxa"/>
            <w:vAlign w:val="bottom"/>
            <w:tcBorders>
              <w:top w:val="single" w:sz="8" w:color="0000FF"/>
              <w:bottom w:val="single" w:sz="8" w:color="0000EE"/>
            </w:tcBorders>
          </w:tcPr>
          <w:p>
            <w:pPr>
              <w:spacing w:after="0"/>
              <w:rPr>
                <w:sz w:val="19"/>
                <w:szCs w:val="19"/>
                <w:color w:val="auto"/>
              </w:rPr>
            </w:pPr>
          </w:p>
        </w:tc>
        <w:tc>
          <w:tcPr>
            <w:tcW w:w="3700" w:type="dxa"/>
            <w:vAlign w:val="bottom"/>
            <w:tcBorders>
              <w:top w:val="single" w:sz="8" w:color="0000FF"/>
            </w:tcBorders>
            <w:gridSpan w:val="6"/>
          </w:tcPr>
          <w:p>
            <w:pPr>
              <w:spacing w:after="0"/>
              <w:rPr>
                <w:sz w:val="19"/>
                <w:szCs w:val="19"/>
                <w:color w:val="auto"/>
              </w:rPr>
            </w:pPr>
          </w:p>
        </w:tc>
        <w:tc>
          <w:tcPr>
            <w:tcW w:w="2300" w:type="dxa"/>
            <w:vAlign w:val="bottom"/>
            <w:gridSpan w:val="2"/>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3460" w:type="dxa"/>
            <w:vAlign w:val="bottom"/>
            <w:gridSpan w:val="4"/>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5560" w:type="dxa"/>
            <w:vAlign w:val="bottom"/>
            <w:gridSpan w:val="6"/>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Item 4. Controls and Procedures</w:t>
            </w:r>
          </w:p>
        </w:tc>
        <w:tc>
          <w:tcPr>
            <w:tcW w:w="20" w:type="dxa"/>
            <w:vAlign w:val="bottom"/>
            <w:tcBorders>
              <w:bottom w:val="single" w:sz="8" w:color="0000EE"/>
            </w:tcBorders>
          </w:tcPr>
          <w:p>
            <w:pPr>
              <w:spacing w:after="0"/>
              <w:rPr>
                <w:sz w:val="19"/>
                <w:szCs w:val="19"/>
                <w:color w:val="auto"/>
              </w:rPr>
            </w:pPr>
          </w:p>
        </w:tc>
        <w:tc>
          <w:tcPr>
            <w:tcW w:w="8120" w:type="dxa"/>
            <w:vAlign w:val="bottom"/>
            <w:gridSpan w:val="16"/>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65"/>
        </w:trPr>
        <w:tc>
          <w:tcPr>
            <w:tcW w:w="40" w:type="dxa"/>
            <w:vAlign w:val="bottom"/>
          </w:tcPr>
          <w:p>
            <w:pPr>
              <w:spacing w:after="0"/>
              <w:rPr>
                <w:sz w:val="24"/>
                <w:szCs w:val="24"/>
                <w:color w:val="auto"/>
              </w:rPr>
            </w:pPr>
          </w:p>
        </w:tc>
        <w:tc>
          <w:tcPr>
            <w:tcW w:w="25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PART II. OTHER INFORMATION</w:t>
            </w:r>
          </w:p>
        </w:tc>
        <w:tc>
          <w:tcPr>
            <w:tcW w:w="806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Item 1. Legal Proceedings</w:t>
            </w:r>
          </w:p>
        </w:tc>
        <w:tc>
          <w:tcPr>
            <w:tcW w:w="8580" w:type="dxa"/>
            <w:vAlign w:val="bottom"/>
            <w:gridSpan w:val="18"/>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Item 1A. Risk Factors</w:t>
            </w:r>
          </w:p>
        </w:tc>
        <w:tc>
          <w:tcPr>
            <w:tcW w:w="8880" w:type="dxa"/>
            <w:vAlign w:val="bottom"/>
            <w:gridSpan w:val="20"/>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25"/>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8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Item 3. Defaults Upon Senior Securities</w:t>
            </w:r>
          </w:p>
        </w:tc>
        <w:tc>
          <w:tcPr>
            <w:tcW w:w="5580" w:type="dxa"/>
            <w:vAlign w:val="bottom"/>
            <w:gridSpan w:val="7"/>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Item 4. Mine Safety Disclosures</w:t>
            </w:r>
          </w:p>
        </w:tc>
        <w:tc>
          <w:tcPr>
            <w:tcW w:w="540" w:type="dxa"/>
            <w:vAlign w:val="bottom"/>
            <w:tcBorders>
              <w:top w:val="single" w:sz="8" w:color="0000FF"/>
            </w:tcBorders>
            <w:gridSpan w:val="4"/>
          </w:tcPr>
          <w:p>
            <w:pPr>
              <w:spacing w:after="0"/>
              <w:rPr>
                <w:sz w:val="19"/>
                <w:szCs w:val="19"/>
                <w:color w:val="auto"/>
              </w:rPr>
            </w:pPr>
          </w:p>
        </w:tc>
        <w:tc>
          <w:tcPr>
            <w:tcW w:w="7600" w:type="dxa"/>
            <w:vAlign w:val="bottom"/>
            <w:gridSpan w:val="13"/>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Item 5. Other Information</w:t>
            </w:r>
          </w:p>
        </w:tc>
        <w:tc>
          <w:tcPr>
            <w:tcW w:w="8600" w:type="dxa"/>
            <w:vAlign w:val="bottom"/>
            <w:gridSpan w:val="19"/>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25"/>
          </w:tcPr>
          <w:p>
            <w:pPr>
              <w:spacing w:after="0"/>
              <w:rPr>
                <w:sz w:val="20"/>
                <w:szCs w:val="20"/>
                <w:color w:val="auto"/>
              </w:rPr>
            </w:pPr>
            <w:r>
              <w:rPr>
                <w:rFonts w:ascii="Arial" w:cs="Arial" w:eastAsia="Arial" w:hAnsi="Arial"/>
                <w:sz w:val="18"/>
                <w:szCs w:val="18"/>
                <w:color w:val="0000FF"/>
              </w:rPr>
              <w:t>Item 6. Exhibits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2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640" w:type="dxa"/>
            <w:vAlign w:val="bottom"/>
            <w:gridSpan w:val="26"/>
          </w:tcPr>
          <w:p>
            <w:pPr>
              <w:spacing w:after="0"/>
              <w:rPr>
                <w:sz w:val="20"/>
                <w:szCs w:val="20"/>
                <w:color w:val="auto"/>
              </w:rPr>
            </w:pPr>
            <w:r>
              <w:rPr>
                <w:rFonts w:ascii="Arial" w:cs="Arial" w:eastAsia="Arial" w:hAnsi="Arial"/>
                <w:sz w:val="18"/>
                <w:szCs w:val="18"/>
                <w:color w:val="0000FF"/>
              </w:rPr>
              <w:t>Signatures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641"/>
        </w:trPr>
        <w:tc>
          <w:tcPr>
            <w:tcW w:w="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900" w:type="dxa"/>
            <w:vAlign w:val="bottom"/>
            <w:gridSpan w:val="18"/>
          </w:tcPr>
          <w:p>
            <w:pPr>
              <w:jc w:val="right"/>
              <w:ind w:right="10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apply throughout this quarterly report unless the context requires otherwise: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ind w:left="560"/>
              <w:spacing w:after="0"/>
              <w:rPr>
                <w:sz w:val="20"/>
                <w:szCs w:val="20"/>
                <w:color w:val="auto"/>
              </w:rPr>
            </w:pPr>
            <w:r>
              <w:rPr>
                <w:rFonts w:ascii="Arial" w:cs="Arial" w:eastAsia="Arial" w:hAnsi="Arial"/>
                <w:sz w:val="18"/>
                <w:szCs w:val="18"/>
                <w:color w:val="auto"/>
              </w:rPr>
              <w:t>‘We’, ‘Us’, ‘Company’, ‘Willis Towers Watson’,</w:t>
            </w:r>
          </w:p>
        </w:tc>
        <w:tc>
          <w:tcPr>
            <w:tcW w:w="6940" w:type="dxa"/>
            <w:vAlign w:val="bottom"/>
          </w:tcPr>
          <w:p>
            <w:pPr>
              <w:ind w:left="260"/>
              <w:spacing w:after="0"/>
              <w:rPr>
                <w:sz w:val="20"/>
                <w:szCs w:val="20"/>
                <w:color w:val="auto"/>
              </w:rPr>
            </w:pPr>
            <w:r>
              <w:rPr>
                <w:rFonts w:ascii="Arial" w:cs="Arial" w:eastAsia="Arial" w:hAnsi="Arial"/>
                <w:sz w:val="18"/>
                <w:szCs w:val="18"/>
                <w:color w:val="auto"/>
                <w:w w:val="95"/>
              </w:rPr>
              <w:t>Willis Towers Watson Public Limited Company, a company organized under the laws of</w:t>
            </w:r>
          </w:p>
        </w:tc>
      </w:tr>
      <w:tr>
        <w:trPr>
          <w:trHeight w:val="230"/>
        </w:trPr>
        <w:tc>
          <w:tcPr>
            <w:tcW w:w="4300" w:type="dxa"/>
            <w:vAlign w:val="bottom"/>
          </w:tcPr>
          <w:p>
            <w:pPr>
              <w:ind w:left="560"/>
              <w:spacing w:after="0"/>
              <w:rPr>
                <w:sz w:val="20"/>
                <w:szCs w:val="20"/>
                <w:color w:val="auto"/>
              </w:rPr>
            </w:pPr>
            <w:r>
              <w:rPr>
                <w:rFonts w:ascii="Arial" w:cs="Arial" w:eastAsia="Arial" w:hAnsi="Arial"/>
                <w:sz w:val="18"/>
                <w:szCs w:val="18"/>
                <w:color w:val="auto"/>
              </w:rPr>
              <w:t>‘Our’, ‘Willis Towers Watson plc’ or ‘WTW’</w:t>
            </w:r>
          </w:p>
        </w:tc>
        <w:tc>
          <w:tcPr>
            <w:tcW w:w="6940" w:type="dxa"/>
            <w:vAlign w:val="bottom"/>
          </w:tcPr>
          <w:p>
            <w:pPr>
              <w:ind w:left="260"/>
              <w:spacing w:after="0"/>
              <w:rPr>
                <w:sz w:val="20"/>
                <w:szCs w:val="20"/>
                <w:color w:val="auto"/>
              </w:rPr>
            </w:pPr>
            <w:r>
              <w:rPr>
                <w:rFonts w:ascii="Arial" w:cs="Arial" w:eastAsia="Arial" w:hAnsi="Arial"/>
                <w:sz w:val="18"/>
                <w:szCs w:val="18"/>
                <w:color w:val="auto"/>
              </w:rPr>
              <w:t>Ireland, and its subsidiaries</w:t>
            </w:r>
          </w:p>
        </w:tc>
      </w:tr>
      <w:tr>
        <w:trPr>
          <w:trHeight w:val="377"/>
        </w:trPr>
        <w:tc>
          <w:tcPr>
            <w:tcW w:w="4300" w:type="dxa"/>
            <w:vAlign w:val="bottom"/>
          </w:tcPr>
          <w:p>
            <w:pPr>
              <w:ind w:left="560"/>
              <w:spacing w:after="0"/>
              <w:rPr>
                <w:sz w:val="20"/>
                <w:szCs w:val="20"/>
                <w:color w:val="auto"/>
              </w:rPr>
            </w:pPr>
            <w:r>
              <w:rPr>
                <w:rFonts w:ascii="Arial" w:cs="Arial" w:eastAsia="Arial" w:hAnsi="Arial"/>
                <w:sz w:val="18"/>
                <w:szCs w:val="18"/>
                <w:color w:val="auto"/>
              </w:rPr>
              <w:t>‘shares’</w:t>
            </w:r>
          </w:p>
        </w:tc>
        <w:tc>
          <w:tcPr>
            <w:tcW w:w="6940" w:type="dxa"/>
            <w:vAlign w:val="bottom"/>
          </w:tcPr>
          <w:p>
            <w:pPr>
              <w:ind w:left="260"/>
              <w:spacing w:after="0"/>
              <w:rPr>
                <w:sz w:val="20"/>
                <w:szCs w:val="20"/>
                <w:color w:val="auto"/>
              </w:rPr>
            </w:pPr>
            <w:r>
              <w:rPr>
                <w:rFonts w:ascii="Arial" w:cs="Arial" w:eastAsia="Arial" w:hAnsi="Arial"/>
                <w:sz w:val="18"/>
                <w:szCs w:val="18"/>
                <w:color w:val="auto"/>
                <w:w w:val="98"/>
              </w:rPr>
              <w:t>The ordinary shares of Willis Towers Watson Public Limited Company, nominal value</w:t>
            </w:r>
          </w:p>
        </w:tc>
      </w:tr>
      <w:tr>
        <w:trPr>
          <w:trHeight w:val="230"/>
        </w:trPr>
        <w:tc>
          <w:tcPr>
            <w:tcW w:w="430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$0.000304635 per share</w:t>
            </w:r>
          </w:p>
        </w:tc>
      </w:tr>
      <w:tr>
        <w:trPr>
          <w:trHeight w:val="391"/>
        </w:trPr>
        <w:tc>
          <w:tcPr>
            <w:tcW w:w="4300" w:type="dxa"/>
            <w:vAlign w:val="bottom"/>
          </w:tcPr>
          <w:p>
            <w:pPr>
              <w:ind w:left="560"/>
              <w:spacing w:after="0"/>
              <w:rPr>
                <w:sz w:val="20"/>
                <w:szCs w:val="20"/>
                <w:color w:val="auto"/>
              </w:rPr>
            </w:pPr>
            <w:r>
              <w:rPr>
                <w:rFonts w:ascii="Arial" w:cs="Arial" w:eastAsia="Arial" w:hAnsi="Arial"/>
                <w:sz w:val="18"/>
                <w:szCs w:val="18"/>
                <w:color w:val="auto"/>
              </w:rPr>
              <w:t>‘TRANZACT’</w:t>
            </w:r>
          </w:p>
        </w:tc>
        <w:tc>
          <w:tcPr>
            <w:tcW w:w="6940" w:type="dxa"/>
            <w:vAlign w:val="bottom"/>
          </w:tcPr>
          <w:p>
            <w:pPr>
              <w:ind w:left="260"/>
              <w:spacing w:after="0"/>
              <w:rPr>
                <w:sz w:val="20"/>
                <w:szCs w:val="20"/>
                <w:color w:val="auto"/>
              </w:rPr>
            </w:pPr>
            <w:r>
              <w:rPr>
                <w:rFonts w:ascii="Arial" w:cs="Arial" w:eastAsia="Arial" w:hAnsi="Arial"/>
                <w:sz w:val="18"/>
                <w:szCs w:val="18"/>
                <w:color w:val="auto"/>
              </w:rPr>
              <w:t>CD&amp;R TZ Holdings, Inc. and its subsidiaries, doing business as TRANZACT</w:t>
            </w:r>
          </w:p>
        </w:tc>
      </w:tr>
      <w:tr>
        <w:trPr>
          <w:trHeight w:val="391"/>
        </w:trPr>
        <w:tc>
          <w:tcPr>
            <w:tcW w:w="4300" w:type="dxa"/>
            <w:vAlign w:val="bottom"/>
          </w:tcPr>
          <w:p>
            <w:pPr>
              <w:ind w:left="540"/>
              <w:spacing w:after="0"/>
              <w:rPr>
                <w:sz w:val="20"/>
                <w:szCs w:val="20"/>
                <w:color w:val="auto"/>
              </w:rPr>
            </w:pPr>
            <w:r>
              <w:rPr>
                <w:rFonts w:ascii="Arial" w:cs="Arial" w:eastAsia="Arial" w:hAnsi="Arial"/>
                <w:sz w:val="18"/>
                <w:szCs w:val="18"/>
                <w:color w:val="auto"/>
              </w:rPr>
              <w:t>‘U.S.’</w:t>
            </w:r>
          </w:p>
        </w:tc>
        <w:tc>
          <w:tcPr>
            <w:tcW w:w="6940" w:type="dxa"/>
            <w:vAlign w:val="bottom"/>
          </w:tcPr>
          <w:p>
            <w:pPr>
              <w:ind w:left="240"/>
              <w:spacing w:after="0"/>
              <w:rPr>
                <w:sz w:val="20"/>
                <w:szCs w:val="20"/>
                <w:color w:val="auto"/>
              </w:rPr>
            </w:pPr>
            <w:r>
              <w:rPr>
                <w:rFonts w:ascii="Arial" w:cs="Arial" w:eastAsia="Arial" w:hAnsi="Arial"/>
                <w:sz w:val="18"/>
                <w:szCs w:val="18"/>
                <w:color w:val="auto"/>
              </w:rPr>
              <w:t>United States</w:t>
            </w:r>
          </w:p>
        </w:tc>
      </w:tr>
      <w:tr>
        <w:trPr>
          <w:trHeight w:val="391"/>
        </w:trPr>
        <w:tc>
          <w:tcPr>
            <w:tcW w:w="4300" w:type="dxa"/>
            <w:vAlign w:val="bottom"/>
          </w:tcPr>
          <w:p>
            <w:pPr>
              <w:ind w:left="560"/>
              <w:spacing w:after="0"/>
              <w:rPr>
                <w:sz w:val="20"/>
                <w:szCs w:val="20"/>
                <w:color w:val="auto"/>
              </w:rPr>
            </w:pPr>
            <w:r>
              <w:rPr>
                <w:rFonts w:ascii="Arial" w:cs="Arial" w:eastAsia="Arial" w:hAnsi="Arial"/>
                <w:sz w:val="18"/>
                <w:szCs w:val="18"/>
                <w:color w:val="auto"/>
              </w:rPr>
              <w:t>‘U.K.’</w:t>
            </w:r>
          </w:p>
        </w:tc>
        <w:tc>
          <w:tcPr>
            <w:tcW w:w="6940" w:type="dxa"/>
            <w:vAlign w:val="bottom"/>
          </w:tcPr>
          <w:p>
            <w:pPr>
              <w:ind w:left="260"/>
              <w:spacing w:after="0"/>
              <w:rPr>
                <w:sz w:val="20"/>
                <w:szCs w:val="20"/>
                <w:color w:val="auto"/>
              </w:rPr>
            </w:pPr>
            <w:r>
              <w:rPr>
                <w:rFonts w:ascii="Arial" w:cs="Arial" w:eastAsia="Arial" w:hAnsi="Arial"/>
                <w:sz w:val="18"/>
                <w:szCs w:val="18"/>
                <w:color w:val="auto"/>
              </w:rPr>
              <w:t>United Kingdom</w:t>
            </w:r>
          </w:p>
        </w:tc>
      </w:tr>
      <w:tr>
        <w:trPr>
          <w:trHeight w:val="404"/>
        </w:trPr>
        <w:tc>
          <w:tcPr>
            <w:tcW w:w="4300" w:type="dxa"/>
            <w:vAlign w:val="bottom"/>
          </w:tcPr>
          <w:p>
            <w:pPr>
              <w:ind w:left="560"/>
              <w:spacing w:after="0"/>
              <w:rPr>
                <w:sz w:val="20"/>
                <w:szCs w:val="20"/>
                <w:color w:val="auto"/>
              </w:rPr>
            </w:pPr>
            <w:r>
              <w:rPr>
                <w:rFonts w:ascii="Arial" w:cs="Arial" w:eastAsia="Arial" w:hAnsi="Arial"/>
                <w:sz w:val="18"/>
                <w:szCs w:val="18"/>
                <w:color w:val="auto"/>
              </w:rPr>
              <w:t>‘Brexit’</w:t>
            </w:r>
          </w:p>
        </w:tc>
        <w:tc>
          <w:tcPr>
            <w:tcW w:w="6940" w:type="dxa"/>
            <w:vAlign w:val="bottom"/>
          </w:tcPr>
          <w:p>
            <w:pPr>
              <w:ind w:left="260"/>
              <w:spacing w:after="0"/>
              <w:rPr>
                <w:sz w:val="20"/>
                <w:szCs w:val="20"/>
                <w:color w:val="auto"/>
              </w:rPr>
            </w:pPr>
            <w:r>
              <w:rPr>
                <w:rFonts w:ascii="Arial" w:cs="Arial" w:eastAsia="Arial" w:hAnsi="Arial"/>
                <w:sz w:val="18"/>
                <w:szCs w:val="18"/>
                <w:color w:val="auto"/>
                <w:w w:val="99"/>
              </w:rPr>
              <w:t>The United Kingdom’s exit from the European Union, which occurred on January 31,</w:t>
            </w:r>
          </w:p>
        </w:tc>
      </w:tr>
      <w:tr>
        <w:trPr>
          <w:trHeight w:val="230"/>
        </w:trPr>
        <w:tc>
          <w:tcPr>
            <w:tcW w:w="430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2020.</w:t>
            </w:r>
          </w:p>
        </w:tc>
      </w:tr>
      <w:tr>
        <w:trPr>
          <w:trHeight w:val="377"/>
        </w:trPr>
        <w:tc>
          <w:tcPr>
            <w:tcW w:w="4300" w:type="dxa"/>
            <w:vAlign w:val="bottom"/>
          </w:tcPr>
          <w:p>
            <w:pPr>
              <w:ind w:left="540"/>
              <w:spacing w:after="0"/>
              <w:rPr>
                <w:sz w:val="20"/>
                <w:szCs w:val="20"/>
                <w:color w:val="auto"/>
              </w:rPr>
            </w:pPr>
            <w:r>
              <w:rPr>
                <w:rFonts w:ascii="Arial" w:cs="Arial" w:eastAsia="Arial" w:hAnsi="Arial"/>
                <w:sz w:val="18"/>
                <w:szCs w:val="18"/>
                <w:color w:val="auto"/>
              </w:rPr>
              <w:t>‘E.U.’</w:t>
            </w:r>
          </w:p>
        </w:tc>
        <w:tc>
          <w:tcPr>
            <w:tcW w:w="6940" w:type="dxa"/>
            <w:vAlign w:val="bottom"/>
          </w:tcPr>
          <w:p>
            <w:pPr>
              <w:ind w:left="240"/>
              <w:spacing w:after="0"/>
              <w:rPr>
                <w:sz w:val="20"/>
                <w:szCs w:val="20"/>
                <w:color w:val="auto"/>
              </w:rPr>
            </w:pPr>
            <w:r>
              <w:rPr>
                <w:rFonts w:ascii="Arial" w:cs="Arial" w:eastAsia="Arial" w:hAnsi="Arial"/>
                <w:sz w:val="18"/>
                <w:szCs w:val="18"/>
                <w:color w:val="auto"/>
                <w:w w:val="97"/>
              </w:rPr>
              <w:t>European Union or European Union 27 (the number of member countries following the</w:t>
            </w:r>
          </w:p>
        </w:tc>
      </w:tr>
      <w:tr>
        <w:trPr>
          <w:trHeight w:val="230"/>
        </w:trPr>
        <w:tc>
          <w:tcPr>
            <w:tcW w:w="4300" w:type="dxa"/>
            <w:vAlign w:val="bottom"/>
          </w:tcPr>
          <w:p>
            <w:pPr>
              <w:spacing w:after="0"/>
              <w:rPr>
                <w:sz w:val="20"/>
                <w:szCs w:val="20"/>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United Kingdom’s exit)</w:t>
            </w:r>
          </w:p>
        </w:tc>
      </w:tr>
      <w:tr>
        <w:trPr>
          <w:trHeight w:val="391"/>
        </w:trPr>
        <w:tc>
          <w:tcPr>
            <w:tcW w:w="4300" w:type="dxa"/>
            <w:vAlign w:val="bottom"/>
          </w:tcPr>
          <w:p>
            <w:pPr>
              <w:ind w:left="560"/>
              <w:spacing w:after="0"/>
              <w:rPr>
                <w:sz w:val="20"/>
                <w:szCs w:val="20"/>
                <w:color w:val="auto"/>
              </w:rPr>
            </w:pPr>
            <w:r>
              <w:rPr>
                <w:rFonts w:ascii="Arial" w:cs="Arial" w:eastAsia="Arial" w:hAnsi="Arial"/>
                <w:sz w:val="18"/>
                <w:szCs w:val="18"/>
                <w:color w:val="auto"/>
              </w:rPr>
              <w:t>‘U.S. GAAP’</w:t>
            </w:r>
          </w:p>
        </w:tc>
        <w:tc>
          <w:tcPr>
            <w:tcW w:w="6940" w:type="dxa"/>
            <w:vAlign w:val="bottom"/>
          </w:tcPr>
          <w:p>
            <w:pPr>
              <w:ind w:left="26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418"/>
        </w:trPr>
        <w:tc>
          <w:tcPr>
            <w:tcW w:w="4300" w:type="dxa"/>
            <w:vAlign w:val="bottom"/>
          </w:tcPr>
          <w:p>
            <w:pPr>
              <w:ind w:left="560"/>
              <w:spacing w:after="0"/>
              <w:rPr>
                <w:sz w:val="20"/>
                <w:szCs w:val="20"/>
                <w:color w:val="auto"/>
              </w:rPr>
            </w:pPr>
            <w:r>
              <w:rPr>
                <w:rFonts w:ascii="Arial" w:cs="Arial" w:eastAsia="Arial" w:hAnsi="Arial"/>
                <w:sz w:val="18"/>
                <w:szCs w:val="18"/>
                <w:color w:val="auto"/>
              </w:rPr>
              <w:t>‘FASB’</w:t>
            </w:r>
          </w:p>
        </w:tc>
        <w:tc>
          <w:tcPr>
            <w:tcW w:w="6940" w:type="dxa"/>
            <w:vAlign w:val="bottom"/>
          </w:tcPr>
          <w:p>
            <w:pPr>
              <w:ind w:left="260"/>
              <w:spacing w:after="0"/>
              <w:rPr>
                <w:sz w:val="20"/>
                <w:szCs w:val="20"/>
                <w:color w:val="auto"/>
              </w:rPr>
            </w:pPr>
            <w:r>
              <w:rPr>
                <w:rFonts w:ascii="Arial" w:cs="Arial" w:eastAsia="Arial" w:hAnsi="Arial"/>
                <w:sz w:val="18"/>
                <w:szCs w:val="18"/>
                <w:color w:val="auto"/>
              </w:rPr>
              <w:t>Financial Accounting Standards Board</w:t>
            </w:r>
          </w:p>
        </w:tc>
      </w:tr>
      <w:tr>
        <w:trPr>
          <w:trHeight w:val="418"/>
        </w:trPr>
        <w:tc>
          <w:tcPr>
            <w:tcW w:w="4300" w:type="dxa"/>
            <w:vAlign w:val="bottom"/>
          </w:tcPr>
          <w:p>
            <w:pPr>
              <w:ind w:left="560"/>
              <w:spacing w:after="0"/>
              <w:rPr>
                <w:sz w:val="20"/>
                <w:szCs w:val="20"/>
                <w:color w:val="auto"/>
              </w:rPr>
            </w:pPr>
            <w:r>
              <w:rPr>
                <w:rFonts w:ascii="Arial" w:cs="Arial" w:eastAsia="Arial" w:hAnsi="Arial"/>
                <w:sz w:val="18"/>
                <w:szCs w:val="18"/>
                <w:color w:val="auto"/>
              </w:rPr>
              <w:t>‘ASC’</w:t>
            </w:r>
          </w:p>
        </w:tc>
        <w:tc>
          <w:tcPr>
            <w:tcW w:w="6940" w:type="dxa"/>
            <w:vAlign w:val="bottom"/>
          </w:tcPr>
          <w:p>
            <w:pPr>
              <w:ind w:left="260"/>
              <w:spacing w:after="0"/>
              <w:rPr>
                <w:sz w:val="20"/>
                <w:szCs w:val="20"/>
                <w:color w:val="auto"/>
              </w:rPr>
            </w:pPr>
            <w:r>
              <w:rPr>
                <w:rFonts w:ascii="Arial" w:cs="Arial" w:eastAsia="Arial" w:hAnsi="Arial"/>
                <w:sz w:val="18"/>
                <w:szCs w:val="18"/>
                <w:color w:val="auto"/>
              </w:rPr>
              <w:t>Accounting Standards Codification</w:t>
            </w:r>
          </w:p>
        </w:tc>
      </w:tr>
      <w:tr>
        <w:trPr>
          <w:trHeight w:val="418"/>
        </w:trPr>
        <w:tc>
          <w:tcPr>
            <w:tcW w:w="4300" w:type="dxa"/>
            <w:vAlign w:val="bottom"/>
          </w:tcPr>
          <w:p>
            <w:pPr>
              <w:ind w:left="560"/>
              <w:spacing w:after="0"/>
              <w:rPr>
                <w:sz w:val="20"/>
                <w:szCs w:val="20"/>
                <w:color w:val="auto"/>
              </w:rPr>
            </w:pPr>
            <w:r>
              <w:rPr>
                <w:rFonts w:ascii="Arial" w:cs="Arial" w:eastAsia="Arial" w:hAnsi="Arial"/>
                <w:sz w:val="18"/>
                <w:szCs w:val="18"/>
                <w:color w:val="auto"/>
              </w:rPr>
              <w:t>‘ASU’</w:t>
            </w:r>
          </w:p>
        </w:tc>
        <w:tc>
          <w:tcPr>
            <w:tcW w:w="6940" w:type="dxa"/>
            <w:vAlign w:val="bottom"/>
          </w:tcPr>
          <w:p>
            <w:pPr>
              <w:ind w:left="260"/>
              <w:spacing w:after="0"/>
              <w:rPr>
                <w:sz w:val="20"/>
                <w:szCs w:val="20"/>
                <w:color w:val="auto"/>
              </w:rPr>
            </w:pPr>
            <w:r>
              <w:rPr>
                <w:rFonts w:ascii="Arial" w:cs="Arial" w:eastAsia="Arial" w:hAnsi="Arial"/>
                <w:sz w:val="18"/>
                <w:szCs w:val="18"/>
                <w:color w:val="auto"/>
              </w:rPr>
              <w:t>Accounting Standards Update</w:t>
            </w:r>
          </w:p>
        </w:tc>
      </w:tr>
      <w:tr>
        <w:trPr>
          <w:trHeight w:val="418"/>
        </w:trPr>
        <w:tc>
          <w:tcPr>
            <w:tcW w:w="4300" w:type="dxa"/>
            <w:vAlign w:val="bottom"/>
          </w:tcPr>
          <w:p>
            <w:pPr>
              <w:ind w:left="560"/>
              <w:spacing w:after="0"/>
              <w:rPr>
                <w:sz w:val="20"/>
                <w:szCs w:val="20"/>
                <w:color w:val="auto"/>
              </w:rPr>
            </w:pPr>
            <w:r>
              <w:rPr>
                <w:rFonts w:ascii="Arial" w:cs="Arial" w:eastAsia="Arial" w:hAnsi="Arial"/>
                <w:sz w:val="18"/>
                <w:szCs w:val="18"/>
                <w:color w:val="auto"/>
              </w:rPr>
              <w:t>‘SEC’</w:t>
            </w:r>
          </w:p>
        </w:tc>
        <w:tc>
          <w:tcPr>
            <w:tcW w:w="6940" w:type="dxa"/>
            <w:vAlign w:val="bottom"/>
          </w:tcPr>
          <w:p>
            <w:pPr>
              <w:ind w:left="260"/>
              <w:spacing w:after="0"/>
              <w:rPr>
                <w:sz w:val="20"/>
                <w:szCs w:val="20"/>
                <w:color w:val="auto"/>
              </w:rPr>
            </w:pPr>
            <w:r>
              <w:rPr>
                <w:rFonts w:ascii="Arial" w:cs="Arial" w:eastAsia="Arial" w:hAnsi="Arial"/>
                <w:sz w:val="18"/>
                <w:szCs w:val="18"/>
                <w:color w:val="auto"/>
              </w:rPr>
              <w:t>United States Securities and Exchange Commission</w:t>
            </w:r>
          </w:p>
        </w:tc>
      </w:tr>
      <w:tr>
        <w:trPr>
          <w:trHeight w:val="431"/>
        </w:trPr>
        <w:tc>
          <w:tcPr>
            <w:tcW w:w="4300" w:type="dxa"/>
            <w:vAlign w:val="bottom"/>
          </w:tcPr>
          <w:p>
            <w:pPr>
              <w:ind w:left="540"/>
              <w:spacing w:after="0"/>
              <w:rPr>
                <w:sz w:val="20"/>
                <w:szCs w:val="20"/>
                <w:color w:val="auto"/>
              </w:rPr>
            </w:pPr>
            <w:r>
              <w:rPr>
                <w:rFonts w:ascii="Arial" w:cs="Arial" w:eastAsia="Arial" w:hAnsi="Arial"/>
                <w:sz w:val="18"/>
                <w:szCs w:val="18"/>
                <w:color w:val="auto"/>
              </w:rPr>
              <w:t>‘EBITDA’</w:t>
            </w:r>
          </w:p>
        </w:tc>
        <w:tc>
          <w:tcPr>
            <w:tcW w:w="6940" w:type="dxa"/>
            <w:vAlign w:val="bottom"/>
          </w:tcPr>
          <w:p>
            <w:pPr>
              <w:ind w:left="24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809"/>
        </w:trPr>
        <w:tc>
          <w:tcPr>
            <w:tcW w:w="4300" w:type="dxa"/>
            <w:vAlign w:val="bottom"/>
          </w:tcPr>
          <w:p>
            <w:pPr>
              <w:spacing w:after="0"/>
              <w:rPr>
                <w:sz w:val="24"/>
                <w:szCs w:val="24"/>
                <w:color w:val="auto"/>
              </w:rPr>
            </w:pPr>
          </w:p>
        </w:tc>
        <w:tc>
          <w:tcPr>
            <w:tcW w:w="6940" w:type="dxa"/>
            <w:vAlign w:val="bottom"/>
          </w:tcPr>
          <w:p>
            <w:pPr>
              <w:ind w:left="1280"/>
              <w:spacing w:after="0"/>
              <w:rPr>
                <w:sz w:val="20"/>
                <w:szCs w:val="20"/>
                <w:color w:val="auto"/>
              </w:rPr>
            </w:pPr>
            <w:r>
              <w:rPr>
                <w:rFonts w:ascii="Arial" w:cs="Arial" w:eastAsia="Arial" w:hAnsi="Arial"/>
                <w:sz w:val="18"/>
                <w:szCs w:val="18"/>
                <w:color w:val="auto"/>
              </w:rPr>
              <w:t>3</w:t>
            </w:r>
          </w:p>
        </w:tc>
      </w:tr>
      <w:tr>
        <w:trPr>
          <w:trHeight w:val="115"/>
        </w:trPr>
        <w:tc>
          <w:tcPr>
            <w:tcW w:w="4300" w:type="dxa"/>
            <w:vAlign w:val="bottom"/>
            <w:tcBorders>
              <w:bottom w:val="single" w:sz="8" w:color="9A9A9A"/>
            </w:tcBorders>
          </w:tcPr>
          <w:p>
            <w:pPr>
              <w:spacing w:after="0"/>
              <w:rPr>
                <w:sz w:val="9"/>
                <w:szCs w:val="9"/>
                <w:color w:val="auto"/>
              </w:rPr>
            </w:pPr>
          </w:p>
        </w:tc>
        <w:tc>
          <w:tcPr>
            <w:tcW w:w="6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Disclaimer Regarding Forward-looking Statements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and acquisitions and dispositions, including our completed sale of Willis Re to Arthur J. Gallagher &amp; Co. (‘Gallagher’) and transitional arrangements related thereto; demand for our services and competitive strengths; strategic goals; the benefits of new initiatives; growth of our business and operations;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and plans and references to future successes, including our future financial and operating results, short-term and long-term financial goals, plans, objectives, expectations and intentions, including with respect to free cash flow generation, adjusted net revenue,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62"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establish, execute and achieve our global business strategy as it evolves;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realize anticipated benefits of our growth strategy;</w:t>
      </w:r>
    </w:p>
    <w:p>
      <w:pPr>
        <w:spacing w:after="0" w:line="116"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short-term and long-term financial goals, such as with respect to our cash flow generation, and the timing with respect to such achievement;</w:t>
      </w:r>
    </w:p>
    <w:p>
      <w:pPr>
        <w:spacing w:after="0" w:line="61" w:lineRule="exact"/>
        <w:rPr>
          <w:rFonts w:ascii="Arial" w:cs="Arial" w:eastAsia="Arial" w:hAnsi="Arial"/>
          <w:sz w:val="18"/>
          <w:szCs w:val="18"/>
          <w:color w:val="auto"/>
        </w:rPr>
      </w:pPr>
    </w:p>
    <w:p>
      <w:pPr>
        <w:ind w:left="760" w:right="40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related to changes in general economic (including a possible recession), business and political conditions, including changes in the financial markets, inflation, credit availability, increased interest rates and trade policies;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to our short-term and long-term financial goals from any of the risks or uncertainties set forth herein;</w:t>
      </w:r>
    </w:p>
    <w:p>
      <w:pPr>
        <w:spacing w:after="0" w:line="116" w:lineRule="exact"/>
        <w:rPr>
          <w:rFonts w:ascii="Arial" w:cs="Arial" w:eastAsia="Arial" w:hAnsi="Arial"/>
          <w:sz w:val="18"/>
          <w:szCs w:val="18"/>
          <w:color w:val="auto"/>
        </w:rPr>
      </w:pPr>
    </w:p>
    <w:p>
      <w:pPr>
        <w:ind w:left="760" w:hanging="378"/>
        <w:spacing w:after="0" w:line="25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to our business, financial condition, results of operations, and long-term goals that may be materially adversely affected by any negative impact on the global economy and capital markets resulting from or relating to inflation, the military conflict between Russia and Ukraine, evolving events in Israel and Gaza or any other geopolitical tensions and the withdrawal from our high-margin businesses in Russia and our ability to achieve cost-mitigation measures;</w:t>
      </w:r>
    </w:p>
    <w:p>
      <w:pPr>
        <w:spacing w:after="0" w:line="7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hedge against fluctuations in foreign currency rates;</w:t>
      </w:r>
    </w:p>
    <w:p>
      <w:pPr>
        <w:spacing w:after="0" w:line="116" w:lineRule="exact"/>
        <w:rPr>
          <w:rFonts w:ascii="Arial" w:cs="Arial" w:eastAsia="Arial" w:hAnsi="Arial"/>
          <w:sz w:val="18"/>
          <w:szCs w:val="18"/>
          <w:color w:val="auto"/>
        </w:rPr>
      </w:pPr>
    </w:p>
    <w:p>
      <w:pPr>
        <w:jc w:val="both"/>
        <w:ind w:left="760" w:right="520" w:hanging="378"/>
        <w:spacing w:after="0" w:line="311"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relating to the adverse impacts of natural or man-made disasters like health pandemics and other world health crises, such as the COVID-19 pandemic, including supply chain, workforce availability, vaccination rates, and other impacts on the people and businesses in jurisdictions where we do business, on the demand for our products and services, our cash flows and our business operations;</w:t>
      </w:r>
    </w:p>
    <w:p>
      <w:pPr>
        <w:spacing w:after="0" w:line="39" w:lineRule="exact"/>
        <w:rPr>
          <w:rFonts w:ascii="Arial" w:cs="Arial" w:eastAsia="Arial" w:hAnsi="Arial"/>
          <w:sz w:val="16"/>
          <w:szCs w:val="16"/>
          <w:color w:val="auto"/>
        </w:rPr>
      </w:pPr>
    </w:p>
    <w:p>
      <w:pPr>
        <w:ind w:left="760" w:right="62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complex and evolving regulations related to data privacy, cybersecurity and artificial intelligence;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relating to the transitional arrangements in effect subsequent to our now-completed sale of Willis Re to Gallagher;</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that we face and the potential for loss of market share and/or profitability;</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seasonality and differences in timing of renewals and non-recurring revenue increases from disposals and book-of-business sales;</w:t>
      </w:r>
    </w:p>
    <w:p>
      <w:pPr>
        <w:spacing w:after="0" w:line="139"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to protect client data or breaches of information systems or insufficient safeguards against cybersecurity breaches or incidents;</w:t>
      </w:r>
    </w:p>
    <w:p>
      <w:pPr>
        <w:spacing w:after="0" w:line="128" w:lineRule="exact"/>
        <w:rPr>
          <w:rFonts w:ascii="Arial" w:cs="Arial" w:eastAsia="Arial" w:hAnsi="Arial"/>
          <w:sz w:val="17"/>
          <w:szCs w:val="17"/>
          <w:color w:val="auto"/>
        </w:rPr>
      </w:pPr>
    </w:p>
    <w:p>
      <w:pPr>
        <w:ind w:left="760" w:right="4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increased liability or new legal claims arising from our new and existing products and services, and expectations, intentions and outcomes relating to outstanding litigation;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substantial negative outcomes on existing litigation or investigation matters;</w:t>
      </w:r>
    </w:p>
    <w:p>
      <w:pPr>
        <w:spacing w:after="0" w:line="116" w:lineRule="exact"/>
        <w:rPr>
          <w:rFonts w:ascii="Arial" w:cs="Arial" w:eastAsia="Arial" w:hAnsi="Arial"/>
          <w:sz w:val="18"/>
          <w:szCs w:val="18"/>
          <w:color w:val="auto"/>
        </w:rPr>
      </w:pPr>
    </w:p>
    <w:p>
      <w:pPr>
        <w:ind w:left="380" w:right="4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regulatory environment in which we operate, including, among other risks, the impacts of pending competition law and regulatory investigations;</w:t>
      </w:r>
    </w:p>
    <w:p>
      <w:pPr>
        <w:spacing w:after="0" w:line="61"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claims, government inquiries or investigations or the potential for regulatory action;</w:t>
      </w:r>
    </w:p>
    <w:p>
      <w:pPr>
        <w:spacing w:after="0" w:line="116" w:lineRule="exact"/>
        <w:rPr>
          <w:rFonts w:ascii="Arial" w:cs="Arial" w:eastAsia="Arial" w:hAnsi="Arial"/>
          <w:sz w:val="18"/>
          <w:szCs w:val="18"/>
          <w:color w:val="auto"/>
        </w:rPr>
      </w:pPr>
    </w:p>
    <w:p>
      <w:pPr>
        <w:ind w:left="380" w:right="44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divestitures or acquisitions, including our ability to integrate or manage such acquired businesses as well as identify and successfully execute on opportunities for strategic collaboration;</w:t>
      </w:r>
    </w:p>
    <w:p>
      <w:pPr>
        <w:spacing w:after="0" w:line="61"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direct-to-consumer sales and marketing solutions with our existing offerings and solutions;</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ongoing organizational changes, including investments in improving systems and processes;</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disasters or business continuity problems;</w:t>
      </w:r>
    </w:p>
    <w:p>
      <w:pPr>
        <w:spacing w:after="0" w:line="116" w:lineRule="exact"/>
        <w:rPr>
          <w:rFonts w:ascii="Arial" w:cs="Arial" w:eastAsia="Arial" w:hAnsi="Arial"/>
          <w:sz w:val="18"/>
          <w:szCs w:val="18"/>
          <w:color w:val="auto"/>
        </w:rPr>
      </w:pPr>
    </w:p>
    <w:p>
      <w:pPr>
        <w:ind w:left="380" w:right="380" w:hanging="378"/>
        <w:spacing w:after="0" w:line="311"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impact of Brexit on our business and operations, including as a result of updated regulatory guidance, such as that issued by the European Insurance and Occupational Pensions Authority on February 3, 2023, ongoing efforts and resources allocated to the post-Brexit evolution of regulations and laws and the need to relocate talent or roles or both between or within the E.U. and the U.K., or otherwise;</w:t>
      </w:r>
    </w:p>
    <w:p>
      <w:pPr>
        <w:spacing w:after="0" w:line="39" w:lineRule="exact"/>
        <w:rPr>
          <w:rFonts w:ascii="Arial" w:cs="Arial" w:eastAsia="Arial" w:hAnsi="Arial"/>
          <w:sz w:val="16"/>
          <w:szCs w:val="16"/>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enhance our billing, collection and other working capital efforts, and thereby increase our free cash flow;</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identify and manage conflicts of interest;</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reputational damage, including from association with third parties;</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third-party service providers and suppliers;</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our management structures and in senior leadership;</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employees or a large number of employees and rehiring rates;</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corporate culture;</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doing business internationally, including the impact of foreign currency exchange rates;</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extensive government regulation;</w:t>
      </w:r>
    </w:p>
    <w:p>
      <w:pPr>
        <w:spacing w:after="0" w:line="116" w:lineRule="exact"/>
        <w:rPr>
          <w:rFonts w:ascii="Arial" w:cs="Arial" w:eastAsia="Arial" w:hAnsi="Arial"/>
          <w:sz w:val="18"/>
          <w:szCs w:val="18"/>
          <w:color w:val="auto"/>
        </w:rPr>
      </w:pPr>
    </w:p>
    <w:p>
      <w:pPr>
        <w:ind w:left="380" w:right="22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sanctions imposed by governments, or changes to associated sanction regulations (such as sanctions imposed on Russia) and related counter-sanctions;</w:t>
      </w:r>
    </w:p>
    <w:p>
      <w:pPr>
        <w:spacing w:after="0" w:line="61" w:lineRule="exact"/>
        <w:rPr>
          <w:rFonts w:ascii="Arial" w:cs="Arial" w:eastAsia="Arial" w:hAnsi="Arial"/>
          <w:sz w:val="18"/>
          <w:szCs w:val="18"/>
          <w:color w:val="auto"/>
        </w:rPr>
      </w:pPr>
    </w:p>
    <w:p>
      <w:pPr>
        <w:ind w:left="380" w:right="14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apply technology, data and analytics changes for internal operations, maintaining industry standards and meeting client preferences;</w:t>
      </w:r>
    </w:p>
    <w:p>
      <w:pPr>
        <w:spacing w:after="0" w:line="61" w:lineRule="exact"/>
        <w:rPr>
          <w:rFonts w:ascii="Arial" w:cs="Arial" w:eastAsia="Arial" w:hAnsi="Arial"/>
          <w:sz w:val="18"/>
          <w:szCs w:val="18"/>
          <w:color w:val="auto"/>
        </w:rPr>
      </w:pPr>
    </w:p>
    <w:p>
      <w:pPr>
        <w:ind w:left="380" w:hanging="378"/>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and developments in the insurance industry or the U.S. healthcare system, including those related to Medicare and any legislative actions from the current U.S. Congress, and any other changes and developments in legal, economic, business or operational conditions impacting our Medicare benefits businesses such as TRANZACT;</w:t>
      </w:r>
    </w:p>
    <w:p>
      <w:pPr>
        <w:spacing w:after="0" w:line="74"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protect our intellectual property rights, or the potential infringement upon the intellectual property rights of others;</w:t>
      </w:r>
    </w:p>
    <w:p>
      <w:pPr>
        <w:spacing w:after="0" w:line="116" w:lineRule="exact"/>
        <w:rPr>
          <w:rFonts w:ascii="Arial" w:cs="Arial" w:eastAsia="Arial" w:hAnsi="Arial"/>
          <w:sz w:val="18"/>
          <w:szCs w:val="18"/>
          <w:color w:val="auto"/>
        </w:rPr>
      </w:pPr>
    </w:p>
    <w:p>
      <w:pPr>
        <w:ind w:left="380" w:right="240" w:hanging="378"/>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its effect on adjusted earnings per share;</w:t>
      </w:r>
    </w:p>
    <w:p>
      <w:pPr>
        <w:spacing w:after="0" w:line="74" w:lineRule="exact"/>
        <w:rPr>
          <w:rFonts w:ascii="Arial" w:cs="Arial" w:eastAsia="Arial" w:hAnsi="Arial"/>
          <w:sz w:val="18"/>
          <w:szCs w:val="18"/>
          <w:color w:val="auto"/>
        </w:rPr>
      </w:pPr>
    </w:p>
    <w:p>
      <w:pPr>
        <w:ind w:left="380" w:right="22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61"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on favorable terms or at all;</w:t>
      </w:r>
    </w:p>
    <w:p>
      <w:pPr>
        <w:spacing w:after="0" w:line="116"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ratings;</w:t>
      </w:r>
    </w:p>
    <w:p>
      <w:pPr>
        <w:spacing w:after="0" w:line="116" w:lineRule="exact"/>
        <w:rPr>
          <w:rFonts w:ascii="Arial" w:cs="Arial" w:eastAsia="Arial" w:hAnsi="Arial"/>
          <w:sz w:val="18"/>
          <w:szCs w:val="18"/>
          <w:color w:val="auto"/>
        </w:rPr>
      </w:pPr>
    </w:p>
    <w:p>
      <w:pPr>
        <w:ind w:left="380" w:right="20" w:hanging="378"/>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recent or potential changes to U.S. or foreign laws, and the enactment of additional, or the revision of existing, state, federal, and/or foreign laws and regulations, recent judicial decisions and development of case law, other regulations and any policy changes and legislative actions, including those that impact our effective tax rate;</w:t>
      </w:r>
    </w:p>
    <w:p>
      <w:pPr>
        <w:spacing w:after="0" w:line="74"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federal income tax consequences to U.S. persons owning at least 10% of our shares;</w:t>
      </w:r>
    </w:p>
    <w:p>
      <w:pPr>
        <w:spacing w:after="0" w:line="18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449" w:right="339" w:bottom="1440" w:gutter="0" w:footer="0" w:header="0"/>
        </w:sectPr>
      </w:pPr>
    </w:p>
    <w:bookmarkStart w:id="5" w:name="page6"/>
    <w:bookmarkEnd w:id="5"/>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principles, estimates or assumptions;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or arising from environmental, social and governance (‘ESG’) practices;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 in revenue against our relatively fixed or higher than expected expenses;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laws of Ireland being different from the laws of the U.S. and potentially affording less protections to the holders of our securities; and</w:t>
      </w:r>
    </w:p>
    <w:p>
      <w:pPr>
        <w:spacing w:after="0" w:line="128" w:lineRule="exact"/>
        <w:rPr>
          <w:rFonts w:ascii="Arial" w:cs="Arial" w:eastAsia="Arial" w:hAnsi="Arial"/>
          <w:sz w:val="17"/>
          <w:szCs w:val="17"/>
          <w:color w:val="auto"/>
        </w:rPr>
      </w:pPr>
    </w:p>
    <w:p>
      <w:pPr>
        <w:ind w:left="760" w:right="1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holding company structure potentially preventing us from being able to receive dividends or other distributions in needed amounts from our subsidiaries.</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2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451"/>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88"/>
              </w:rPr>
              <w:t>2,166</w:t>
            </w:r>
          </w:p>
        </w:tc>
        <w:tc>
          <w:tcPr>
            <w:tcW w:w="1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1,953</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6,569</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Costs of providing services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and benefits</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8"/>
              </w:rPr>
              <w:t>1,359</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1,225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4,019</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72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costs of providing services</w:t>
            </w:r>
          </w:p>
        </w:tc>
        <w:tc>
          <w:tcPr>
            <w:tcW w:w="7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88"/>
              </w:rPr>
              <w:t>2,007</w:t>
            </w:r>
          </w:p>
        </w:tc>
        <w:tc>
          <w:tcPr>
            <w:tcW w:w="1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1,799</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5,983</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spacing w:after="0"/>
              <w:rPr>
                <w:sz w:val="19"/>
                <w:szCs w:val="19"/>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(172 )</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8"/>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w:t>
            </w:r>
          </w:p>
        </w:tc>
        <w:tc>
          <w:tcPr>
            <w:tcW w:w="7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(99 )</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5"/>
        </w:trPr>
        <w:tc>
          <w:tcPr>
            <w:tcW w:w="5840" w:type="dxa"/>
            <w:vAlign w:val="bottom"/>
          </w:tcPr>
          <w:p>
            <w:pPr>
              <w:ind w:left="20"/>
              <w:spacing w:after="0"/>
              <w:rPr>
                <w:sz w:val="20"/>
                <w:szCs w:val="20"/>
                <w:color w:val="auto"/>
              </w:rPr>
            </w:pPr>
            <w:r>
              <w:rPr>
                <w:rFonts w:ascii="Arial" w:cs="Arial" w:eastAsia="Arial" w:hAnsi="Arial"/>
                <w:sz w:val="18"/>
                <w:szCs w:val="18"/>
                <w:color w:val="auto"/>
              </w:rPr>
              <w:t>INCOME/(LOSS) FROM DISCONTINUED OPERATIONS,</w:t>
            </w:r>
          </w:p>
        </w:tc>
        <w:tc>
          <w:tcPr>
            <w:tcW w:w="720" w:type="dxa"/>
            <w:vAlign w:val="bottom"/>
          </w:tcPr>
          <w:p>
            <w:pPr>
              <w:spacing w:after="0"/>
              <w:rPr>
                <w:sz w:val="18"/>
                <w:szCs w:val="18"/>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5840" w:type="dxa"/>
            <w:vAlign w:val="bottom"/>
          </w:tcPr>
          <w:p>
            <w:pPr>
              <w:ind w:left="160"/>
              <w:spacing w:after="0"/>
              <w:rPr>
                <w:sz w:val="20"/>
                <w:szCs w:val="20"/>
                <w:color w:val="auto"/>
              </w:rPr>
            </w:pPr>
            <w:r>
              <w:rPr>
                <w:rFonts w:ascii="Arial" w:cs="Arial" w:eastAsia="Arial" w:hAnsi="Arial"/>
                <w:sz w:val="18"/>
                <w:szCs w:val="18"/>
                <w:color w:val="auto"/>
              </w:rPr>
              <w:t>NET OF TAX</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per share</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1.30</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4.08</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Income/(loss) from discontinued operations per share</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 earnings per share</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4.08</w:t>
            </w:r>
          </w:p>
        </w:tc>
        <w:tc>
          <w:tcPr>
            <w:tcW w:w="14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7"/>
        </w:trPr>
        <w:tc>
          <w:tcPr>
            <w:tcW w:w="58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per share</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1.29</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4.06</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Income/(loss) from discontinued operations per share</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 earnings per share</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income/(loss) before non-controlling interests</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61</w:t>
            </w:r>
          </w:p>
        </w:tc>
        <w:tc>
          <w:tcPr>
            <w:tcW w:w="8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444</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income/(loss) attributable to WTW</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434</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-5384800</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-5384800</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-5384800</wp:posOffset>
            </wp:positionV>
            <wp:extent cx="857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-4135120</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-4135120</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-4135120</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-2285365</wp:posOffset>
            </wp:positionV>
            <wp:extent cx="183261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32610" cy="17970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-1326515</wp:posOffset>
            </wp:positionV>
            <wp:extent cx="95885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8850" cy="17970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-675640</wp:posOffset>
            </wp:positionV>
            <wp:extent cx="183261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2610" cy="17970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1,247</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1,262</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Fiduciary assets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8,039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11,772</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2,079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2,387</w:t>
            </w: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414</w:t>
            </w:r>
          </w:p>
        </w:tc>
      </w:tr>
      <w:tr>
        <w:trPr>
          <w:trHeight w:val="230"/>
        </w:trPr>
        <w:tc>
          <w:tcPr>
            <w:tcW w:w="774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11,834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15,835</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Fixed assets, net</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718</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10,143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10,173</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2,064</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2,273</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586</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benefits assets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827</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1,431</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1,357</w:t>
            </w:r>
          </w:p>
        </w:tc>
      </w:tr>
      <w:tr>
        <w:trPr>
          <w:trHeight w:val="236"/>
        </w:trPr>
        <w:tc>
          <w:tcPr>
            <w:tcW w:w="77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15,789</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15,934</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27,623</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31,769</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AND EQUITY</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Fiduciary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8,039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11,772</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and accrued expenses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1,868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1,915</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Current debt</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250</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lease liabilities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716</w:t>
            </w:r>
          </w:p>
        </w:tc>
      </w:tr>
      <w:tr>
        <w:trPr>
          <w:trHeight w:val="236"/>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11,305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14,779</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4,565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4,471</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Liability for pension benefits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480</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748</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liabilities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357</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Long-term lease liabilities</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620</w:t>
            </w: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221</w:t>
            </w:r>
          </w:p>
        </w:tc>
      </w:tr>
      <w:tr>
        <w:trPr>
          <w:trHeight w:val="236"/>
        </w:trPr>
        <w:tc>
          <w:tcPr>
            <w:tcW w:w="7740" w:type="dxa"/>
            <w:vAlign w:val="bottom"/>
          </w:tcPr>
          <w:p>
            <w:pPr>
              <w:ind w:left="3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6,833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6,897</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18,138</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21,676</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4"/>
                <w:szCs w:val="24"/>
                <w:color w:val="auto"/>
                <w:vertAlign w:val="superscript"/>
              </w:rPr>
              <w:t>(i)</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10,903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10,876</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1,764</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(2,620 )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(2,621 )</w:t>
            </w: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Treasury shares, at cost, 17,519 shares in 2022</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7740" w:type="dxa"/>
            <w:vAlign w:val="bottom"/>
          </w:tcPr>
          <w:p>
            <w:pPr>
              <w:ind w:left="200"/>
              <w:spacing w:after="0"/>
              <w:rPr>
                <w:sz w:val="20"/>
                <w:szCs w:val="20"/>
                <w:color w:val="auto"/>
              </w:rPr>
            </w:pPr>
            <w:r>
              <w:rPr>
                <w:rFonts w:ascii="Arial" w:cs="Arial" w:eastAsia="Arial" w:hAnsi="Arial"/>
                <w:sz w:val="18"/>
                <w:szCs w:val="18"/>
                <w:color w:val="auto"/>
              </w:rPr>
              <w:t>Total WTW shareholders’ equity</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9,410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10,016</w:t>
            </w: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77</w:t>
            </w:r>
          </w:p>
        </w:tc>
      </w:tr>
      <w:tr>
        <w:trPr>
          <w:trHeight w:val="236"/>
        </w:trPr>
        <w:tc>
          <w:tcPr>
            <w:tcW w:w="774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9,485</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10,093</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27,623</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-5368290</wp:posOffset>
            </wp:positionV>
            <wp:extent cx="11112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-4117975</wp:posOffset>
            </wp:positionV>
            <wp:extent cx="1111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-1917065</wp:posOffset>
            </wp:positionV>
            <wp:extent cx="1111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-667385</wp:posOffset>
            </wp:positionV>
            <wp:extent cx="11112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-350520</wp:posOffset>
            </wp:positionV>
            <wp:extent cx="1111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111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ind w:left="280" w:right="400" w:hanging="272"/>
        <w:spacing w:after="0" w:line="252"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Equity includes (a) Ordinary shares $0.000304635 nominal value; Authorized 1,510,003,775; Issued 103,321,046 (2023) and 106,756,364 (2022); Outstanding 103,321,046 (2023) and 106,756,364 (2022) and (b) Preference shares, $0.000115 nominal value; Authorized 1,000,000,000 and Issued none in 2023 and 2022.</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8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r>
      <w:tr>
        <w:trPr>
          <w:trHeight w:val="236"/>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6"/>
        </w:trPr>
        <w:tc>
          <w:tcPr>
            <w:tcW w:w="8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431</w:t>
            </w: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to total net cash from operating activities: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6"/>
        </w:trPr>
        <w:tc>
          <w:tcPr>
            <w:tcW w:w="85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w:t>
            </w:r>
          </w:p>
        </w:tc>
      </w:tr>
      <w:tr>
        <w:trPr>
          <w:trHeight w:val="249"/>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239</w:t>
            </w:r>
          </w:p>
        </w:tc>
      </w:tr>
      <w:tr>
        <w:trPr>
          <w:trHeight w:val="236"/>
        </w:trPr>
        <w:tc>
          <w:tcPr>
            <w:tcW w:w="85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w:t>
            </w:r>
          </w:p>
        </w:tc>
      </w:tr>
      <w:tr>
        <w:trPr>
          <w:trHeight w:val="249"/>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restructuring charges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w:t>
            </w:r>
          </w:p>
        </w:tc>
      </w:tr>
      <w:tr>
        <w:trPr>
          <w:trHeight w:val="236"/>
        </w:trPr>
        <w:tc>
          <w:tcPr>
            <w:tcW w:w="856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w:t>
            </w:r>
          </w:p>
        </w:tc>
      </w:tr>
      <w:tr>
        <w:trPr>
          <w:trHeight w:val="249"/>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periodic benefit of defined benefit pension plans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(113 )</w:t>
            </w:r>
          </w:p>
        </w:tc>
      </w:tr>
      <w:tr>
        <w:trPr>
          <w:trHeight w:val="236"/>
        </w:trPr>
        <w:tc>
          <w:tcPr>
            <w:tcW w:w="8560" w:type="dxa"/>
            <w:vAlign w:val="bottom"/>
          </w:tcPr>
          <w:p>
            <w:pPr>
              <w:ind w:left="380"/>
              <w:spacing w:after="0"/>
              <w:rPr>
                <w:sz w:val="20"/>
                <w:szCs w:val="20"/>
                <w:color w:val="auto"/>
              </w:rPr>
            </w:pPr>
            <w:r>
              <w:rPr>
                <w:rFonts w:ascii="Arial" w:cs="Arial" w:eastAsia="Arial" w:hAnsi="Arial"/>
                <w:sz w:val="18"/>
                <w:szCs w:val="18"/>
                <w:color w:val="auto"/>
              </w:rPr>
              <w:t>Provision for doubtful receivables from clients</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49"/>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from deferred income taxes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(92 )</w:t>
            </w:r>
          </w:p>
        </w:tc>
      </w:tr>
      <w:tr>
        <w:trPr>
          <w:trHeight w:val="236"/>
        </w:trPr>
        <w:tc>
          <w:tcPr>
            <w:tcW w:w="856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w:t>
            </w:r>
          </w:p>
        </w:tc>
      </w:tr>
      <w:tr>
        <w:trPr>
          <w:trHeight w:val="249"/>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(gain)/loss on disposal of operations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w:t>
            </w:r>
          </w:p>
        </w:tc>
      </w:tr>
      <w:tr>
        <w:trPr>
          <w:trHeight w:val="236"/>
        </w:trPr>
        <w:tc>
          <w:tcPr>
            <w:tcW w:w="8560" w:type="dxa"/>
            <w:vAlign w:val="bottom"/>
          </w:tcPr>
          <w:p>
            <w:pPr>
              <w:ind w:left="380"/>
              <w:spacing w:after="0"/>
              <w:rPr>
                <w:sz w:val="20"/>
                <w:szCs w:val="20"/>
                <w:color w:val="auto"/>
              </w:rPr>
            </w:pPr>
            <w:r>
              <w:rPr>
                <w:rFonts w:ascii="Arial" w:cs="Arial" w:eastAsia="Arial" w:hAnsi="Arial"/>
                <w:sz w:val="18"/>
                <w:szCs w:val="18"/>
                <w:color w:val="auto"/>
              </w:rPr>
              <w:t>Non-cash foreign exchange loss/(gain)</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(178 )</w:t>
            </w:r>
          </w:p>
        </w:tc>
      </w:tr>
      <w:tr>
        <w:trPr>
          <w:trHeight w:val="249"/>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15"/>
        </w:trPr>
        <w:tc>
          <w:tcPr>
            <w:tcW w:w="85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effects from purchase of</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856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270</w:t>
            </w:r>
          </w:p>
        </w:tc>
      </w:tr>
      <w:tr>
        <w:trPr>
          <w:trHeight w:val="236"/>
        </w:trPr>
        <w:tc>
          <w:tcPr>
            <w:tcW w:w="856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(198 )</w:t>
            </w:r>
          </w:p>
        </w:tc>
      </w:tr>
      <w:tr>
        <w:trPr>
          <w:trHeight w:val="249"/>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(510 )</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Provisions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r>
      <w:tr>
        <w:trPr>
          <w:trHeight w:val="236"/>
        </w:trPr>
        <w:tc>
          <w:tcPr>
            <w:tcW w:w="8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from operating activities</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823</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437</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Additions to fixed assets and software for internal use</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36"/>
        </w:trPr>
        <w:tc>
          <w:tcPr>
            <w:tcW w:w="8560" w:type="dxa"/>
            <w:vAlign w:val="bottom"/>
          </w:tcPr>
          <w:p>
            <w:pPr>
              <w:ind w:left="200"/>
              <w:spacing w:after="0"/>
              <w:rPr>
                <w:sz w:val="20"/>
                <w:szCs w:val="20"/>
                <w:color w:val="auto"/>
              </w:rPr>
            </w:pPr>
            <w:r>
              <w:rPr>
                <w:rFonts w:ascii="Arial" w:cs="Arial" w:eastAsia="Arial" w:hAnsi="Arial"/>
                <w:sz w:val="18"/>
                <w:szCs w:val="18"/>
                <w:color w:val="auto"/>
              </w:rPr>
              <w:t>Capitalized software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Acquisitions of operations, net of cash acquired</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r>
      <w:tr>
        <w:trPr>
          <w:trHeight w:val="236"/>
        </w:trPr>
        <w:tc>
          <w:tcPr>
            <w:tcW w:w="8560" w:type="dxa"/>
            <w:vAlign w:val="bottom"/>
          </w:tcPr>
          <w:p>
            <w:pPr>
              <w:ind w:left="200"/>
              <w:spacing w:after="0"/>
              <w:rPr>
                <w:sz w:val="20"/>
                <w:szCs w:val="20"/>
                <w:color w:val="auto"/>
              </w:rPr>
            </w:pPr>
            <w:r>
              <w:rPr>
                <w:rFonts w:ascii="Arial" w:cs="Arial" w:eastAsia="Arial" w:hAnsi="Arial"/>
                <w:sz w:val="18"/>
                <w:szCs w:val="18"/>
                <w:color w:val="auto"/>
              </w:rPr>
              <w:t>Proceeds from sale of operations</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fiduciary funds transferred in sale of operations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(Purchase)/sale of investments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w:t>
            </w:r>
          </w:p>
        </w:tc>
      </w:tr>
      <w:tr>
        <w:trPr>
          <w:trHeight w:val="236"/>
        </w:trPr>
        <w:tc>
          <w:tcPr>
            <w:tcW w:w="8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(1,030 )</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Senior notes issued</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750</w:t>
            </w:r>
          </w:p>
        </w:tc>
      </w:tr>
      <w:tr>
        <w:trPr>
          <w:trHeight w:val="236"/>
        </w:trPr>
        <w:tc>
          <w:tcPr>
            <w:tcW w:w="856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Repayments of debt</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(585 )</w:t>
            </w:r>
          </w:p>
        </w:tc>
      </w:tr>
      <w:tr>
        <w:trPr>
          <w:trHeight w:val="236"/>
        </w:trPr>
        <w:tc>
          <w:tcPr>
            <w:tcW w:w="8560" w:type="dxa"/>
            <w:vAlign w:val="bottom"/>
          </w:tcPr>
          <w:p>
            <w:pPr>
              <w:ind w:left="200"/>
              <w:spacing w:after="0"/>
              <w:rPr>
                <w:sz w:val="20"/>
                <w:szCs w:val="20"/>
                <w:color w:val="auto"/>
              </w:rPr>
            </w:pPr>
            <w:r>
              <w:rPr>
                <w:rFonts w:ascii="Arial" w:cs="Arial" w:eastAsia="Arial" w:hAnsi="Arial"/>
                <w:sz w:val="18"/>
                <w:szCs w:val="18"/>
                <w:color w:val="auto"/>
              </w:rPr>
              <w:t>Repurchase of shares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(3,090 )</w:t>
            </w: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shares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w:t>
            </w:r>
          </w:p>
        </w:tc>
      </w:tr>
      <w:tr>
        <w:trPr>
          <w:trHeight w:val="236"/>
        </w:trPr>
        <w:tc>
          <w:tcPr>
            <w:tcW w:w="8560" w:type="dxa"/>
            <w:vAlign w:val="bottom"/>
          </w:tcPr>
          <w:p>
            <w:pPr>
              <w:ind w:left="200"/>
              <w:spacing w:after="0"/>
              <w:rPr>
                <w:sz w:val="20"/>
                <w:szCs w:val="20"/>
                <w:color w:val="auto"/>
              </w:rPr>
            </w:pPr>
            <w:r>
              <w:rPr>
                <w:rFonts w:ascii="Arial" w:cs="Arial" w:eastAsia="Arial" w:hAnsi="Arial"/>
                <w:sz w:val="18"/>
                <w:szCs w:val="18"/>
                <w:color w:val="auto"/>
              </w:rPr>
              <w:t>Net (payments)/proceeds from fiduciary funds held for clients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157</w:t>
            </w: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and contingent consideration related to acquisitions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36"/>
        </w:trPr>
        <w:tc>
          <w:tcPr>
            <w:tcW w:w="8560" w:type="dxa"/>
            <w:vAlign w:val="bottom"/>
          </w:tcPr>
          <w:p>
            <w:pPr>
              <w:ind w:left="200"/>
              <w:spacing w:after="0"/>
              <w:rPr>
                <w:sz w:val="20"/>
                <w:szCs w:val="20"/>
                <w:color w:val="auto"/>
              </w:rPr>
            </w:pPr>
            <w:r>
              <w:rPr>
                <w:rFonts w:ascii="Arial" w:cs="Arial" w:eastAsia="Arial" w:hAnsi="Arial"/>
                <w:sz w:val="18"/>
                <w:szCs w:val="18"/>
                <w:color w:val="auto"/>
              </w:rPr>
              <w:t>Cash paid for employee taxes on withholding shares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49"/>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(280 )</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Acquisitions of and dividends paid to non-controlling interests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36"/>
        </w:trPr>
        <w:tc>
          <w:tcPr>
            <w:tcW w:w="8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(728 )</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(3,109 )</w:t>
            </w:r>
          </w:p>
        </w:tc>
      </w:tr>
      <w:tr>
        <w:trPr>
          <w:trHeight w:val="236"/>
        </w:trPr>
        <w:tc>
          <w:tcPr>
            <w:tcW w:w="8560" w:type="dxa"/>
            <w:vAlign w:val="bottom"/>
          </w:tcPr>
          <w:p>
            <w:pPr>
              <w:ind w:left="20"/>
              <w:spacing w:after="0" w:line="236" w:lineRule="exact"/>
              <w:rPr>
                <w:sz w:val="20"/>
                <w:szCs w:val="20"/>
                <w:color w:val="auto"/>
              </w:rPr>
            </w:pPr>
            <w:r>
              <w:rPr>
                <w:rFonts w:ascii="Arial" w:cs="Arial" w:eastAsia="Arial" w:hAnsi="Arial"/>
                <w:sz w:val="18"/>
                <w:szCs w:val="18"/>
                <w:color w:val="auto"/>
              </w:rPr>
              <w:t xml:space="preserve">DECREASE IN CASH, CASH EQUIVALENTS AND RESTRICTED CASH </w:t>
            </w:r>
            <w:r>
              <w:rPr>
                <w:rFonts w:ascii="Arial" w:cs="Arial" w:eastAsia="Arial" w:hAnsi="Arial"/>
                <w:sz w:val="24"/>
                <w:szCs w:val="24"/>
                <w:color w:val="auto"/>
                <w:vertAlign w:val="superscript"/>
              </w:rPr>
              <w:t>(i)</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(2,730 )</w:t>
            </w:r>
          </w:p>
        </w:tc>
      </w:tr>
      <w:tr>
        <w:trPr>
          <w:trHeight w:val="243"/>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(290 )</w:t>
            </w:r>
          </w:p>
        </w:tc>
      </w:tr>
      <w:tr>
        <w:trPr>
          <w:trHeight w:val="243"/>
        </w:trPr>
        <w:tc>
          <w:tcPr>
            <w:tcW w:w="8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4"/>
                <w:szCs w:val="24"/>
                <w:color w:val="auto"/>
                <w:vertAlign w:val="superscript"/>
              </w:rPr>
              <w:t>(i)</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4,721</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7,691</w:t>
            </w:r>
          </w:p>
        </w:tc>
      </w:tr>
      <w:tr>
        <w:trPr>
          <w:trHeight w:val="276"/>
        </w:trPr>
        <w:tc>
          <w:tcPr>
            <w:tcW w:w="8560" w:type="dxa"/>
            <w:vAlign w:val="bottom"/>
            <w:tcBorders>
              <w:bottom w:val="single" w:sz="8" w:color="CFF0FC"/>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4"/>
                <w:szCs w:val="24"/>
                <w:color w:val="auto"/>
                <w:vertAlign w:val="superscript"/>
              </w:rPr>
              <w:t>(i)</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3,732</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-3775075</wp:posOffset>
            </wp:positionV>
            <wp:extent cx="11112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-2525395</wp:posOffset>
            </wp:positionV>
            <wp:extent cx="111125"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-658495</wp:posOffset>
            </wp:positionV>
            <wp:extent cx="11112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ind w:left="280" w:right="200" w:hanging="272"/>
        <w:spacing w:after="0" w:line="334" w:lineRule="auto"/>
        <w:tabs>
          <w:tab w:leader="none" w:pos="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 Supplemental Disclosures of Cash Flow Information.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of U.S. dollars and number of shares 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20" w:type="dxa"/>
            <w:vAlign w:val="bottom"/>
            <w:gridSpan w:val="7"/>
          </w:tcPr>
          <w:p>
            <w:pPr>
              <w:jc w:val="right"/>
              <w:ind w:right="57"/>
              <w:spacing w:after="0"/>
              <w:rPr>
                <w:sz w:val="20"/>
                <w:szCs w:val="20"/>
                <w:color w:val="auto"/>
              </w:rPr>
            </w:pPr>
            <w:r>
              <w:rPr>
                <w:rFonts w:ascii="Arial" w:cs="Arial" w:eastAsia="Arial" w:hAnsi="Arial"/>
                <w:sz w:val="12"/>
                <w:szCs w:val="12"/>
                <w:b w:val="1"/>
                <w:bCs w:val="1"/>
                <w:color w:val="auto"/>
                <w:w w:val="87"/>
              </w:rPr>
              <w:t>Nine Months Ended September 30, 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0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77"/>
              <w:spacing w:after="0" w:line="136" w:lineRule="exact"/>
              <w:rPr>
                <w:sz w:val="20"/>
                <w:szCs w:val="20"/>
                <w:color w:val="auto"/>
              </w:rPr>
            </w:pPr>
            <w:r>
              <w:rPr>
                <w:rFonts w:ascii="Arial" w:cs="Arial" w:eastAsia="Arial" w:hAnsi="Arial"/>
                <w:sz w:val="12"/>
                <w:szCs w:val="12"/>
                <w:color w:val="auto"/>
                <w:w w:val="89"/>
              </w:rPr>
              <w:t>Total WTW</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0" w:type="dxa"/>
            <w:vAlign w:val="bottom"/>
          </w:tcPr>
          <w:p>
            <w:pPr>
              <w:jc w:val="right"/>
              <w:ind w:right="357"/>
              <w:spacing w:after="0" w:line="135" w:lineRule="exact"/>
              <w:rPr>
                <w:sz w:val="20"/>
                <w:szCs w:val="20"/>
                <w:color w:val="auto"/>
              </w:rPr>
            </w:pPr>
            <w:r>
              <w:rPr>
                <w:rFonts w:ascii="Arial" w:cs="Arial" w:eastAsia="Arial" w:hAnsi="Arial"/>
                <w:sz w:val="12"/>
                <w:szCs w:val="12"/>
                <w:color w:val="auto"/>
              </w:rPr>
              <w:t>Shares</w:t>
            </w:r>
          </w:p>
        </w:tc>
        <w:tc>
          <w:tcPr>
            <w:tcW w:w="1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Additional paid-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17"/>
              <w:spacing w:after="0" w:line="135" w:lineRule="exact"/>
              <w:rPr>
                <w:sz w:val="20"/>
                <w:szCs w:val="20"/>
                <w:color w:val="auto"/>
              </w:rPr>
            </w:pPr>
            <w:r>
              <w:rPr>
                <w:rFonts w:ascii="Arial" w:cs="Arial" w:eastAsia="Arial" w:hAnsi="Arial"/>
                <w:sz w:val="12"/>
                <w:szCs w:val="12"/>
                <w:color w:val="auto"/>
                <w:w w:val="91"/>
              </w:rPr>
              <w:t>Retained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37"/>
              <w:spacing w:after="0"/>
              <w:rPr>
                <w:sz w:val="20"/>
                <w:szCs w:val="20"/>
                <w:color w:val="auto"/>
              </w:rPr>
            </w:pPr>
            <w:r>
              <w:rPr>
                <w:rFonts w:ascii="Arial" w:cs="Arial" w:eastAsia="Arial" w:hAnsi="Arial"/>
                <w:sz w:val="12"/>
                <w:szCs w:val="12"/>
                <w:color w:val="auto"/>
              </w:rPr>
              <w:t xml:space="preserve">AOCL </w:t>
            </w:r>
            <w:r>
              <w:rPr>
                <w:rFonts w:ascii="Arial" w:cs="Arial" w:eastAsia="Arial" w:hAnsi="Arial"/>
                <w:sz w:val="15"/>
                <w:szCs w:val="15"/>
                <w:color w:val="auto"/>
                <w:vertAlign w:val="superscript"/>
              </w:rPr>
              <w:t>(i)</w:t>
            </w:r>
          </w:p>
        </w:tc>
        <w:tc>
          <w:tcPr>
            <w:tcW w:w="100" w:type="dxa"/>
            <w:vAlign w:val="bottom"/>
          </w:tcPr>
          <w:p>
            <w:pPr>
              <w:spacing w:after="0"/>
              <w:rPr>
                <w:sz w:val="11"/>
                <w:szCs w:val="11"/>
                <w:color w:val="auto"/>
              </w:rPr>
            </w:pPr>
          </w:p>
        </w:tc>
        <w:tc>
          <w:tcPr>
            <w:tcW w:w="920" w:type="dxa"/>
            <w:vAlign w:val="bottom"/>
            <w:gridSpan w:val="2"/>
          </w:tcPr>
          <w:p>
            <w:pPr>
              <w:jc w:val="center"/>
              <w:ind w:right="77"/>
              <w:spacing w:after="0" w:line="135" w:lineRule="exact"/>
              <w:rPr>
                <w:sz w:val="20"/>
                <w:szCs w:val="20"/>
                <w:color w:val="auto"/>
              </w:rPr>
            </w:pPr>
            <w:r>
              <w:rPr>
                <w:rFonts w:ascii="Arial" w:cs="Arial" w:eastAsia="Arial" w:hAnsi="Arial"/>
                <w:sz w:val="12"/>
                <w:szCs w:val="12"/>
                <w:color w:val="auto"/>
                <w:w w:val="86"/>
              </w:rPr>
              <w:t>shareholders’</w:t>
            </w:r>
          </w:p>
        </w:tc>
        <w:tc>
          <w:tcPr>
            <w:tcW w:w="10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3"/>
                <w:szCs w:val="13"/>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2"/>
                <w:szCs w:val="12"/>
                <w:color w:val="auto"/>
              </w:rPr>
              <w:t>outstanding</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color w:val="auto"/>
                <w:w w:val="97"/>
              </w:rPr>
              <w:t>in 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color w:val="auto"/>
                <w:w w:val="99"/>
              </w:rPr>
              <w:t>earnings</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2"/>
                <w:szCs w:val="12"/>
                <w:color w:val="auto"/>
                <w:w w:val="85"/>
              </w:rPr>
              <w:t>Treasury 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2"/>
                <w:szCs w:val="12"/>
                <w:color w:val="auto"/>
                <w:w w:val="93"/>
              </w:rPr>
              <w:t>equity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2"/>
                <w:szCs w:val="12"/>
                <w:color w:val="auto"/>
                <w:w w:val="96"/>
              </w:rPr>
              <w:t>interests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color w:val="auto"/>
                <w:w w:val="90"/>
              </w:rPr>
              <w:t>Total equity</w:t>
            </w:r>
          </w:p>
        </w:tc>
        <w:tc>
          <w:tcPr>
            <w:tcW w:w="0" w:type="dxa"/>
            <w:vAlign w:val="bottom"/>
          </w:tcPr>
          <w:p>
            <w:pPr>
              <w:spacing w:after="0"/>
              <w:rPr>
                <w:sz w:val="1"/>
                <w:szCs w:val="1"/>
                <w:color w:val="auto"/>
              </w:rPr>
            </w:pPr>
          </w:p>
        </w:tc>
      </w:tr>
      <w:tr>
        <w:trPr>
          <w:trHeight w:val="155"/>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December 31, 2022</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106,756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10,876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1,764</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(2,621 )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10,016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10,093</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1000" w:type="dxa"/>
            <w:vAlign w:val="bottom"/>
          </w:tcPr>
          <w:p>
            <w:pPr>
              <w:jc w:val="right"/>
              <w:spacing w:after="0"/>
              <w:rPr>
                <w:sz w:val="20"/>
                <w:szCs w:val="20"/>
                <w:color w:val="auto"/>
              </w:rPr>
            </w:pPr>
            <w:r>
              <w:rPr>
                <w:rFonts w:ascii="Arial" w:cs="Arial" w:eastAsia="Arial" w:hAnsi="Arial"/>
                <w:sz w:val="13"/>
                <w:szCs w:val="13"/>
                <w:color w:val="auto"/>
              </w:rPr>
              <w:t>(432 )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Dividends declared ($0.84 per share)</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line="134" w:lineRule="exact"/>
              <w:rPr>
                <w:sz w:val="20"/>
                <w:szCs w:val="20"/>
                <w:color w:val="auto"/>
              </w:rPr>
            </w:pPr>
            <w:r>
              <w:rPr>
                <w:rFonts w:ascii="Arial" w:cs="Arial" w:eastAsia="Arial" w:hAnsi="Arial"/>
                <w:sz w:val="13"/>
                <w:szCs w:val="13"/>
                <w:color w:val="auto"/>
              </w:rPr>
              <w:t>Issuance of shares under employee stock</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00" w:type="dxa"/>
            <w:vAlign w:val="bottom"/>
          </w:tcPr>
          <w:p>
            <w:pPr>
              <w:ind w:left="120"/>
              <w:spacing w:after="0"/>
              <w:rPr>
                <w:sz w:val="20"/>
                <w:szCs w:val="20"/>
                <w:color w:val="auto"/>
              </w:rPr>
            </w:pPr>
            <w:r>
              <w:rPr>
                <w:rFonts w:ascii="Arial" w:cs="Arial" w:eastAsia="Arial" w:hAnsi="Arial"/>
                <w:sz w:val="13"/>
                <w:szCs w:val="13"/>
                <w:color w:val="auto"/>
              </w:rPr>
              <w:t>compensation plans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57"/>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March 31, 2023</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106,383</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10,890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1,774</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10,096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10,176</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1000" w:type="dxa"/>
            <w:vAlign w:val="bottom"/>
          </w:tcPr>
          <w:p>
            <w:pPr>
              <w:jc w:val="right"/>
              <w:spacing w:after="0"/>
              <w:rPr>
                <w:sz w:val="20"/>
                <w:szCs w:val="20"/>
                <w:color w:val="auto"/>
              </w:rPr>
            </w:pPr>
            <w:r>
              <w:rPr>
                <w:rFonts w:ascii="Arial" w:cs="Arial" w:eastAsia="Arial" w:hAnsi="Arial"/>
                <w:sz w:val="13"/>
                <w:szCs w:val="13"/>
                <w:color w:val="auto"/>
              </w:rPr>
              <w:t>(1,537 )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(350 )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(350 )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(350 )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Dividends declared ($0.84 per share)</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6"/>
        </w:trPr>
        <w:tc>
          <w:tcPr>
            <w:tcW w:w="3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104,943</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10,910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1,429</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9,799</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9,877</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1000" w:type="dxa"/>
            <w:vAlign w:val="bottom"/>
          </w:tcPr>
          <w:p>
            <w:pPr>
              <w:jc w:val="right"/>
              <w:spacing w:after="0"/>
              <w:rPr>
                <w:sz w:val="20"/>
                <w:szCs w:val="20"/>
                <w:color w:val="auto"/>
              </w:rPr>
            </w:pPr>
            <w:r>
              <w:rPr>
                <w:rFonts w:ascii="Arial" w:cs="Arial" w:eastAsia="Arial" w:hAnsi="Arial"/>
                <w:sz w:val="13"/>
                <w:szCs w:val="13"/>
                <w:color w:val="auto"/>
              </w:rPr>
              <w:t>(1,681 )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(350 )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(350 )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(350 )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Dividends declared ($0.84 per share)</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(78 )</w:t>
            </w:r>
          </w:p>
        </w:tc>
        <w:tc>
          <w:tcPr>
            <w:tcW w:w="0" w:type="dxa"/>
            <w:vAlign w:val="bottom"/>
          </w:tcPr>
          <w:p>
            <w:pPr>
              <w:spacing w:after="0"/>
              <w:rPr>
                <w:sz w:val="1"/>
                <w:szCs w:val="1"/>
                <w:color w:val="auto"/>
              </w:rPr>
            </w:pPr>
          </w:p>
        </w:tc>
      </w:tr>
      <w:tr>
        <w:trPr>
          <w:trHeight w:val="136"/>
        </w:trPr>
        <w:tc>
          <w:tcPr>
            <w:tcW w:w="3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line="164" w:lineRule="exact"/>
              <w:rPr>
                <w:sz w:val="20"/>
                <w:szCs w:val="20"/>
                <w:color w:val="auto"/>
              </w:rPr>
            </w:pPr>
            <w:r>
              <w:rPr>
                <w:rFonts w:ascii="Arial" w:cs="Arial" w:eastAsia="Arial" w:hAnsi="Arial"/>
                <w:sz w:val="13"/>
                <w:szCs w:val="13"/>
                <w:color w:val="auto"/>
              </w:rPr>
              <w:t xml:space="preserve">Reduction of non-controlling interests </w:t>
            </w:r>
            <w:r>
              <w:rPr>
                <w:rFonts w:ascii="Arial" w:cs="Arial" w:eastAsia="Arial" w:hAnsi="Arial"/>
                <w:sz w:val="16"/>
                <w:szCs w:val="16"/>
                <w:color w:val="auto"/>
                <w:vertAlign w:val="superscript"/>
              </w:rPr>
              <w:t>(ii)</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(29 )</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7"/>
        </w:trPr>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September 30, 2023</w:t>
            </w:r>
          </w:p>
        </w:tc>
        <w:tc>
          <w:tcPr>
            <w:tcW w:w="10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103,321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10,903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1,127</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(2,620 )</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9,410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9,485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5"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Accumulated other comprehensive loss, net of tax (‘AOCL’).</w:t>
      </w:r>
    </w:p>
    <w:p>
      <w:pPr>
        <w:spacing w:after="0" w:line="39" w:lineRule="exact"/>
        <w:rPr>
          <w:rFonts w:ascii="Arial" w:cs="Arial" w:eastAsia="Arial" w:hAnsi="Arial"/>
          <w:sz w:val="13"/>
          <w:szCs w:val="13"/>
          <w:color w:val="auto"/>
        </w:rPr>
      </w:pPr>
    </w:p>
    <w:p>
      <w:pPr>
        <w:ind w:left="280" w:right="360" w:hanging="272"/>
        <w:spacing w:after="0" w:line="274" w:lineRule="auto"/>
        <w:tabs>
          <w:tab w:leader="none" w:pos="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of U.S. dollars and number of shares 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20" w:type="dxa"/>
            <w:vAlign w:val="bottom"/>
            <w:gridSpan w:val="7"/>
          </w:tcPr>
          <w:p>
            <w:pPr>
              <w:jc w:val="right"/>
              <w:ind w:right="57"/>
              <w:spacing w:after="0"/>
              <w:rPr>
                <w:sz w:val="20"/>
                <w:szCs w:val="20"/>
                <w:color w:val="auto"/>
              </w:rPr>
            </w:pPr>
            <w:r>
              <w:rPr>
                <w:rFonts w:ascii="Arial" w:cs="Arial" w:eastAsia="Arial" w:hAnsi="Arial"/>
                <w:sz w:val="12"/>
                <w:szCs w:val="12"/>
                <w:b w:val="1"/>
                <w:bCs w:val="1"/>
                <w:color w:val="auto"/>
                <w:w w:val="87"/>
              </w:rPr>
              <w:t>Nine Months Ended September 30, 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0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77"/>
              <w:spacing w:after="0" w:line="136" w:lineRule="exact"/>
              <w:rPr>
                <w:sz w:val="20"/>
                <w:szCs w:val="20"/>
                <w:color w:val="auto"/>
              </w:rPr>
            </w:pPr>
            <w:r>
              <w:rPr>
                <w:rFonts w:ascii="Arial" w:cs="Arial" w:eastAsia="Arial" w:hAnsi="Arial"/>
                <w:sz w:val="12"/>
                <w:szCs w:val="12"/>
                <w:color w:val="auto"/>
                <w:w w:val="89"/>
              </w:rPr>
              <w:t>Total WTW</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0" w:type="dxa"/>
            <w:vAlign w:val="bottom"/>
          </w:tcPr>
          <w:p>
            <w:pPr>
              <w:jc w:val="right"/>
              <w:ind w:right="357"/>
              <w:spacing w:after="0" w:line="135" w:lineRule="exact"/>
              <w:rPr>
                <w:sz w:val="20"/>
                <w:szCs w:val="20"/>
                <w:color w:val="auto"/>
              </w:rPr>
            </w:pPr>
            <w:r>
              <w:rPr>
                <w:rFonts w:ascii="Arial" w:cs="Arial" w:eastAsia="Arial" w:hAnsi="Arial"/>
                <w:sz w:val="12"/>
                <w:szCs w:val="12"/>
                <w:color w:val="auto"/>
              </w:rPr>
              <w:t>Shares</w:t>
            </w:r>
          </w:p>
        </w:tc>
        <w:tc>
          <w:tcPr>
            <w:tcW w:w="1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Additional paid-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17"/>
              <w:spacing w:after="0" w:line="135" w:lineRule="exact"/>
              <w:rPr>
                <w:sz w:val="20"/>
                <w:szCs w:val="20"/>
                <w:color w:val="auto"/>
              </w:rPr>
            </w:pPr>
            <w:r>
              <w:rPr>
                <w:rFonts w:ascii="Arial" w:cs="Arial" w:eastAsia="Arial" w:hAnsi="Arial"/>
                <w:sz w:val="12"/>
                <w:szCs w:val="12"/>
                <w:color w:val="auto"/>
                <w:w w:val="91"/>
              </w:rPr>
              <w:t>Retained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37"/>
              <w:spacing w:after="0"/>
              <w:rPr>
                <w:sz w:val="20"/>
                <w:szCs w:val="20"/>
                <w:color w:val="auto"/>
              </w:rPr>
            </w:pPr>
            <w:r>
              <w:rPr>
                <w:rFonts w:ascii="Arial" w:cs="Arial" w:eastAsia="Arial" w:hAnsi="Arial"/>
                <w:sz w:val="12"/>
                <w:szCs w:val="12"/>
                <w:color w:val="auto"/>
              </w:rPr>
              <w:t xml:space="preserve">AOCL </w:t>
            </w:r>
            <w:r>
              <w:rPr>
                <w:rFonts w:ascii="Arial" w:cs="Arial" w:eastAsia="Arial" w:hAnsi="Arial"/>
                <w:sz w:val="15"/>
                <w:szCs w:val="15"/>
                <w:color w:val="auto"/>
                <w:vertAlign w:val="superscript"/>
              </w:rPr>
              <w:t>(i)</w:t>
            </w:r>
          </w:p>
        </w:tc>
        <w:tc>
          <w:tcPr>
            <w:tcW w:w="100" w:type="dxa"/>
            <w:vAlign w:val="bottom"/>
          </w:tcPr>
          <w:p>
            <w:pPr>
              <w:spacing w:after="0"/>
              <w:rPr>
                <w:sz w:val="11"/>
                <w:szCs w:val="11"/>
                <w:color w:val="auto"/>
              </w:rPr>
            </w:pPr>
          </w:p>
        </w:tc>
        <w:tc>
          <w:tcPr>
            <w:tcW w:w="920" w:type="dxa"/>
            <w:vAlign w:val="bottom"/>
            <w:gridSpan w:val="2"/>
          </w:tcPr>
          <w:p>
            <w:pPr>
              <w:jc w:val="center"/>
              <w:ind w:right="77"/>
              <w:spacing w:after="0" w:line="135" w:lineRule="exact"/>
              <w:rPr>
                <w:sz w:val="20"/>
                <w:szCs w:val="20"/>
                <w:color w:val="auto"/>
              </w:rPr>
            </w:pPr>
            <w:r>
              <w:rPr>
                <w:rFonts w:ascii="Arial" w:cs="Arial" w:eastAsia="Arial" w:hAnsi="Arial"/>
                <w:sz w:val="12"/>
                <w:szCs w:val="12"/>
                <w:color w:val="auto"/>
                <w:w w:val="86"/>
              </w:rPr>
              <w:t>shareholders’</w:t>
            </w:r>
          </w:p>
        </w:tc>
        <w:tc>
          <w:tcPr>
            <w:tcW w:w="10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3"/>
                <w:szCs w:val="13"/>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2"/>
                <w:szCs w:val="12"/>
                <w:color w:val="auto"/>
              </w:rPr>
              <w:t>outstanding</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color w:val="auto"/>
                <w:w w:val="97"/>
              </w:rPr>
              <w:t>in 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color w:val="auto"/>
                <w:w w:val="99"/>
              </w:rPr>
              <w:t>earnings</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2"/>
                <w:szCs w:val="12"/>
                <w:color w:val="auto"/>
                <w:w w:val="85"/>
              </w:rPr>
              <w:t>Treasury 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2"/>
                <w:szCs w:val="12"/>
                <w:color w:val="auto"/>
                <w:w w:val="93"/>
              </w:rPr>
              <w:t>equity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2"/>
                <w:szCs w:val="12"/>
                <w:color w:val="auto"/>
                <w:w w:val="96"/>
              </w:rPr>
              <w:t>interests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color w:val="auto"/>
                <w:w w:val="90"/>
              </w:rPr>
              <w:t>Total equity</w:t>
            </w:r>
          </w:p>
        </w:tc>
        <w:tc>
          <w:tcPr>
            <w:tcW w:w="0" w:type="dxa"/>
            <w:vAlign w:val="bottom"/>
          </w:tcPr>
          <w:p>
            <w:pPr>
              <w:spacing w:after="0"/>
              <w:rPr>
                <w:sz w:val="1"/>
                <w:szCs w:val="1"/>
                <w:color w:val="auto"/>
              </w:rPr>
            </w:pPr>
          </w:p>
        </w:tc>
      </w:tr>
      <w:tr>
        <w:trPr>
          <w:trHeight w:val="155"/>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December 31, 2021</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122,056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10,804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4,645</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13,260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13,308</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1000" w:type="dxa"/>
            <w:vAlign w:val="bottom"/>
          </w:tcPr>
          <w:p>
            <w:pPr>
              <w:jc w:val="right"/>
              <w:spacing w:after="0"/>
              <w:rPr>
                <w:sz w:val="20"/>
                <w:szCs w:val="20"/>
                <w:color w:val="auto"/>
              </w:rPr>
            </w:pPr>
            <w:r>
              <w:rPr>
                <w:rFonts w:ascii="Arial" w:cs="Arial" w:eastAsia="Arial" w:hAnsi="Arial"/>
                <w:sz w:val="13"/>
                <w:szCs w:val="13"/>
                <w:color w:val="auto"/>
              </w:rPr>
              <w:t>(9,860 )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(2,250 )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(2,250 )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(2,250 )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Dividends declared ($0.82 per share)</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136"/>
        </w:trPr>
        <w:tc>
          <w:tcPr>
            <w:tcW w:w="3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Additional non-controlling interests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March 31, 2022</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112,213</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2,423</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(2,242 )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11,004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11,075</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1000" w:type="dxa"/>
            <w:vAlign w:val="bottom"/>
          </w:tcPr>
          <w:p>
            <w:pPr>
              <w:jc w:val="right"/>
              <w:spacing w:after="0"/>
              <w:rPr>
                <w:sz w:val="20"/>
                <w:szCs w:val="20"/>
                <w:color w:val="auto"/>
              </w:rPr>
            </w:pPr>
            <w:r>
              <w:rPr>
                <w:rFonts w:ascii="Arial" w:cs="Arial" w:eastAsia="Arial" w:hAnsi="Arial"/>
                <w:sz w:val="13"/>
                <w:szCs w:val="13"/>
                <w:color w:val="auto"/>
              </w:rPr>
              <w:t>(2,144 )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(471 )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(471 )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(471 )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Dividends declared ($0.82 per share)</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(244 )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(244 )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(244 )</w:t>
            </w:r>
          </w:p>
        </w:tc>
        <w:tc>
          <w:tcPr>
            <w:tcW w:w="0" w:type="dxa"/>
            <w:vAlign w:val="bottom"/>
          </w:tcPr>
          <w:p>
            <w:pPr>
              <w:spacing w:after="0"/>
              <w:rPr>
                <w:sz w:val="1"/>
                <w:szCs w:val="1"/>
                <w:color w:val="auto"/>
              </w:rPr>
            </w:pPr>
          </w:p>
        </w:tc>
      </w:tr>
      <w:tr>
        <w:trPr>
          <w:trHeight w:val="136"/>
        </w:trPr>
        <w:tc>
          <w:tcPr>
            <w:tcW w:w="3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Additional non-controlling interests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June 30, 2022</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110,096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10,855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1,971</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10,337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10,417</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1000" w:type="dxa"/>
            <w:vAlign w:val="bottom"/>
          </w:tcPr>
          <w:p>
            <w:pPr>
              <w:jc w:val="right"/>
              <w:spacing w:after="0"/>
              <w:rPr>
                <w:sz w:val="20"/>
                <w:szCs w:val="20"/>
                <w:color w:val="auto"/>
              </w:rPr>
            </w:pPr>
            <w:r>
              <w:rPr>
                <w:rFonts w:ascii="Arial" w:cs="Arial" w:eastAsia="Arial" w:hAnsi="Arial"/>
                <w:sz w:val="13"/>
                <w:szCs w:val="13"/>
                <w:color w:val="auto"/>
              </w:rPr>
              <w:t>(1,789 )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(369 )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(369 )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(369 )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Dividends declared ($0.82 per share)</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(234 )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(234 )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(234 )</w:t>
            </w:r>
          </w:p>
        </w:tc>
        <w:tc>
          <w:tcPr>
            <w:tcW w:w="0" w:type="dxa"/>
            <w:vAlign w:val="bottom"/>
          </w:tcPr>
          <w:p>
            <w:pPr>
              <w:spacing w:after="0"/>
              <w:rPr>
                <w:sz w:val="1"/>
                <w:szCs w:val="1"/>
                <w:color w:val="auto"/>
              </w:rPr>
            </w:pPr>
          </w:p>
        </w:tc>
      </w:tr>
      <w:tr>
        <w:trPr>
          <w:trHeight w:val="136"/>
        </w:trPr>
        <w:tc>
          <w:tcPr>
            <w:tcW w:w="300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355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64"/>
        </w:trPr>
        <w:tc>
          <w:tcPr>
            <w:tcW w:w="3000" w:type="dxa"/>
            <w:vAlign w:val="bottom"/>
            <w:shd w:val="clear" w:color="auto" w:fill="CFF0FC"/>
          </w:tcPr>
          <w:p>
            <w:pPr>
              <w:ind w:left="20"/>
              <w:spacing w:after="0" w:line="164" w:lineRule="exact"/>
              <w:rPr>
                <w:sz w:val="20"/>
                <w:szCs w:val="20"/>
                <w:color w:val="auto"/>
              </w:rPr>
            </w:pPr>
            <w:r>
              <w:rPr>
                <w:rFonts w:ascii="Arial" w:cs="Arial" w:eastAsia="Arial" w:hAnsi="Arial"/>
                <w:sz w:val="13"/>
                <w:szCs w:val="13"/>
                <w:color w:val="auto"/>
              </w:rPr>
              <w:t xml:space="preserve">Reduction of non-controlling interests </w:t>
            </w:r>
            <w:r>
              <w:rPr>
                <w:rFonts w:ascii="Arial" w:cs="Arial" w:eastAsia="Arial" w:hAnsi="Arial"/>
                <w:sz w:val="16"/>
                <w:szCs w:val="16"/>
                <w:color w:val="auto"/>
                <w:vertAlign w:val="superscript"/>
              </w:rPr>
              <w:t>(ii)</w:t>
            </w: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7"/>
        </w:trPr>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September 30, 2022</w:t>
            </w:r>
          </w:p>
        </w:tc>
        <w:tc>
          <w:tcPr>
            <w:tcW w:w="10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108,662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10,855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1,706</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(2,720 )</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9,838</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9,913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5"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Accumulated other comprehensive loss, net of tax (‘AOCL’).</w:t>
      </w:r>
    </w:p>
    <w:p>
      <w:pPr>
        <w:spacing w:after="0" w:line="39" w:lineRule="exact"/>
        <w:rPr>
          <w:rFonts w:ascii="Arial" w:cs="Arial" w:eastAsia="Arial" w:hAnsi="Arial"/>
          <w:sz w:val="13"/>
          <w:szCs w:val="13"/>
          <w:color w:val="auto"/>
        </w:rPr>
      </w:pPr>
    </w:p>
    <w:p>
      <w:pPr>
        <w:ind w:left="280" w:right="360" w:hanging="272"/>
        <w:spacing w:after="0" w:line="274" w:lineRule="auto"/>
        <w:tabs>
          <w:tab w:leader="none" w:pos="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amounts in millions of U.S. dollars,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75"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Willis Towers Watson Public Limited Company is a leading global advisory, broking and solutions company that provides data-driven, insight-led solutions in the areas of people, risk and capital. The Company has more than 46,000 colleagues serving more than 140 countries and markets.</w:t>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design and deliver solutions that manage risk, optimize benefits, cultivate talent and expand the power of capital to protect and strengthen institutions and individuals.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risk management services include strategic risk consulting (including providing actuarial analysis), a variety of due diligence services, the provision of practical on-site risk control services (such as health and safety and property loss control consulting), and analytical and advisory services (such as hazard modeling). We also assist our clients with planning for addressing incidents or crises when they occur. These services include contingency planning, security audits and product tampering plans.</w:t>
      </w:r>
    </w:p>
    <w:p>
      <w:pPr>
        <w:spacing w:after="0" w:line="13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We help our clients enhance business performance by delivering consulting services, technology and solutions that optimize benefits and cultivate talent. Our services and solutions encompass such areas as employee benefits, work and rewards, employee experience and benefits outsourcing. In addition, we provide investment advice to help our clients develop disciplined and efficient strategies to meet their investment goals and expand the power of capital.</w:t>
      </w:r>
    </w:p>
    <w:p>
      <w:pPr>
        <w:spacing w:after="0" w:line="94" w:lineRule="exact"/>
        <w:rPr>
          <w:sz w:val="20"/>
          <w:szCs w:val="20"/>
          <w:color w:val="auto"/>
        </w:rPr>
      </w:pPr>
    </w:p>
    <w:p>
      <w:pPr>
        <w:jc w:val="both"/>
        <w:ind w:right="160"/>
        <w:spacing w:after="0" w:line="341" w:lineRule="auto"/>
        <w:rPr>
          <w:sz w:val="20"/>
          <w:szCs w:val="20"/>
          <w:color w:val="auto"/>
        </w:rPr>
      </w:pPr>
      <w:r>
        <w:rPr>
          <w:rFonts w:ascii="Arial" w:cs="Arial" w:eastAsia="Arial" w:hAnsi="Arial"/>
          <w:sz w:val="16"/>
          <w:szCs w:val="16"/>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29" w:lineRule="exact"/>
        <w:rPr>
          <w:sz w:val="20"/>
          <w:szCs w:val="20"/>
          <w:color w:val="auto"/>
        </w:rPr>
      </w:pPr>
    </w:p>
    <w:p>
      <w:pPr>
        <w:ind w:right="900"/>
        <w:spacing w:after="0" w:line="307" w:lineRule="auto"/>
        <w:rPr>
          <w:sz w:val="20"/>
          <w:szCs w:val="20"/>
          <w:color w:val="auto"/>
        </w:rPr>
      </w:pPr>
      <w:r>
        <w:rPr>
          <w:rFonts w:ascii="Arial" w:cs="Arial" w:eastAsia="Arial" w:hAnsi="Arial"/>
          <w:sz w:val="17"/>
          <w:szCs w:val="17"/>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24, 2023, and may be accessed via EDGAR on the SEC’s web site at www.sec.gov.</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results of operations for the three and nine months ended September 30, 2023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new pronouncements that are expected to have a significant impact to the Company or its condensed consolidated financial statements.</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Tax Legislation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Reduction Act</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Inflation Reduction Act (the ‘IRA’) was enacted into law on August 16, 2022 and certain portions of the IRA became effective January 1, 2023. The IRA introduced, among other provisions, a share repurchase excise tax and a new Corporate Alternative Minimum Tax (‘CAMT’) which imposes a 15% tax on the adjusted financial statement income of ‘applicable corporations’. The Company does not expect the excise tax or CAMT to have a significant impact on its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Pillar Two</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December 12, 2022, E.U. member states reached an agreement to implement Pillar Two, which introduces a global corporate minimum tax of 15% for certain large multinational companies beginning in 2023. For the rules to take effect, E.U. member states are required to enact domestic legislation by the end of 2023 to be effective January 1, 2024. The Company is currently evaluating the impact Pillar Two will have on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Divestment of Russian Business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which includes an allocation of Risk &amp; Broking goodwill, and was recognized as a loss on disposal of a business within Other income, net on our condensed consolidated statements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 were $81 million recorded during the three months ended March 31, 2022 in Other operating expenses on our condensed consolidated statements of comprehensive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Willis Re Divestiture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for all but one business was completed during the second quarter of 2022, and all net earnings of the Deferred Closing businesses accumulated between the Principal Closing and Deferred Closing remained payable to Gallagher at June 30, 2022 and September 30, 2022. The Company recognized a preliminary pre-tax gain of $2.3 billion upon completion of the sale in 2021, and during the second quarter of 2022, WTW recognized a $60 million reduction to the pre-tax gain related to an updated estimate of the working capital transferred upon disposal. The Company recognized the final allocation of the proceeds and related tax expense, as well as an adjustment of certain indemnities for the three months ended September 30, 2022. These amounts as well as the amounts payable with respect to the settled Deferred Closing businesses were remitted to Gallagher in October 2022. The remaining Deferred Closing business transferred during the fourth quarter of 2022, and all businesses have now been transferred to Gallagher. The gain is subject to tax in certain jurisdictions, mainly in the U.S., and is predominantly tax-exempt in the U.K.</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transaction, the Company reclassified the results of its Willis Re operations as discontinued operations on its condensed consolidated statements of comprehensive income and reclassified Willis Re assets and liabilities as held for sale on its condensed consolidated balance sheets. The condensed consolidated cash flow statements were not adjusted for the divestiture. Willis Re was previously included in the Company's former Investment, Risk and Reinsurance segment. As noted above, the results of the Deferred Closing businesses following the Principal Closing until their respective Deferred Closing dates have been included in income from discontinued operations on the condensed consolidated statements of comprehensive income during 2022.</w:t>
      </w:r>
    </w:p>
    <w:p>
      <w:pPr>
        <w:spacing w:after="0" w:line="1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will account for the earnout as a gain contingency and therefore did not record any receivables upon close. Rather, the earnout will be recognized in the Company’s condensed consolidated financial statements, if it is received, in 2025.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3" w:name="page14"/>
    <w:bookmarkEnd w:id="13"/>
    <w:p>
      <w:pPr>
        <w:ind w:right="80"/>
        <w:spacing w:after="0" w:line="290" w:lineRule="auto"/>
        <w:rPr>
          <w:sz w:val="20"/>
          <w:szCs w:val="20"/>
          <w:color w:val="auto"/>
        </w:rPr>
      </w:pPr>
      <w:r>
        <w:rPr>
          <w:rFonts w:ascii="Arial" w:cs="Arial" w:eastAsia="Arial" w:hAnsi="Arial"/>
          <w:sz w:val="16"/>
          <w:szCs w:val="16"/>
          <w:color w:val="auto"/>
        </w:rPr>
        <w:t>A number of services are continuing under a cost reimbursement Transition Services Agreement (‘TSA’) in which WTW is providing Gallagher support including real estate leases, information technology, payroll, human resources and accounting. During the third quarter of 2023, the term for these services was extended from November 30, 2023 to May 31, 2024 and may be further extended by Gallagher, in accordance with the terms of the TSA. Fees earned under the TSA were $11 million and $29 million during the three and nine months ended September 30, 2023, respectively, and $8 million and $31 million during the three and nine months ended September 30, 2022, respectively, and have been recognized as a reduction to the costs incurred to service the TSA and are included in continuing operations within Other operating expenses on the condensed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selected financial information relates to the operations of Willis Re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ind w:right="173"/>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7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September 30, 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September 30, 2022</w:t>
            </w:r>
          </w:p>
        </w:tc>
      </w:tr>
      <w:tr>
        <w:trPr>
          <w:trHeight w:val="236"/>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52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discontinued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Costs of providing services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Salaries and benefits</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costs of providing services</w:t>
            </w: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w:t>
            </w: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w:t>
            </w: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Adjustment to gain on disposal of Willis Re</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 from income taxes</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w:t>
            </w: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Net income payable to Gallagher on Deferred Closing</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Income/(loss) from discontinued operations, net of tax</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-975360</wp:posOffset>
            </wp:positionV>
            <wp:extent cx="11112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expense amounts reflected above represent only the direct costs attributable to the Willis Re business and exclude allocations of corporate costs that will be retained following the sale. Neither the discontinued operations presented above, nor the unallocated corporate costs, reflect the impact of any cost reimbursement that will be received under the TSA.</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Certain amounts included in the condensed consolidated balance sheets did not transfer to Gallagher under the terms of the Willis Re SAPA, and instead were to be settled by the Company, noting that certain fiduciary positions continued to be held under the terms of various co-broking agreements between subsidiaries of the Company and Gallagher. At December 31, 2022, the amounts of significant assets and liabilities related to the Willis Re businesses which were not transferred in the sale were $3.2 billion of fiduciary assets and liabilities, $29 million of accounts receivable and $73 million of other current liabilities. On May 31, 2023, the Company and Gallagher entered into a side letter to the Willis Re SAPA which became effective on June 1, 2023 and which (A) ended the co-broking agreements prospectively and which (B) transferred related fiduciary and certain non-fiduciary assets and liabilities to Gallagher at that time based on then-current estimates. These non-fiduciary amounts were finalized in the third quarter of 2023. The value of the initial transfer amounted to $74 million of other current liabilities less $26 million of accounts receivables due to the Company, totaling $48 million of net cash transferred to Gallagher. Additionally, total fiduciary assets and liabilities of $4.5 billion, including $868 million of fiduciary cash, was transferred to Gallagher. The total cash outflow of $916 million is included in cash used in investing activities in the condensed consolidated statement of cash flows. During the third quarter of 2023, WTW and Gallagher agreed to a final settlement of all balances which resulted in a $5 million increase to the gain on disposal recognized during the three months and nine months ended September 30, 2023 and is included within Other income, net on our condensed consolidated statements of comprehensive income. The settlement of remaining amounts owed to Gallagher totaling $11 million was accrued in Deferred revenue and accrued expenses on the condensed consolidated balance sheet at September 30, 2023 and was transferred in October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w:t>
      </w:r>
    </w:p>
    <w:p>
      <w:pPr>
        <w:spacing w:after="0" w:line="171"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color w:val="auto"/>
        </w:rPr>
        <w:t>During the nine months ended September 30, 2023, the Company completed other divestitures for total cash consideration of $86 million and net gains on disposal of $39 million, which is included within Other income, net on our condensed consolidated statements of comprehensive income.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67" w:lineRule="exact"/>
        <w:rPr>
          <w:sz w:val="20"/>
          <w:szCs w:val="20"/>
          <w:color w:val="auto"/>
        </w:rPr>
      </w:pPr>
    </w:p>
    <w:p>
      <w:pPr>
        <w:jc w:val="both"/>
        <w:ind w:right="300"/>
        <w:spacing w:after="0" w:line="265" w:lineRule="auto"/>
        <w:rPr>
          <w:sz w:val="20"/>
          <w:szCs w:val="20"/>
          <w:color w:val="auto"/>
        </w:rPr>
      </w:pPr>
      <w:r>
        <w:rPr>
          <w:rFonts w:ascii="Arial" w:cs="Arial" w:eastAsia="Arial" w:hAnsi="Arial"/>
          <w:sz w:val="18"/>
          <w:szCs w:val="18"/>
          <w:color w:val="auto"/>
        </w:rPr>
        <w:t xml:space="preserve">The Company reports revenue by segment in Note 5 </w:t>
      </w:r>
      <w:r>
        <w:rPr>
          <w:rFonts w:ascii="Arial" w:cs="Arial" w:eastAsia="Arial" w:hAnsi="Arial"/>
          <w:sz w:val="18"/>
          <w:szCs w:val="18"/>
          <w:b w:val="1"/>
          <w:bCs w:val="1"/>
          <w:color w:val="auto"/>
        </w:rPr>
        <w:t>—</w:t>
      </w:r>
      <w:r>
        <w:rPr>
          <w:rFonts w:ascii="Arial" w:cs="Arial" w:eastAsia="Arial" w:hAnsi="Arial"/>
          <w:sz w:val="18"/>
          <w:szCs w:val="18"/>
          <w:color w:val="auto"/>
        </w:rPr>
        <w:t xml:space="preserve"> Segment Information. The following tables present revenue by service offering and segment, as well as reconciliations to total revenue for the three and nine months ended September 30, 2023 and 2022. Along with reimbursable expenses and other, total revenue by service offering represents our revenue from customer contracts.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w w:val="94"/>
              </w:rPr>
              <w:t>Three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48"/>
              <w:spacing w:after="0" w:line="169" w:lineRule="exact"/>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9"/>
                <w:szCs w:val="19"/>
                <w:b w:val="1"/>
                <w:bCs w:val="1"/>
                <w:color w:val="auto"/>
                <w:vertAlign w:val="superscript"/>
              </w:rPr>
              <w:t>(i) (ii)</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Broking</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241</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207</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673</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606</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914</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820" w:type="dxa"/>
            <w:vAlign w:val="bottom"/>
            <w:gridSpan w:val="2"/>
            <w:vMerge w:val="continue"/>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Consulting</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Outsourced administration</w:t>
            </w: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5"/>
                <w:szCs w:val="15"/>
                <w:color w:val="auto"/>
              </w:rPr>
            </w:pPr>
          </w:p>
        </w:tc>
        <w:tc>
          <w:tcPr>
            <w:tcW w:w="3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20" w:type="dxa"/>
            <w:vAlign w:val="bottom"/>
            <w:gridSpan w:val="2"/>
            <w:vMerge w:val="continue"/>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 by service offering</w:t>
            </w:r>
          </w:p>
        </w:tc>
        <w:tc>
          <w:tcPr>
            <w:tcW w:w="1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1,275</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2,107</w:t>
            </w: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Reimbursable expenses and other </w:t>
            </w:r>
            <w:r>
              <w:rPr>
                <w:rFonts w:ascii="Arial" w:cs="Arial" w:eastAsia="Arial" w:hAnsi="Arial"/>
                <w:sz w:val="19"/>
                <w:szCs w:val="19"/>
                <w:color w:val="auto"/>
                <w:vertAlign w:val="superscript"/>
              </w:rPr>
              <w:t>(i) (ii)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 from customer contracts</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1,291</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1,172</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831</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749</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560" w:type="dxa"/>
            <w:vAlign w:val="bottom"/>
            <w:vMerge w:val="restart"/>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2,124</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1,919</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Interest and other income </w:t>
            </w:r>
            <w:r>
              <w:rPr>
                <w:rFonts w:ascii="Arial" w:cs="Arial" w:eastAsia="Arial" w:hAnsi="Arial"/>
                <w:sz w:val="19"/>
                <w:szCs w:val="19"/>
                <w:color w:val="auto"/>
                <w:vertAlign w:val="superscript"/>
              </w:rPr>
              <w:t>(ii)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1,298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1,178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858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767</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2,166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304"/>
        </w:trPr>
        <w:tc>
          <w:tcPr>
            <w:tcW w:w="3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96"/>
              </w:rPr>
              <w:t>Nine Months Ended September 30,</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48"/>
              <w:spacing w:after="0" w:line="169" w:lineRule="exact"/>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9"/>
                <w:szCs w:val="19"/>
                <w:b w:val="1"/>
                <w:bCs w:val="1"/>
                <w:color w:val="auto"/>
                <w:vertAlign w:val="superscript"/>
              </w:rPr>
              <w:t>(i) (ii)</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Broking</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789</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714</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2,088</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1,963</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5"/>
                <w:szCs w:val="15"/>
                <w:color w:val="auto"/>
              </w:rPr>
            </w:pPr>
          </w:p>
        </w:tc>
        <w:tc>
          <w:tcPr>
            <w:tcW w:w="560" w:type="dxa"/>
            <w:vAlign w:val="bottom"/>
            <w:vMerge w:val="restart"/>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2,885</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2,685</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Consulting</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1,947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1,886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2,232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Outsourced administration</w:t>
            </w: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779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5"/>
                <w:szCs w:val="15"/>
                <w:color w:val="auto"/>
              </w:rPr>
            </w:pPr>
          </w:p>
        </w:tc>
        <w:tc>
          <w:tcPr>
            <w:tcW w:w="3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20" w:type="dxa"/>
            <w:vAlign w:val="bottom"/>
            <w:gridSpan w:val="2"/>
            <w:vMerge w:val="continue"/>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 by service offering</w:t>
            </w:r>
          </w:p>
        </w:tc>
        <w:tc>
          <w:tcPr>
            <w:tcW w:w="1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3,762</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3,533</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2,596</w:t>
            </w: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6,378</w:t>
            </w: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5,999</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Reimbursable expenses and other </w:t>
            </w:r>
            <w:r>
              <w:rPr>
                <w:rFonts w:ascii="Arial" w:cs="Arial" w:eastAsia="Arial" w:hAnsi="Arial"/>
                <w:sz w:val="19"/>
                <w:szCs w:val="19"/>
                <w:color w:val="auto"/>
                <w:vertAlign w:val="superscript"/>
              </w:rPr>
              <w:t>(i) (ii)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 from customer contracts</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3,811</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3,576</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2,605</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2,458</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5"/>
                <w:szCs w:val="15"/>
                <w:color w:val="auto"/>
              </w:rPr>
            </w:pPr>
          </w:p>
        </w:tc>
        <w:tc>
          <w:tcPr>
            <w:tcW w:w="560" w:type="dxa"/>
            <w:vAlign w:val="bottom"/>
            <w:vMerge w:val="restart"/>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6,445</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6,043</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Interest and other income </w:t>
            </w:r>
            <w:r>
              <w:rPr>
                <w:rFonts w:ascii="Arial" w:cs="Arial" w:eastAsia="Arial" w:hAnsi="Arial"/>
                <w:sz w:val="19"/>
                <w:szCs w:val="19"/>
                <w:color w:val="auto"/>
                <w:vertAlign w:val="superscript"/>
              </w:rPr>
              <w:t>(ii)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3,833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3,608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2,668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2,515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6,569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-1866265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-1849120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-1866265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-1849120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-1866265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-1849120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-1866265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-1849120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-1866265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-1849120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-1866265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-1849120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-1866265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-1849120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ind w:left="280" w:right="880" w:hanging="272"/>
        <w:spacing w:after="0" w:line="293" w:lineRule="auto"/>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jc w:val="both"/>
        <w:ind w:left="280" w:right="80" w:hanging="272"/>
        <w:spacing w:after="0" w:line="237" w:lineRule="auto"/>
        <w:tabs>
          <w:tab w:leader="none" w:pos="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2022, $9 million of interest income was reclassified from Reimbursable expenses and other to Interest and other income in order to show the allocation of interest income related to fiduciary assets to Corporate. This amount was previously unallocated, but was allocated beginning with the presentation in our Annual Report on Form 10-K, filed with the SEC on February 24, 2023, and is therefore included in the full-year results presented therein.</w:t>
      </w:r>
    </w:p>
    <w:p>
      <w:pPr>
        <w:spacing w:after="0" w:line="134"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HWC</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Corporate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Book-of-business settlements</w:t>
            </w:r>
          </w:p>
        </w:tc>
        <w:tc>
          <w:tcPr>
            <w:tcW w:w="580" w:type="dxa"/>
            <w:vAlign w:val="bottom"/>
            <w:vMerge w:val="restart"/>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FF0FC"/>
          </w:tcPr>
          <w:p>
            <w:pPr>
              <w:jc w:val="right"/>
              <w:ind w:right="44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700" w:type="dxa"/>
            <w:vAlign w:val="bottom"/>
            <w:gridSpan w:val="2"/>
            <w:vMerge w:val="restart"/>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    $</w:t>
            </w: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61"/>
        </w:trPr>
        <w:tc>
          <w:tcPr>
            <w:tcW w:w="3440" w:type="dxa"/>
            <w:vAlign w:val="bottom"/>
            <w:shd w:val="clear" w:color="auto" w:fill="CFF0FC"/>
          </w:tcPr>
          <w:p>
            <w:pPr>
              <w:spacing w:after="0"/>
              <w:rPr>
                <w:sz w:val="5"/>
                <w:szCs w:val="5"/>
                <w:color w:val="auto"/>
              </w:rPr>
            </w:pPr>
          </w:p>
        </w:tc>
        <w:tc>
          <w:tcPr>
            <w:tcW w:w="580" w:type="dxa"/>
            <w:vAlign w:val="bottom"/>
            <w:vMerge w:val="continue"/>
            <w:shd w:val="clear" w:color="auto" w:fill="CFF0FC"/>
          </w:tcPr>
          <w:p>
            <w:pPr>
              <w:spacing w:after="0"/>
              <w:rPr>
                <w:sz w:val="5"/>
                <w:szCs w:val="5"/>
                <w:color w:val="auto"/>
              </w:rPr>
            </w:pPr>
          </w:p>
        </w:tc>
        <w:tc>
          <w:tcPr>
            <w:tcW w:w="320" w:type="dxa"/>
            <w:vAlign w:val="bottom"/>
            <w:vMerge w:val="continue"/>
            <w:shd w:val="clear" w:color="auto" w:fill="CFF0FC"/>
          </w:tcPr>
          <w:p>
            <w:pPr>
              <w:spacing w:after="0"/>
              <w:rPr>
                <w:sz w:val="5"/>
                <w:szCs w:val="5"/>
                <w:color w:val="auto"/>
              </w:rPr>
            </w:pPr>
          </w:p>
        </w:tc>
        <w:tc>
          <w:tcPr>
            <w:tcW w:w="740" w:type="dxa"/>
            <w:vAlign w:val="bottom"/>
            <w:gridSpan w:val="2"/>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700" w:type="dxa"/>
            <w:vAlign w:val="bottom"/>
            <w:gridSpan w:val="2"/>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1040" w:type="dxa"/>
            <w:vAlign w:val="bottom"/>
            <w:gridSpan w:val="3"/>
            <w:vMerge w:val="continue"/>
            <w:shd w:val="clear" w:color="auto" w:fill="CFF0FC"/>
          </w:tcPr>
          <w:p>
            <w:pPr>
              <w:spacing w:after="0"/>
              <w:rPr>
                <w:sz w:val="5"/>
                <w:szCs w:val="5"/>
                <w:color w:val="auto"/>
              </w:rPr>
            </w:pPr>
          </w:p>
        </w:tc>
        <w:tc>
          <w:tcPr>
            <w:tcW w:w="900" w:type="dxa"/>
            <w:vAlign w:val="bottom"/>
            <w:gridSpan w:val="3"/>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580" w:type="dxa"/>
            <w:vAlign w:val="bottom"/>
          </w:tcPr>
          <w:p>
            <w:pPr>
              <w:spacing w:after="0"/>
              <w:rPr>
                <w:sz w:val="15"/>
                <w:szCs w:val="15"/>
                <w:color w:val="auto"/>
              </w:rPr>
            </w:pPr>
          </w:p>
        </w:tc>
        <w:tc>
          <w:tcPr>
            <w:tcW w:w="32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1"/>
        </w:trPr>
        <w:tc>
          <w:tcPr>
            <w:tcW w:w="3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5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344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 interest and other income</w:t>
            </w: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Borders>
              <w:top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-161925</wp:posOffset>
            </wp:positionV>
            <wp:extent cx="7683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-161925</wp:posOffset>
            </wp:positionV>
            <wp:extent cx="76835"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-161925</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96"/>
              </w:rPr>
              <w:t>Nine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Book-of-business settlements</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11</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41</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3"/>
            <w:vMerge w:val="restart"/>
            <w:shd w:val="clear" w:color="auto" w:fill="CFF0FC"/>
          </w:tcPr>
          <w:p>
            <w:pPr>
              <w:jc w:val="right"/>
              <w:ind w:right="408"/>
              <w:spacing w:after="0"/>
              <w:rPr>
                <w:sz w:val="20"/>
                <w:szCs w:val="20"/>
                <w:color w:val="auto"/>
              </w:rPr>
            </w:pPr>
            <w:r>
              <w:rPr>
                <w:rFonts w:ascii="Arial" w:cs="Arial" w:eastAsia="Arial" w:hAnsi="Arial"/>
                <w:sz w:val="14"/>
                <w:szCs w:val="14"/>
                <w:color w:val="auto"/>
              </w:rPr>
              <w:t>—    $</w:t>
            </w:r>
          </w:p>
        </w:tc>
        <w:tc>
          <w:tcPr>
            <w:tcW w:w="56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1380" w:type="dxa"/>
            <w:vAlign w:val="bottom"/>
            <w:gridSpan w:val="3"/>
            <w:vMerge w:val="continue"/>
            <w:shd w:val="clear" w:color="auto" w:fill="CFF0FC"/>
          </w:tcPr>
          <w:p>
            <w:pPr>
              <w:spacing w:after="0"/>
              <w:rPr>
                <w:sz w:val="5"/>
                <w:szCs w:val="5"/>
                <w:color w:val="auto"/>
              </w:rPr>
            </w:pPr>
          </w:p>
        </w:tc>
        <w:tc>
          <w:tcPr>
            <w:tcW w:w="560" w:type="dxa"/>
            <w:vAlign w:val="bottom"/>
            <w:gridSpan w:val="3"/>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 interest and other income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63</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ind w:right="100"/>
        <w:spacing w:after="0" w:line="263" w:lineRule="auto"/>
        <w:rPr>
          <w:sz w:val="20"/>
          <w:szCs w:val="20"/>
          <w:color w:val="auto"/>
        </w:rPr>
      </w:pPr>
      <w:r>
        <w:rPr>
          <w:rFonts w:ascii="Arial" w:cs="Arial" w:eastAsia="Arial" w:hAnsi="Arial"/>
          <w:sz w:val="18"/>
          <w:szCs w:val="18"/>
          <w:color w:val="auto"/>
        </w:rPr>
        <w:t>As a result of the cessation of the co-broking agreement, (see Note 3 — Acquisitions and Divestitures) interest income associated with fiduciary funds will be allocated more directly to the Risk and Broking segment beginning in the third quarter of 2023. These amounts were previously allocated to the Corporate segment following the disposal of Willis Re.</w:t>
      </w:r>
    </w:p>
    <w:p>
      <w:pPr>
        <w:spacing w:after="0" w:line="129"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following tables present revenue from service offerings by the geography where our work was performed for the three and nine months ended September 30, 2023 and 2022. Reconciliations to total revenue on our condensed consolidated statements of comprehensive income and to segment revenue are shown in the tables above.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w w:val="94"/>
              </w:rPr>
              <w:t>Three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830</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766</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344</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326</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5"/>
                <w:szCs w:val="15"/>
                <w:color w:val="auto"/>
              </w:rPr>
            </w:pPr>
          </w:p>
        </w:tc>
        <w:tc>
          <w:tcPr>
            <w:tcW w:w="560" w:type="dxa"/>
            <w:vAlign w:val="bottom"/>
            <w:vMerge w:val="restart"/>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1,177</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 revenue by geography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1,275</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828</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747</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2,107</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96"/>
              </w:rPr>
              <w:t>Nine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2,445</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2,301</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990</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936</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5"/>
                <w:szCs w:val="15"/>
                <w:color w:val="auto"/>
              </w:rPr>
            </w:pPr>
          </w:p>
        </w:tc>
        <w:tc>
          <w:tcPr>
            <w:tcW w:w="560" w:type="dxa"/>
            <w:vAlign w:val="bottom"/>
            <w:vMerge w:val="restart"/>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3,441</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3,243</w:t>
            </w:r>
          </w:p>
        </w:tc>
        <w:tc>
          <w:tcPr>
            <w:tcW w:w="0" w:type="dxa"/>
            <w:vAlign w:val="bottom"/>
          </w:tcPr>
          <w:p>
            <w:pPr>
              <w:spacing w:after="0"/>
              <w:rPr>
                <w:sz w:val="1"/>
                <w:szCs w:val="1"/>
                <w:color w:val="auto"/>
              </w:rPr>
            </w:pPr>
          </w:p>
        </w:tc>
      </w:tr>
      <w:tr>
        <w:trPr>
          <w:trHeight w:val="61"/>
        </w:trPr>
        <w:tc>
          <w:tcPr>
            <w:tcW w:w="34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1,214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2,217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 revenue by geography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3,762</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3,533</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2,596</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2,451</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6,378</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5,999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September 30, 2023 and December 31,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6"/>
              </w:rPr>
              <w:t>September 30, 2023</w:t>
            </w:r>
          </w:p>
        </w:tc>
        <w:tc>
          <w:tcPr>
            <w:tcW w:w="18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6"/>
              </w:rPr>
              <w:t>December 31, 2022</w:t>
            </w:r>
          </w:p>
        </w:tc>
      </w:tr>
      <w:tr>
        <w:trPr>
          <w:trHeight w:val="236"/>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 receivables, net of allowance for doubtful accounts of $41 million and $46 million</w:t>
            </w:r>
          </w:p>
        </w:tc>
        <w:tc>
          <w:tcPr>
            <w:tcW w:w="52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1,464</w:t>
            </w:r>
          </w:p>
        </w:tc>
      </w:tr>
      <w:tr>
        <w:trPr>
          <w:trHeight w:val="236"/>
        </w:trPr>
        <w:tc>
          <w:tcPr>
            <w:tcW w:w="820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5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457</w:t>
            </w:r>
          </w:p>
        </w:tc>
      </w:tr>
      <w:tr>
        <w:trPr>
          <w:trHeight w:val="243"/>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contract assets</w:t>
            </w:r>
          </w:p>
        </w:tc>
        <w:tc>
          <w:tcPr>
            <w:tcW w:w="5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466</w:t>
            </w:r>
          </w:p>
        </w:tc>
      </w:tr>
      <w:tr>
        <w:trPr>
          <w:trHeight w:val="236"/>
        </w:trPr>
        <w:tc>
          <w:tcPr>
            <w:tcW w:w="82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2,079</w:t>
            </w:r>
          </w:p>
        </w:tc>
        <w:tc>
          <w:tcPr>
            <w:tcW w:w="180" w:type="dxa"/>
            <w:vAlign w:val="bottom"/>
          </w:tcPr>
          <w:p>
            <w:pPr>
              <w:spacing w:after="0"/>
              <w:rPr>
                <w:sz w:val="20"/>
                <w:szCs w:val="20"/>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w:t>
            </w:r>
          </w:p>
        </w:tc>
      </w:tr>
      <w:tr>
        <w:trPr>
          <w:trHeight w:val="20"/>
        </w:trPr>
        <w:tc>
          <w:tcPr>
            <w:tcW w:w="8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accounts receivable, net</w:t>
            </w:r>
          </w:p>
        </w:tc>
        <w:tc>
          <w:tcPr>
            <w:tcW w:w="520" w:type="dxa"/>
            <w:vAlign w:val="bottom"/>
            <w:tcBorders>
              <w:top w:val="single" w:sz="8" w:color="auto"/>
              <w:bottom w:val="single" w:sz="8" w:color="auto"/>
            </w:tcBorders>
            <w:shd w:val="clear" w:color="auto" w:fill="CFF0FC"/>
          </w:tcPr>
          <w:p>
            <w:pPr>
              <w:jc w:val="right"/>
              <w:ind w:right="33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36"/>
        </w:trPr>
        <w:tc>
          <w:tcPr>
            <w:tcW w:w="8200" w:type="dxa"/>
            <w:vAlign w:val="bottom"/>
          </w:tcPr>
          <w:p>
            <w:pPr>
              <w:ind w:left="20"/>
              <w:spacing w:after="0"/>
              <w:rPr>
                <w:sz w:val="20"/>
                <w:szCs w:val="20"/>
                <w:color w:val="auto"/>
              </w:rPr>
            </w:pPr>
            <w:r>
              <w:rPr>
                <w:rFonts w:ascii="Arial" w:cs="Arial" w:eastAsia="Arial" w:hAnsi="Arial"/>
                <w:sz w:val="18"/>
                <w:szCs w:val="18"/>
                <w:color w:val="auto"/>
              </w:rPr>
              <w:t>Non-current contract assets</w:t>
            </w: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680" w:type="dxa"/>
            <w:vAlign w:val="bottom"/>
            <w:gridSpan w:val="2"/>
          </w:tcPr>
          <w:p>
            <w:pPr>
              <w:jc w:val="right"/>
              <w:ind w:right="31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745</w:t>
            </w:r>
          </w:p>
        </w:tc>
      </w:tr>
      <w:tr>
        <w:trPr>
          <w:trHeight w:val="236"/>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520" w:type="dxa"/>
            <w:vAlign w:val="bottom"/>
            <w:tcBorders>
              <w:top w:val="single" w:sz="8" w:color="auto"/>
              <w:bottom w:val="single" w:sz="8" w:color="auto"/>
            </w:tcBorders>
            <w:shd w:val="clear" w:color="auto" w:fill="CFF0FC"/>
          </w:tcPr>
          <w:p>
            <w:pPr>
              <w:jc w:val="right"/>
              <w:ind w:right="33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666</w:t>
            </w:r>
          </w:p>
        </w:tc>
        <w:tc>
          <w:tcPr>
            <w:tcW w:w="1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-675640</wp:posOffset>
            </wp:positionV>
            <wp:extent cx="11112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-333375</wp:posOffset>
            </wp:positionV>
            <wp:extent cx="11112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three and nine months ended September 30, 2023, revenue of $62 million and $447 million, respectively, was recognized that was reflected as deferred revenue at December 31, 2022. During the three months ended September 30, 2023, revenue of $290 million was recognized that was reflected as deferred revenue at June 30, 2023.</w:t>
      </w:r>
    </w:p>
    <w:p>
      <w:pPr>
        <w:spacing w:after="0" w:line="1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three and nine months ended September 30, 2023, the Company recognized revenue of $1 million and $8 million, respectively, related to performance obligations satisfied prior to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contracts for which performance obligations have not been satisfied as of September 30, 2023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3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In addition,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has elected not to disclose the remaining performance obligations when one or both of the following circumstances apply:</w:t>
      </w:r>
    </w:p>
    <w:p>
      <w:pPr>
        <w:spacing w:after="0" w:line="62"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obligations which are part of a contract that has an original expected duration of less than one year,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obligations satisfied in accordance with ASC 606-10-55-18 (‘right to invoice’).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16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Remainder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4"/>
              </w:rPr>
              <w:t>2025 onward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expected to be recognized on contracts as of September 30, 2023</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Since most of the Company’s contracts are cancellable with less than one year’s notice and have no substantive penalty for cancellation, the majority of the Company’s remaining performance obligations as of September 30, 2023 have been excluded from the table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Wealth &amp; Career (‘HWC’);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&amp; Broking (‘R&amp;B’).</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experiences seasonal fluctuations of its revenue. Revenue is typically higher during the Company’s first and fourth quarters due primarily to the timing of broking-related activities.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segment revenue and segment operating income for our reportable segments for the three months ended September 30, 2023 and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96"/>
              <w:spacing w:after="0"/>
              <w:rPr>
                <w:sz w:val="20"/>
                <w:szCs w:val="20"/>
                <w:color w:val="auto"/>
              </w:rPr>
            </w:pPr>
            <w:r>
              <w:rPr>
                <w:rFonts w:ascii="Arial" w:cs="Arial" w:eastAsia="Arial" w:hAnsi="Arial"/>
                <w:sz w:val="14"/>
                <w:szCs w:val="14"/>
                <w:b w:val="1"/>
                <w:bCs w:val="1"/>
                <w:color w:val="auto"/>
                <w:w w:val="97"/>
              </w:rPr>
              <w:t>Three Months Ended September 30,</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3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HWC</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R&amp;B</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r>
      <w:tr>
        <w:trPr>
          <w:trHeight w:val="169"/>
        </w:trPr>
        <w:tc>
          <w:tcPr>
            <w:tcW w:w="3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270"/>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1,282</w:t>
            </w: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1,162</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855</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765</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2,137</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1,927</w:t>
            </w:r>
          </w:p>
        </w:tc>
      </w:tr>
      <w:tr>
        <w:trPr>
          <w:trHeight w:val="229"/>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r>
      <w:tr>
        <w:trPr>
          <w:trHeight w:val="276"/>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305</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439</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-358775</wp:posOffset>
            </wp:positionV>
            <wp:extent cx="3296285"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96285" cy="17970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939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-24765</wp:posOffset>
            </wp:positionV>
            <wp:extent cx="93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-7620</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-24765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segment revenue and segment operating income for our reportable segments for the nine months ended September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3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HWC</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R&amp;B</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r>
      <w:tr>
        <w:trPr>
          <w:trHeight w:val="169"/>
        </w:trPr>
        <w:tc>
          <w:tcPr>
            <w:tcW w:w="3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270"/>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3,784</w:t>
            </w: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3,565</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2,659</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2,508</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6,443</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6,073</w:t>
            </w:r>
          </w:p>
        </w:tc>
      </w:tr>
      <w:tr>
        <w:trPr>
          <w:trHeight w:val="229"/>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r>
      <w:tr>
        <w:trPr>
          <w:trHeight w:val="276"/>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836</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710</w:t>
            </w:r>
          </w:p>
        </w:tc>
        <w:tc>
          <w:tcPr>
            <w:tcW w:w="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459</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465</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1,295</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1,175</w:t>
            </w:r>
          </w:p>
        </w:tc>
      </w:tr>
      <w:tr>
        <w:trPr>
          <w:trHeight w:val="594"/>
        </w:trPr>
        <w:tc>
          <w:tcPr>
            <w:tcW w:w="38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435"/>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101"/>
        </w:trPr>
        <w:tc>
          <w:tcPr>
            <w:tcW w:w="3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-821055</wp:posOffset>
            </wp:positionV>
            <wp:extent cx="329628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96285" cy="17970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-487680</wp:posOffset>
            </wp:positionV>
            <wp:extent cx="939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-470535</wp:posOffset>
            </wp:positionV>
            <wp:extent cx="939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-487680</wp:posOffset>
            </wp:positionV>
            <wp:extent cx="93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-470535</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-487680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-470535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-487680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-470535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-487680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-470535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The following table presents reconciliations of the information reported by segment to the Company’s condensed consolidated statements of comprehensive income amounts reported for the three and nine months ended September 30,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1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7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Total segment revenue</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2,137</w:t>
            </w:r>
          </w:p>
        </w:tc>
        <w:tc>
          <w:tcPr>
            <w:tcW w:w="8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1,927</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6,443</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6,073</w:t>
            </w: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Reimbursable expenses and other</w:t>
            </w:r>
          </w:p>
        </w:tc>
        <w:tc>
          <w:tcPr>
            <w:tcW w:w="7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Revenue</w:t>
            </w: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8"/>
              </w:rPr>
              <w:t>2,166</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1,953</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6,569</w:t>
            </w:r>
          </w:p>
        </w:tc>
        <w:tc>
          <w:tcPr>
            <w:tcW w:w="14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6,144</w:t>
            </w:r>
          </w:p>
        </w:tc>
      </w:tr>
      <w:tr>
        <w:trPr>
          <w:trHeight w:val="20"/>
        </w:trPr>
        <w:tc>
          <w:tcPr>
            <w:tcW w:w="5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9"/>
        </w:trPr>
        <w:tc>
          <w:tcPr>
            <w:tcW w:w="5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Total segment operating income</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8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1,295</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1,175</w:t>
            </w:r>
          </w:p>
        </w:tc>
      </w:tr>
      <w:tr>
        <w:trPr>
          <w:trHeight w:val="249"/>
        </w:trPr>
        <w:tc>
          <w:tcPr>
            <w:tcW w:w="580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Impairment </w:t>
            </w:r>
            <w:r>
              <w:rPr>
                <w:rFonts w:ascii="Arial" w:cs="Arial" w:eastAsia="Arial" w:hAnsi="Arial"/>
                <w:sz w:val="24"/>
                <w:szCs w:val="24"/>
                <w:color w:val="auto"/>
                <w:vertAlign w:val="superscript"/>
              </w:rPr>
              <w:t>(i)</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(81 )</w:t>
            </w: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(62 )</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(239 )</w:t>
            </w:r>
          </w:p>
        </w:tc>
      </w:tr>
      <w:tr>
        <w:trPr>
          <w:trHeight w:val="249"/>
        </w:trPr>
        <w:tc>
          <w:tcPr>
            <w:tcW w:w="580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4"/>
                <w:szCs w:val="24"/>
                <w:color w:val="auto"/>
                <w:vertAlign w:val="superscript"/>
              </w:rPr>
              <w:t>(ii)</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580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Transaction and transformation </w:t>
            </w:r>
            <w:r>
              <w:rPr>
                <w:rFonts w:ascii="Arial" w:cs="Arial" w:eastAsia="Arial" w:hAnsi="Arial"/>
                <w:sz w:val="24"/>
                <w:szCs w:val="24"/>
                <w:color w:val="auto"/>
                <w:vertAlign w:val="superscript"/>
              </w:rPr>
              <w:t>(iii)</w:t>
            </w:r>
          </w:p>
        </w:tc>
        <w:tc>
          <w:tcPr>
            <w:tcW w:w="7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(113 )</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5800" w:type="dxa"/>
            <w:vAlign w:val="bottom"/>
            <w:tcBorders>
              <w:bottom w:val="single" w:sz="8" w:color="CFF0FC"/>
            </w:tcBorders>
            <w:shd w:val="clear" w:color="auto" w:fill="CFF0FC"/>
          </w:tcPr>
          <w:p>
            <w:pPr>
              <w:ind w:left="200"/>
              <w:spacing w:after="0" w:line="243" w:lineRule="exact"/>
              <w:rPr>
                <w:sz w:val="20"/>
                <w:szCs w:val="20"/>
                <w:color w:val="auto"/>
              </w:rPr>
            </w:pPr>
            <w:r>
              <w:rPr>
                <w:rFonts w:ascii="Arial" w:cs="Arial" w:eastAsia="Arial" w:hAnsi="Arial"/>
                <w:sz w:val="18"/>
                <w:szCs w:val="18"/>
                <w:color w:val="auto"/>
              </w:rPr>
              <w:t xml:space="preserve">Unallocated, net </w:t>
            </w:r>
            <w:r>
              <w:rPr>
                <w:rFonts w:ascii="Arial" w:cs="Arial" w:eastAsia="Arial" w:hAnsi="Arial"/>
                <w:sz w:val="24"/>
                <w:szCs w:val="24"/>
                <w:color w:val="auto"/>
                <w:vertAlign w:val="superscript"/>
              </w:rPr>
              <w:t>(iv)</w:t>
            </w:r>
          </w:p>
        </w:tc>
        <w:tc>
          <w:tcPr>
            <w:tcW w:w="7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(88 )</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(211 )</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(206 )</w:t>
            </w:r>
          </w:p>
        </w:tc>
      </w:tr>
      <w:tr>
        <w:trPr>
          <w:trHeight w:val="230"/>
        </w:trPr>
        <w:tc>
          <w:tcPr>
            <w:tcW w:w="580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74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470</w:t>
            </w:r>
          </w:p>
        </w:tc>
      </w:tr>
      <w:tr>
        <w:trPr>
          <w:trHeight w:val="249"/>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(154 )</w:t>
            </w: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w:t>
            </w:r>
          </w:p>
        </w:tc>
      </w:tr>
      <w:tr>
        <w:trPr>
          <w:trHeight w:val="276"/>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164</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540</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-1925955</wp:posOffset>
            </wp:positionV>
            <wp:extent cx="939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-1925955</wp:posOffset>
            </wp:positionV>
            <wp:extent cx="85725"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-1925955</wp:posOffset>
            </wp:positionV>
            <wp:extent cx="85725"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-658495</wp:posOffset>
            </wp:positionV>
            <wp:extent cx="9398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-658495</wp:posOffset>
            </wp:positionV>
            <wp:extent cx="85725"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-658495</wp:posOffset>
            </wp:positionV>
            <wp:extent cx="85725"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-24765</wp:posOffset>
            </wp:positionV>
            <wp:extent cx="939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-7620</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the impairment related to the net assets of our Russian business that are held outside of our Russian entities (see Note 3 — Acquisitions and Divestitures for further information).</w:t>
      </w:r>
    </w:p>
    <w:p>
      <w:pPr>
        <w:spacing w:after="0" w:line="39" w:lineRule="exact"/>
        <w:rPr>
          <w:rFonts w:ascii="Arial" w:cs="Arial" w:eastAsia="Arial" w:hAnsi="Arial"/>
          <w:sz w:val="13"/>
          <w:szCs w:val="13"/>
          <w:color w:val="auto"/>
        </w:rPr>
      </w:pPr>
    </w:p>
    <w:p>
      <w:pPr>
        <w:ind w:left="280" w:hanging="272"/>
        <w:spacing w:after="0"/>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Note 6 — Restructuring Costs for the composition of costs for 2023 and 2022.</w:t>
      </w:r>
    </w:p>
    <w:p>
      <w:pPr>
        <w:spacing w:after="0" w:line="21" w:lineRule="exact"/>
        <w:rPr>
          <w:rFonts w:ascii="Arial" w:cs="Arial" w:eastAsia="Arial" w:hAnsi="Arial"/>
          <w:sz w:val="14"/>
          <w:szCs w:val="14"/>
          <w:color w:val="auto"/>
        </w:rPr>
      </w:pPr>
    </w:p>
    <w:p>
      <w:pPr>
        <w:ind w:left="280" w:right="440" w:hanging="272"/>
        <w:spacing w:after="0" w:line="242"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2023 and 2022, in addition to legal fees and other transaction costs, includes primarily consulting fees and compensation costs related to the Transformation program (see Note 6 — Restructuring Costs).</w:t>
      </w:r>
    </w:p>
    <w:p>
      <w:pPr>
        <w:spacing w:after="0" w:line="5" w:lineRule="exact"/>
        <w:rPr>
          <w:rFonts w:ascii="Arial" w:cs="Arial" w:eastAsia="Arial" w:hAnsi="Arial"/>
          <w:sz w:val="14"/>
          <w:szCs w:val="14"/>
          <w:color w:val="auto"/>
        </w:rPr>
      </w:pPr>
    </w:p>
    <w:p>
      <w:pPr>
        <w:ind w:left="280" w:right="100" w:hanging="272"/>
        <w:spacing w:after="0" w:line="252"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currently provide asset information by reportable segment as it does not routinely evaluate the total asset position by segment.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Restructuring Costs</w:t>
      </w:r>
    </w:p>
    <w:p>
      <w:pPr>
        <w:spacing w:after="0" w:line="22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the fourth quarter of 2021, the Company initiated a three-year ‘Transformation program’ designed to enhance operations, optimize technology and align its real estate footprint to its new ways of working. During the second quarter of 2023, we revised the expected costs and savings under the program and we now expect the program to generate annual cost savings in excess of $380 million by the end of 2024. The program is expected to incur cumulative costs of approximately $630 million and capital expenditures of approximately $270 million, for a total investment of $900 million. The main categories of charges will be in the following four areas:</w:t>
      </w:r>
    </w:p>
    <w:p>
      <w:pPr>
        <w:spacing w:after="0" w:line="83" w:lineRule="exact"/>
        <w:rPr>
          <w:sz w:val="20"/>
          <w:szCs w:val="20"/>
          <w:color w:val="auto"/>
        </w:rPr>
      </w:pPr>
    </w:p>
    <w:p>
      <w:pPr>
        <w:ind w:left="760" w:right="32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 estate rationalization — includes costs to align the real estate footprint to the new ways of working (hybrid work) and includes breakage fees and the impairment of right-of-use (‘ROU’) assets and other related leasehold assets.</w:t>
      </w:r>
    </w:p>
    <w:p>
      <w:pPr>
        <w:spacing w:after="0" w:line="61"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74" w:lineRule="exact"/>
        <w:rPr>
          <w:rFonts w:ascii="Arial" w:cs="Arial" w:eastAsia="Arial" w:hAnsi="Arial"/>
          <w:sz w:val="18"/>
          <w:szCs w:val="18"/>
          <w:color w:val="auto"/>
        </w:rPr>
      </w:pPr>
    </w:p>
    <w:p>
      <w:pPr>
        <w:ind w:left="760" w:right="20" w:hanging="378"/>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74"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 other costs not included above including fees for professional services, other contract terminations not related to the above categories and supplier migration costs.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Certain costs under the Transformation program are accounted for under ASC 420, </w:t>
      </w:r>
      <w:r>
        <w:rPr>
          <w:rFonts w:ascii="Arial" w:cs="Arial" w:eastAsia="Arial" w:hAnsi="Arial"/>
          <w:sz w:val="18"/>
          <w:szCs w:val="18"/>
          <w:i w:val="1"/>
          <w:iCs w:val="1"/>
          <w:color w:val="auto"/>
        </w:rPr>
        <w:t>Exit or Disposal Cost Obligation,</w:t>
      </w:r>
      <w:r>
        <w:rPr>
          <w:rFonts w:ascii="Arial" w:cs="Arial" w:eastAsia="Arial" w:hAnsi="Arial"/>
          <w:sz w:val="18"/>
          <w:szCs w:val="18"/>
          <w:color w:val="auto"/>
        </w:rPr>
        <w:t xml:space="preserve"> and are included as restructuring costs in the condensed consolidated statements of comprehensive income. Other costs incurred under the Transformation program are included in transaction and transformation and were $104 million and $231 million during the three and nine months ended September 30, 2023, respectively, and $42 million and $73 million during the three and nine months ended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440"/>
        <w:spacing w:after="0" w:line="277" w:lineRule="auto"/>
        <w:rPr>
          <w:sz w:val="20"/>
          <w:szCs w:val="20"/>
          <w:color w:val="auto"/>
        </w:rPr>
      </w:pPr>
      <w:r>
        <w:rPr>
          <w:rFonts w:ascii="Arial" w:cs="Arial" w:eastAsia="Arial" w:hAnsi="Arial"/>
          <w:sz w:val="18"/>
          <w:szCs w:val="18"/>
          <w:color w:val="auto"/>
        </w:rPr>
        <w:t>September 30, 2022, respectively. An analysis of total restructuring costs incurred under the Transformation program by category and by segment and corporate functions, from commencement to September 30, 2023,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HWC</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R&amp;B</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2021</w:t>
            </w: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Real estate rationalization</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38"/>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2023</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8"/>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r>
      <w:tr>
        <w:trPr>
          <w:trHeight w:val="276"/>
        </w:trPr>
        <w:tc>
          <w:tcPr>
            <w:tcW w:w="5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-24765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the liability associated with cash-based charges related to restructuring costs associated with the Transformation program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1"/>
              </w:rPr>
              <w:t>Real estate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Technology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w w:val="91"/>
              </w:rPr>
              <w:t>Process</w:t>
            </w:r>
          </w:p>
        </w:tc>
        <w:tc>
          <w:tcPr>
            <w:tcW w:w="10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rationalization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modernization</w:t>
            </w:r>
          </w:p>
        </w:tc>
        <w:tc>
          <w:tcPr>
            <w:tcW w:w="120" w:type="dxa"/>
            <w:vAlign w:val="bottom"/>
          </w:tcPr>
          <w:p>
            <w:pPr>
              <w:spacing w:after="0"/>
              <w:rPr>
                <w:sz w:val="16"/>
                <w:szCs w:val="16"/>
                <w:color w:val="auto"/>
              </w:rPr>
            </w:pPr>
          </w:p>
        </w:tc>
        <w:tc>
          <w:tcPr>
            <w:tcW w:w="10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optimization</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October 1, 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2"/>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-1129665</wp:posOffset>
            </wp:positionV>
            <wp:extent cx="76835"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-1129665</wp:posOffset>
            </wp:positionV>
            <wp:extent cx="7683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-1129665</wp:posOffset>
            </wp:positionV>
            <wp:extent cx="6858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-1129665</wp:posOffset>
            </wp:positionV>
            <wp:extent cx="6858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-187960</wp:posOffset>
            </wp:positionV>
            <wp:extent cx="7683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-187960</wp:posOffset>
            </wp:positionV>
            <wp:extent cx="7683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-187960</wp:posOffset>
            </wp:positionV>
            <wp:extent cx="6858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Provision for income taxes for the three and nine months ended September 30, 2023 was $25 million and $99 million, respectively, compared to $1 million and $63 million for the three and nine months ended September 30, 2022, respectively. The effective tax rates were 15.5% and 18.3% for the three and nine months ended September 30, 2023, respectively, and 0.7% and 12.1% for the three and nine months ended September 30, 2022, respectively. These effective tax rates are calculated using extended values from our condensed consolidated statements of comprehensive income and are therefore more precise tax rates than can be calculated from rounded values. The prior-year quarter effective tax rate was lower due to certain discrete tax benefits related to amending the Company’s U.S. federal and state tax returns in order to change certain elections available under the Coronavirus Aid, Relief, and Economic Security (‘CARES’) Act, and excess tax benefits on executive share-based compensation.</w:t>
      </w:r>
    </w:p>
    <w:p>
      <w:pPr>
        <w:spacing w:after="0" w:line="12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280"/>
        <w:spacing w:after="0" w:line="259" w:lineRule="auto"/>
        <w:rPr>
          <w:sz w:val="20"/>
          <w:szCs w:val="20"/>
          <w:color w:val="auto"/>
        </w:rPr>
      </w:pPr>
      <w:r>
        <w:rPr>
          <w:rFonts w:ascii="Arial" w:cs="Arial" w:eastAsia="Arial" w:hAnsi="Arial"/>
          <w:sz w:val="18"/>
          <w:szCs w:val="18"/>
          <w:color w:val="auto"/>
        </w:rPr>
        <w:t xml:space="preserve">The Company records valuation allowances against net deferred tax assets based on whether it is more likely than not that the deferred tax assets will be realized. We have liabilities for uncertain tax positions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$41 million, excluding interest and penalties. The Company believes the outcomes that are reasonably possible within the next 12 months may result in a reduction in the liability for uncertain tax positions of approximately $1 million to $2 million, excluding interest and penalties.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goodwill are outlined below for the nine months ended September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HWC</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R&amp;B</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9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Goodwill, gross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7,870</w:t>
            </w:r>
          </w:p>
        </w:tc>
        <w:tc>
          <w:tcPr>
            <w:tcW w:w="102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2,795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10,665</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impairment losses</w:t>
            </w:r>
          </w:p>
        </w:tc>
        <w:tc>
          <w:tcPr>
            <w:tcW w:w="9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Goodwill, net - December 31, 2022</w:t>
            </w:r>
          </w:p>
        </w:tc>
        <w:tc>
          <w:tcPr>
            <w:tcW w:w="90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7,740</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2,433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10,173</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disposals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4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2023:</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Goodwill, gross</w:t>
            </w:r>
          </w:p>
        </w:tc>
        <w:tc>
          <w:tcPr>
            <w:tcW w:w="90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7,849</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2,786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10,635</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impairment losses</w:t>
            </w:r>
          </w:p>
        </w:tc>
        <w:tc>
          <w:tcPr>
            <w:tcW w:w="9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Goodwill, net - September 30, 2023</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7,719</w:t>
            </w:r>
          </w:p>
        </w:tc>
        <w:tc>
          <w:tcPr>
            <w:tcW w:w="102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2,424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10,143</w:t>
            </w: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-1129665</wp:posOffset>
            </wp:positionV>
            <wp:extent cx="10287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-1129665</wp:posOffset>
            </wp:positionV>
            <wp:extent cx="10287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10287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10287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reflects changes in the net carrying amounts of the components of finite-lived intangible assets for the nine months ended September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Client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Software</w:t>
            </w:r>
          </w:p>
        </w:tc>
        <w:tc>
          <w:tcPr>
            <w:tcW w:w="2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Trademark and</w:t>
            </w:r>
          </w:p>
        </w:tc>
        <w:tc>
          <w:tcPr>
            <w:tcW w:w="3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89"/>
              </w:rPr>
              <w:t>relationships</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trade name</w:t>
            </w:r>
          </w:p>
        </w:tc>
        <w:tc>
          <w:tcPr>
            <w:tcW w:w="3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00"/>
              <w:spacing w:after="0"/>
              <w:rPr>
                <w:sz w:val="20"/>
                <w:szCs w:val="20"/>
                <w:color w:val="auto"/>
              </w:rPr>
            </w:pPr>
            <w:r>
              <w:rPr>
                <w:rFonts w:ascii="Arial" w:cs="Arial" w:eastAsia="Arial" w:hAnsi="Arial"/>
                <w:sz w:val="18"/>
                <w:szCs w:val="18"/>
                <w:color w:val="auto"/>
              </w:rPr>
              <w:t>Intangible assets, gross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3,760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1,038</w:t>
            </w:r>
          </w:p>
        </w:tc>
        <w:tc>
          <w:tcPr>
            <w:tcW w:w="104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(2,282 )</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(712 )</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(298 )</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(56 )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(3,348 )</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Intangible assets, net - December 31, 2022</w:t>
            </w:r>
          </w:p>
        </w:tc>
        <w:tc>
          <w:tcPr>
            <w:tcW w:w="1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1,478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740</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49"/>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acquired</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Intangible asset disposals</w:t>
            </w:r>
          </w:p>
        </w:tc>
        <w:tc>
          <w:tcPr>
            <w:tcW w:w="1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(13 )</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(156 )</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 gross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3,766</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720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1,037</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36"/>
        </w:trPr>
        <w:tc>
          <w:tcPr>
            <w:tcW w:w="4300" w:type="dxa"/>
            <w:vAlign w:val="bottom"/>
          </w:tcPr>
          <w:p>
            <w:pPr>
              <w:ind w:left="20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(2,437 )</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(716 )</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(329 )</w:t>
            </w:r>
          </w:p>
        </w:tc>
        <w:tc>
          <w:tcPr>
            <w:tcW w:w="3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(40 )</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(3,522 )</w:t>
            </w:r>
          </w:p>
        </w:tc>
        <w:tc>
          <w:tcPr>
            <w:tcW w:w="0" w:type="dxa"/>
            <w:vAlign w:val="bottom"/>
          </w:tcPr>
          <w:p>
            <w:pPr>
              <w:spacing w:after="0"/>
              <w:rPr>
                <w:sz w:val="1"/>
                <w:szCs w:val="1"/>
                <w:color w:val="auto"/>
              </w:rPr>
            </w:pPr>
          </w:p>
        </w:tc>
      </w:tr>
      <w:tr>
        <w:trPr>
          <w:trHeight w:val="276"/>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net - September 30, 2023</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1,329</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708</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-1283970</wp:posOffset>
            </wp:positionV>
            <wp:extent cx="19685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6850" cy="1625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-1283970</wp:posOffset>
            </wp:positionV>
            <wp:extent cx="188595"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-1283970</wp:posOffset>
            </wp:positionV>
            <wp:extent cx="188595"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-1283970</wp:posOffset>
            </wp:positionV>
            <wp:extent cx="188595"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-658495</wp:posOffset>
            </wp:positionV>
            <wp:extent cx="19685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6850" cy="1625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-658495</wp:posOffset>
            </wp:positionV>
            <wp:extent cx="188595"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-658495</wp:posOffset>
            </wp:positionV>
            <wp:extent cx="188595"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-658495</wp:posOffset>
            </wp:positionV>
            <wp:extent cx="188595"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-24765</wp:posOffset>
            </wp:positionV>
            <wp:extent cx="1968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-7620</wp:posOffset>
            </wp:positionV>
            <wp:extent cx="1968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1885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1885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1885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1885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188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1885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life of amortizable intangible assets at September 30, 2023 was 11.9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future estimated amortization expense for amortizable intangible assets for the remainder of 2023 and for subsequent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Amortization</w:t>
            </w:r>
          </w:p>
        </w:tc>
      </w:tr>
      <w:tr>
        <w:trPr>
          <w:trHeight w:val="23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w:t>
            </w: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229</w:t>
            </w: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209</w:t>
            </w: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200</w:t>
            </w: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196</w:t>
            </w: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1,170</w:t>
            </w: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2,064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policies for managing this risk as summarized below. Additional information regarding our derivative financial instruments can be found in Note 11 — Fair Value Measurements and Note 17 — Accumulated Other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derivatives were designated as hedging instruments and at September 30, 2023 and December 31, 2022 had total notional amounts of $106 million and $134 million, respectively, and had net fair value liabilities of $1 million and $3 million, respectively.</w:t>
      </w:r>
    </w:p>
    <w:p>
      <w:pPr>
        <w:spacing w:after="0" w:line="11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At September 30, 2023, the Company estimates, based on current exchange rates, there will be less than $1 million of net derivative losses on forward exchange rates reclassified from accumulated other comprehensive loss into earnings within the next twelve months as the forecast transactions affect earnings. At September 30, 2023, our longest outstanding maturity was 1.7 years.</w:t>
      </w:r>
    </w:p>
    <w:p>
      <w:pPr>
        <w:spacing w:after="0" w:line="1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effects of the material derivative instruments that are designated as hedging instruments on the condensed consolidated statements of comprehensive income for the three and nine months ended September 30, 2023 and 2022 are below. Amounts pertaining to the ineffective portion of hedging instruments and those excluded from effectiveness testing were immaterial for the three and nine months ended September 30, 2023 and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124"/>
              <w:spacing w:after="0"/>
              <w:rPr>
                <w:sz w:val="20"/>
                <w:szCs w:val="20"/>
                <w:color w:val="auto"/>
              </w:rPr>
            </w:pPr>
            <w:r>
              <w:rPr>
                <w:rFonts w:ascii="Arial" w:cs="Arial" w:eastAsia="Arial" w:hAnsi="Arial"/>
                <w:sz w:val="14"/>
                <w:szCs w:val="14"/>
                <w:b w:val="1"/>
                <w:bCs w:val="1"/>
                <w:color w:val="auto"/>
                <w:w w:val="93"/>
              </w:rPr>
              <w:t>(Loss)/gain recognized in OCI (effective element)</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Forward exchange contracts</w:t>
            </w:r>
          </w:p>
        </w:tc>
        <w:tc>
          <w:tcPr>
            <w:tcW w:w="880" w:type="dxa"/>
            <w:vAlign w:val="bottom"/>
            <w:tcBorders>
              <w:bottom w:val="single" w:sz="8" w:color="auto"/>
            </w:tcBorders>
            <w:shd w:val="clear" w:color="auto" w:fill="CFF0FC"/>
          </w:tcPr>
          <w:p>
            <w:pPr>
              <w:jc w:val="right"/>
              <w:ind w:right="704"/>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(6 )</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87"/>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 of (loss)/gain reclassified from Accumulated OCL into</w:t>
            </w:r>
          </w:p>
        </w:tc>
        <w:tc>
          <w:tcPr>
            <w:tcW w:w="880" w:type="dxa"/>
            <w:vAlign w:val="bottom"/>
          </w:tcPr>
          <w:p>
            <w:pPr>
              <w:spacing w:after="0"/>
              <w:rPr>
                <w:sz w:val="24"/>
                <w:szCs w:val="24"/>
                <w:color w:val="auto"/>
              </w:rPr>
            </w:pPr>
          </w:p>
        </w:tc>
        <w:tc>
          <w:tcPr>
            <w:tcW w:w="488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w w:val="92"/>
              </w:rPr>
              <w:t>(Loss)/gain reclassified from Accumulated OCL into income (effective element)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(effective element)</w:t>
            </w:r>
          </w:p>
        </w:tc>
        <w:tc>
          <w:tcPr>
            <w:tcW w:w="880" w:type="dxa"/>
            <w:vAlign w:val="bottom"/>
          </w:tcPr>
          <w:p>
            <w:pPr>
              <w:spacing w:after="0"/>
              <w:rPr>
                <w:sz w:val="16"/>
                <w:szCs w:val="16"/>
                <w:color w:val="auto"/>
              </w:rPr>
            </w:pPr>
          </w:p>
        </w:tc>
        <w:tc>
          <w:tcPr>
            <w:tcW w:w="4880" w:type="dxa"/>
            <w:vAlign w:val="bottom"/>
            <w:gridSpan w:val="9"/>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2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60" w:type="dxa"/>
            <w:vAlign w:val="bottom"/>
            <w:tcBorders>
              <w:top w:val="single" w:sz="8" w:color="auto"/>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920" w:type="dxa"/>
            <w:vAlign w:val="bottom"/>
            <w:tcBorders>
              <w:top w:val="single" w:sz="8" w:color="auto"/>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3"/>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63"/>
        </w:trPr>
        <w:tc>
          <w:tcPr>
            <w:tcW w:w="4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880" w:type="dxa"/>
            <w:vAlign w:val="bottom"/>
            <w:shd w:val="clear" w:color="auto" w:fill="CFF0FC"/>
          </w:tcPr>
          <w:p>
            <w:pPr>
              <w:jc w:val="right"/>
              <w:ind w:right="70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925"/>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7"/>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Salaries and benefits</w:t>
            </w:r>
          </w:p>
        </w:tc>
        <w:tc>
          <w:tcPr>
            <w:tcW w:w="8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2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00"/>
        </w:trPr>
        <w:tc>
          <w:tcPr>
            <w:tcW w:w="4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704"/>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2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-1223645</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-1223645</wp:posOffset>
            </wp:positionV>
            <wp:extent cx="1282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-1223645</wp:posOffset>
            </wp:positionV>
            <wp:extent cx="1282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-24765</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-7620</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1282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1282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1282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1282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September 30, 2023 and December 31, 2022, we had notional amounts of $911 million and $1.7 billion, respectively. At September 30, 2023 and December 31, 2022, we had a net fair value liability of $1 million and a net fair value asset of $24 million, respectively. Such derivatives typically mature within three months.</w:t>
      </w:r>
    </w:p>
    <w:p>
      <w:pPr>
        <w:spacing w:after="0" w:line="13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effects of derivatives that have not been designated as hedging instruments on the condensed consolidated statements of comprehensive income for the three and nine months ended September 30, 2023 and 2022 are as follows (see Note 16 — Other Income, Net for the net foreign currency impact on the Company’s condensed consolidated statements of comprehensive income which includes the results of the offset of underlying exposures):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226"/>
              <w:spacing w:after="0"/>
              <w:rPr>
                <w:sz w:val="20"/>
                <w:szCs w:val="20"/>
                <w:color w:val="auto"/>
              </w:rPr>
            </w:pPr>
            <w:r>
              <w:rPr>
                <w:rFonts w:ascii="Arial" w:cs="Arial" w:eastAsia="Arial" w:hAnsi="Arial"/>
                <w:sz w:val="14"/>
                <w:szCs w:val="14"/>
                <w:b w:val="1"/>
                <w:bCs w:val="1"/>
                <w:color w:val="auto"/>
                <w:w w:val="94"/>
              </w:rPr>
              <w:t>(Loss)/gain recognized in income</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gridSpan w:val="4"/>
          </w:tcPr>
          <w:p>
            <w:pPr>
              <w:jc w:val="center"/>
              <w:ind w:left="225"/>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4"/>
          </w:tcPr>
          <w:p>
            <w:pPr>
              <w:jc w:val="center"/>
              <w:ind w:right="304"/>
              <w:spacing w:after="0" w:line="133"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60" w:type="dxa"/>
            <w:vAlign w:val="bottom"/>
          </w:tcPr>
          <w:p>
            <w:pPr>
              <w:spacing w:after="0"/>
              <w:rPr>
                <w:sz w:val="11"/>
                <w:szCs w:val="11"/>
                <w:color w:val="auto"/>
              </w:rPr>
            </w:pPr>
          </w:p>
        </w:tc>
        <w:tc>
          <w:tcPr>
            <w:tcW w:w="23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9"/>
              </w:rPr>
              <w:t>Location of (loss)/gain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40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recognized in income</w:t>
            </w:r>
          </w:p>
        </w:tc>
        <w:tc>
          <w:tcPr>
            <w:tcW w:w="16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Forward exchange contracts</w:t>
            </w:r>
          </w:p>
        </w:tc>
        <w:tc>
          <w:tcPr>
            <w:tcW w:w="16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2"/>
              </w:rPr>
              <w:t>Other income, net</w:t>
            </w:r>
          </w:p>
        </w:tc>
        <w:tc>
          <w:tcPr>
            <w:tcW w:w="700" w:type="dxa"/>
            <w:vAlign w:val="bottom"/>
            <w:shd w:val="clear" w:color="auto" w:fill="CFF0FC"/>
          </w:tcPr>
          <w:p>
            <w:pPr>
              <w:jc w:val="right"/>
              <w:ind w:right="525"/>
              <w:spacing w:after="0"/>
              <w:rPr>
                <w:sz w:val="20"/>
                <w:szCs w:val="20"/>
                <w:color w:val="auto"/>
              </w:rPr>
            </w:pPr>
            <w:r>
              <w:rPr>
                <w:rFonts w:ascii="Arial" w:cs="Arial" w:eastAsia="Arial" w:hAnsi="Arial"/>
                <w:sz w:val="16"/>
                <w:szCs w:val="16"/>
                <w:color w:val="auto"/>
                <w:w w:val="89"/>
              </w:rPr>
              <w:t>$</w:t>
            </w:r>
          </w:p>
        </w:tc>
        <w:tc>
          <w:tcPr>
            <w:tcW w:w="1320" w:type="dxa"/>
            <w:vAlign w:val="bottom"/>
            <w:gridSpan w:val="3"/>
            <w:shd w:val="clear" w:color="auto" w:fill="CFF0FC"/>
          </w:tcPr>
          <w:p>
            <w:pPr>
              <w:jc w:val="right"/>
              <w:ind w:right="528"/>
              <w:spacing w:after="0"/>
              <w:rPr>
                <w:sz w:val="20"/>
                <w:szCs w:val="20"/>
                <w:color w:val="auto"/>
              </w:rPr>
            </w:pPr>
            <w:r>
              <w:rPr>
                <w:rFonts w:ascii="Arial" w:cs="Arial" w:eastAsia="Arial" w:hAnsi="Arial"/>
                <w:sz w:val="16"/>
                <w:szCs w:val="16"/>
                <w:color w:val="auto"/>
              </w:rPr>
              <w:t>(13 )   $</w:t>
            </w:r>
          </w:p>
        </w:tc>
        <w:tc>
          <w:tcPr>
            <w:tcW w:w="8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(182 )   $</w:t>
            </w: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3</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-24765</wp:posOffset>
            </wp:positionV>
            <wp:extent cx="939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939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-24765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-7620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Current debt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94"/>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2022</w:t>
            </w: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4.625% senior notes due 2023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250</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3.600% senior notes due 2024</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76"/>
        </w:trPr>
        <w:tc>
          <w:tcPr>
            <w:tcW w:w="77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649</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250</w:t>
            </w:r>
          </w:p>
        </w:tc>
      </w:tr>
      <w:tr>
        <w:trPr>
          <w:trHeight w:val="351"/>
        </w:trPr>
        <w:tc>
          <w:tcPr>
            <w:tcW w:w="772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87"/>
        </w:trPr>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94"/>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2022</w:t>
            </w: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$1.5 billion credit facility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3.600% senior notes due 2024</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649</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4.400% senior notes due 2026</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547</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4.650% senior notes due 2027</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744</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4.500% senior notes due 2028</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597</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2.950% senior notes due 2029</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726</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5.350% senior notes due 2033</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6.125% senior notes due 2043</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271</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5.050% senior notes due 2048</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395</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3.875% senior notes due 2049</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542</w:t>
            </w:r>
          </w:p>
        </w:tc>
      </w:tr>
      <w:tr>
        <w:trPr>
          <w:trHeight w:val="276"/>
        </w:trPr>
        <w:tc>
          <w:tcPr>
            <w:tcW w:w="77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4,565</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4,471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-2294255</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-2277110</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17, 2023, the Company, together with its wholly-owned subsidiary, Willis North America Inc. as issuer, completed an offering of $750 million aggregate principal amount of 5.350% senior notes due 2033 (‘2033 senior notes’). The effective interest rate of the 2033 senior notes is 5.47%, which includes the impact of the discount upon issuance. The 2033 senior notes will mature on May 15, 2033. Interest on the 2033 senior notes accrues from May 17, 2023 and will be paid in cash on May 15 and November 15 of each year, commencing on November 15, 2023. The net proceeds from this offering, after deducting the underwriting discount and offering expenses, were $741 million, of which $256 million was used to fully repay the $250 million aggregate principal amount and related accrued interest of the 4.625% senior notes at maturity during the third quarter of 2023. The Company will use the remaining net proceeds for general corporate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 June 29, 2023, Trinity Acquisition plc amended its revolving credit facility to replace the use of London Interbank Offered Rate (‘LIBOR’) with the Secured Overnight Financing Rate (‘SOFR’) in connection with its base-rate borrowings. This amendment was done in connection with the cessation of LIBOR and all other terms remain the same.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we were in compliance with all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62"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refers to fair values determined based on quoted market prices in active markets for identical assets;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 refers to fair values estimated using observable market-based inputs or unobservable inputs that are corroborated by market data; and</w:t>
      </w:r>
    </w:p>
    <w:p>
      <w:pPr>
        <w:spacing w:after="0" w:line="139"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4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Mutual funds and exchange-traded funds are classified as Level 1 because we use quoted market prices in active markets in determining the fair value of these securities.</w:t>
      </w:r>
    </w:p>
    <w:p>
      <w:pPr>
        <w:spacing w:after="0" w:line="61" w:lineRule="exact"/>
        <w:rPr>
          <w:rFonts w:ascii="Arial" w:cs="Arial" w:eastAsia="Arial" w:hAnsi="Arial"/>
          <w:sz w:val="18"/>
          <w:szCs w:val="18"/>
          <w:color w:val="auto"/>
        </w:rPr>
      </w:pPr>
    </w:p>
    <w:p>
      <w:pPr>
        <w:ind w:left="760" w:right="58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760" w:right="260" w:hanging="378"/>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74" w:lineRule="exact"/>
        <w:rPr>
          <w:rFonts w:ascii="Arial" w:cs="Arial" w:eastAsia="Arial" w:hAnsi="Arial"/>
          <w:sz w:val="18"/>
          <w:szCs w:val="18"/>
          <w:color w:val="auto"/>
        </w:rPr>
      </w:pPr>
    </w:p>
    <w:p>
      <w:pPr>
        <w:ind w:left="760" w:right="20" w:hanging="378"/>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values for our derivative instruments have been used to determine the fair values of forward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74" w:lineRule="exact"/>
        <w:rPr>
          <w:rFonts w:ascii="Arial" w:cs="Arial" w:eastAsia="Arial" w:hAnsi="Arial"/>
          <w:sz w:val="18"/>
          <w:szCs w:val="18"/>
          <w:color w:val="auto"/>
        </w:rPr>
      </w:pPr>
    </w:p>
    <w:p>
      <w:pPr>
        <w:ind w:left="760" w:hanging="378"/>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our assets and liabilities measured at fair value on a recurring basis at September 30, 2023 and December 31, 2022:</w:t>
      </w:r>
    </w:p>
    <w:p>
      <w:pPr>
        <w:spacing w:after="0" w:line="184" w:lineRule="exact"/>
        <w:rPr>
          <w:sz w:val="20"/>
          <w:szCs w:val="20"/>
          <w:color w:val="auto"/>
        </w:rPr>
      </w:pPr>
    </w:p>
    <w:p>
      <w:pPr>
        <w:jc w:val="center"/>
        <w:ind w:left="6980"/>
        <w:spacing w:after="0"/>
        <w:rPr>
          <w:sz w:val="20"/>
          <w:szCs w:val="20"/>
          <w:color w:val="auto"/>
        </w:rPr>
      </w:pPr>
      <w:r>
        <w:rPr>
          <w:rFonts w:ascii="Arial" w:cs="Arial" w:eastAsia="Arial" w:hAnsi="Arial"/>
          <w:sz w:val="13"/>
          <w:szCs w:val="13"/>
          <w:b w:val="1"/>
          <w:bCs w:val="1"/>
          <w:color w:val="auto"/>
        </w:rPr>
        <w:t>Fair Value Measurements on a Recurring Basis at</w:t>
      </w:r>
    </w:p>
    <w:p>
      <w:pPr>
        <w:spacing w:after="0" w:line="13" w:lineRule="exact"/>
        <w:rPr>
          <w:sz w:val="20"/>
          <w:szCs w:val="20"/>
          <w:color w:val="auto"/>
        </w:rPr>
      </w:pPr>
    </w:p>
    <w:p>
      <w:pPr>
        <w:jc w:val="center"/>
        <w:ind w:left="6980"/>
        <w:spacing w:after="0"/>
        <w:rPr>
          <w:sz w:val="20"/>
          <w:szCs w:val="20"/>
          <w:color w:val="auto"/>
        </w:rPr>
      </w:pPr>
      <w:r>
        <w:rPr>
          <w:rFonts w:ascii="Arial" w:cs="Arial" w:eastAsia="Arial" w:hAnsi="Arial"/>
          <w:sz w:val="13"/>
          <w:szCs w:val="13"/>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6985</wp:posOffset>
            </wp:positionV>
            <wp:extent cx="26289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28900" cy="8255"/>
                    </a:xfrm>
                    <a:prstGeom prst="rect">
                      <a:avLst/>
                    </a:prstGeom>
                    <a:noFill/>
                  </pic:spPr>
                </pic:pic>
              </a:graphicData>
            </a:graphic>
          </wp:anchor>
        </w:drawing>
      </w:r>
    </w:p>
    <w:p>
      <w:pPr>
        <w:spacing w:after="0" w:line="5" w:lineRule="exact"/>
        <w:rPr>
          <w:sz w:val="20"/>
          <w:szCs w:val="20"/>
          <w:color w:val="auto"/>
        </w:rPr>
      </w:pPr>
    </w:p>
    <w:p>
      <w:pPr>
        <w:ind w:left="4580"/>
        <w:spacing w:after="0"/>
        <w:tabs>
          <w:tab w:leader="none" w:pos="7300" w:val="left"/>
          <w:tab w:leader="none" w:pos="8360" w:val="left"/>
          <w:tab w:leader="none" w:pos="9420" w:val="left"/>
          <w:tab w:leader="none" w:pos="10540" w:val="left"/>
        </w:tabs>
        <w:rPr>
          <w:sz w:val="20"/>
          <w:szCs w:val="20"/>
          <w:color w:val="auto"/>
        </w:rPr>
      </w:pPr>
      <w:r>
        <w:rPr>
          <w:rFonts w:ascii="Arial" w:cs="Arial" w:eastAsia="Arial" w:hAnsi="Arial"/>
          <w:sz w:val="13"/>
          <w:szCs w:val="13"/>
          <w:b w:val="1"/>
          <w:bCs w:val="1"/>
          <w:color w:val="auto"/>
        </w:rPr>
        <w:t>Balance Sheet Location</w:t>
      </w:r>
      <w:r>
        <w:rPr>
          <w:sz w:val="20"/>
          <w:szCs w:val="20"/>
          <w:color w:val="auto"/>
        </w:rPr>
        <w:tab/>
      </w: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3"/>
          <w:szCs w:val="13"/>
          <w:b w:val="1"/>
          <w:bCs w:val="1"/>
          <w:color w:val="auto"/>
        </w:rPr>
        <w:t>Level 3</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15875</wp:posOffset>
            </wp:positionV>
            <wp:extent cx="48806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80610" cy="825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Available-for-sale securities: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Mutual funds / exchange-traded funds </w:t>
      </w:r>
      <w:r>
        <w:rPr>
          <w:rFonts w:ascii="Arial" w:cs="Arial" w:eastAsia="Arial" w:hAnsi="Arial"/>
          <w:sz w:val="18"/>
          <w:szCs w:val="18"/>
          <w:color w:val="auto"/>
          <w:vertAlign w:val="superscript"/>
        </w:rPr>
        <w:t>(i)</w:t>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Commingled funds </w:t>
      </w:r>
      <w:r>
        <w:rPr>
          <w:rFonts w:ascii="Arial" w:cs="Arial" w:eastAsia="Arial" w:hAnsi="Arial"/>
          <w:sz w:val="21"/>
          <w:szCs w:val="21"/>
          <w:color w:val="auto"/>
          <w:vertAlign w:val="superscript"/>
        </w:rPr>
        <w:t>(i) (ii)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Hedge funds </w:t>
      </w:r>
      <w:r>
        <w:rPr>
          <w:rFonts w:ascii="Arial" w:cs="Arial" w:eastAsia="Arial" w:hAnsi="Arial"/>
          <w:sz w:val="21"/>
          <w:szCs w:val="21"/>
          <w:color w:val="auto"/>
          <w:vertAlign w:val="superscript"/>
        </w:rPr>
        <w:t>(i) (iii)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Derivatives: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(iv)</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Contingent consideration: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(v) (vi)</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Derivatives:</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-496570</wp:posOffset>
            </wp:positionV>
            <wp:extent cx="7132320"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-205740</wp:posOffset>
            </wp:positionV>
            <wp:extent cx="7132320" cy="205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Fiduciary assets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-98425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55245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4"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-5080</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-90805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-90805</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3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3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66"/>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728"/>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80"/>
              <w:spacing w:after="0"/>
              <w:rPr>
                <w:sz w:val="20"/>
                <w:szCs w:val="20"/>
                <w:color w:val="auto"/>
              </w:rPr>
            </w:pPr>
            <w:r>
              <w:rPr>
                <w:rFonts w:ascii="Arial" w:cs="Arial" w:eastAsia="Arial" w:hAnsi="Arial"/>
                <w:sz w:val="18"/>
                <w:szCs w:val="18"/>
                <w:color w:val="auto"/>
              </w:rPr>
              <w:t>40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85"/>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ectPr>
          <w:pgSz w:w="11900" w:h="16838" w:orient="portrait"/>
          <w:cols w:equalWidth="0" w:num="3">
            <w:col w:w="2840" w:space="720"/>
            <w:col w:w="3200" w:space="360"/>
            <w:col w:w="4060"/>
          </w:cols>
          <w:pgMar w:left="320" w:top="449" w:right="399" w:bottom="1440" w:gutter="0" w:footer="0" w:header="0"/>
          <w:type w:val="continuous"/>
        </w:sectPr>
      </w:pP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type w:val="continuous"/>
        </w:sectPr>
      </w:pPr>
    </w:p>
    <w:bookmarkStart w:id="23" w:name="page24"/>
    <w:bookmarkEnd w:id="23"/>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Available-for-sale securities:</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Mutual funds / exchange-traded funds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Derivatives:</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(iv)</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15875</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-205740</wp:posOffset>
            </wp:positionV>
            <wp:extent cx="713232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Fiduciary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50800</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8"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-5080</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3"/>
          <w:szCs w:val="13"/>
          <w:b w:val="1"/>
          <w:bCs w:val="1"/>
          <w:color w:val="auto"/>
        </w:rPr>
        <w:t>Fair Value Measurements on a Recurring Basis at</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26289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2890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99"/>
              </w:rPr>
              <w:t>Level 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Total</w:t>
            </w:r>
          </w:p>
        </w:tc>
      </w:tr>
      <w:tr>
        <w:trPr>
          <w:trHeight w:val="762"/>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7</w:t>
            </w:r>
          </w:p>
        </w:tc>
      </w:tr>
      <w:tr>
        <w:trPr>
          <w:trHeight w:val="243"/>
        </w:trPr>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142</w:t>
            </w:r>
          </w:p>
        </w:tc>
      </w:tr>
      <w:tr>
        <w:trPr>
          <w:trHeight w:val="56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26</w:t>
            </w:r>
          </w:p>
        </w:tc>
      </w:tr>
    </w:tbl>
    <w:p>
      <w:pPr>
        <w:spacing w:after="0" w:line="260" w:lineRule="exact"/>
        <w:rPr>
          <w:sz w:val="20"/>
          <w:szCs w:val="20"/>
          <w:color w:val="auto"/>
        </w:rPr>
      </w:pPr>
    </w:p>
    <w:p>
      <w:pPr>
        <w:sectPr>
          <w:pgSz w:w="11900" w:h="16838" w:orient="portrait"/>
          <w:cols w:equalWidth="0" w:num="3">
            <w:col w:w="2840" w:space="720"/>
            <w:col w:w="3120" w:space="420"/>
            <w:col w:w="4140"/>
          </w:cols>
          <w:pgMar w:left="320" w:top="572" w:right="339" w:bottom="1440" w:gutter="0" w:footer="0" w:header="0"/>
        </w:sectPr>
      </w:pPr>
    </w:p>
    <w:p>
      <w:pPr>
        <w:ind w:left="20"/>
        <w:spacing w:after="0"/>
        <w:rPr>
          <w:sz w:val="20"/>
          <w:szCs w:val="20"/>
          <w:color w:val="auto"/>
        </w:rPr>
      </w:pPr>
      <w:r>
        <w:rPr>
          <w:rFonts w:ascii="Arial" w:cs="Arial" w:eastAsia="Arial" w:hAnsi="Arial"/>
          <w:sz w:val="16"/>
          <w:szCs w:val="16"/>
          <w:i w:val="1"/>
          <w:iCs w:val="1"/>
          <w:color w:val="auto"/>
        </w:rPr>
        <w:t>Contingent consideration: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(v) (vi)</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Derivatives:</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Derivative financial instruments </w:t>
      </w:r>
      <w:r>
        <w:rPr>
          <w:rFonts w:ascii="Arial" w:cs="Arial" w:eastAsia="Arial" w:hAnsi="Arial"/>
          <w:sz w:val="18"/>
          <w:szCs w:val="18"/>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9505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3380" w:type="dxa"/>
            <w:vAlign w:val="bottom"/>
          </w:tcPr>
          <w:p>
            <w:pPr>
              <w:spacing w:after="0"/>
              <w:rPr>
                <w:sz w:val="20"/>
                <w:szCs w:val="20"/>
                <w:color w:val="auto"/>
              </w:rPr>
            </w:pPr>
            <w:r>
              <w:rPr>
                <w:rFonts w:ascii="Arial" w:cs="Arial" w:eastAsia="Arial" w:hAnsi="Arial"/>
                <w:sz w:val="14"/>
                <w:szCs w:val="14"/>
                <w:color w:val="auto"/>
              </w:rPr>
              <w:t>Other current liabilities and other non-current liabilities</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85"/>
        </w:trPr>
        <w:tc>
          <w:tcPr>
            <w:tcW w:w="3380" w:type="dxa"/>
            <w:vAlign w:val="bottom"/>
          </w:tcPr>
          <w:p>
            <w:pPr>
              <w:spacing w:after="0"/>
              <w:rPr>
                <w:sz w:val="20"/>
                <w:szCs w:val="20"/>
                <w:color w:val="auto"/>
              </w:rPr>
            </w:pPr>
            <w:r>
              <w:rPr>
                <w:rFonts w:ascii="Arial" w:cs="Arial" w:eastAsia="Arial" w:hAnsi="Arial"/>
                <w:sz w:val="14"/>
                <w:szCs w:val="14"/>
                <w:color w:val="auto"/>
              </w:rPr>
              <w:t>Other current liabilities and other non-current liabilities</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-453390</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-144780</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572" w:right="339" w:bottom="1440" w:gutter="0" w:footer="0" w:header="0"/>
          <w:type w:val="continuous"/>
        </w:sectPr>
      </w:pPr>
    </w:p>
    <w:p>
      <w:pPr>
        <w:spacing w:after="0" w:line="10" w:lineRule="exact"/>
        <w:rPr>
          <w:sz w:val="20"/>
          <w:szCs w:val="20"/>
          <w:color w:val="auto"/>
        </w:rPr>
      </w:pPr>
    </w:p>
    <w:p>
      <w:pPr>
        <w:ind w:left="280" w:right="220" w:hanging="272"/>
        <w:spacing w:after="0" w:line="251" w:lineRule="auto"/>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the Towers Watson Global Equity Focus Fund, for which redemptions can occur on any business day, and require a minimum of one business day’s notice.</w:t>
      </w:r>
    </w:p>
    <w:p>
      <w:pPr>
        <w:spacing w:after="0" w:line="21" w:lineRule="exact"/>
        <w:rPr>
          <w:rFonts w:ascii="Arial" w:cs="Arial" w:eastAsia="Arial" w:hAnsi="Arial"/>
          <w:sz w:val="14"/>
          <w:szCs w:val="14"/>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the Towers Watson Alternative Credit Fund, for which the redemption period is generally quarterly, however requires a 50-day notice.</w:t>
      </w:r>
    </w:p>
    <w:p>
      <w:pPr>
        <w:spacing w:after="0" w:line="21" w:lineRule="exact"/>
        <w:rPr>
          <w:rFonts w:ascii="Arial" w:cs="Arial" w:eastAsia="Arial" w:hAnsi="Arial"/>
          <w:sz w:val="14"/>
          <w:szCs w:val="14"/>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9 — Derivative Financial Instruments for further information on our derivative investments.</w:t>
      </w:r>
    </w:p>
    <w:p>
      <w:pPr>
        <w:spacing w:after="0" w:line="27" w:lineRule="exact"/>
        <w:rPr>
          <w:rFonts w:ascii="Arial" w:cs="Arial" w:eastAsia="Arial" w:hAnsi="Arial"/>
          <w:sz w:val="14"/>
          <w:szCs w:val="14"/>
          <w:color w:val="auto"/>
        </w:rPr>
      </w:pPr>
    </w:p>
    <w:p>
      <w:pPr>
        <w:ind w:left="280" w:right="40" w:hanging="272"/>
        <w:spacing w:after="0" w:line="244" w:lineRule="auto"/>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10.05% and 10.26% at September 30, 2023 and December 31, 2022, respectively. The range of these discount rates was 3.53% - 13.80% at September 30, 2023. Using different probability weightings and discount rates could result in an increase or decrease of the contingent consideration payable.</w:t>
      </w:r>
    </w:p>
    <w:p>
      <w:pPr>
        <w:spacing w:after="0" w:line="1" w:lineRule="exact"/>
        <w:rPr>
          <w:rFonts w:ascii="Arial" w:cs="Arial" w:eastAsia="Arial" w:hAnsi="Arial"/>
          <w:sz w:val="13"/>
          <w:szCs w:val="13"/>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Consideration due to be paid across multiple years until 2027.</w:t>
      </w:r>
    </w:p>
    <w:p>
      <w:pPr>
        <w:sectPr>
          <w:pgSz w:w="11900" w:h="16838" w:orient="portrait"/>
          <w:cols w:equalWidth="0" w:num="1">
            <w:col w:w="11240"/>
          </w:cols>
          <w:pgMar w:left="320" w:top="572" w:right="3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fair value of the Level 3 liabilities: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Measurements Using Significant Unobservable Inputs (Level 3)</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Obligations assumed</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 xml:space="preserve">Realized and unrealized losses </w:t>
      </w:r>
      <w:r>
        <w:rPr>
          <w:rFonts w:ascii="Arial" w:cs="Arial" w:eastAsia="Arial" w:hAnsi="Arial"/>
          <w:sz w:val="24"/>
          <w:szCs w:val="24"/>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62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Foreign exchange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505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29210</wp:posOffset>
            </wp:positionV>
            <wp:extent cx="12674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38"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(2 )</w:t>
      </w:r>
    </w:p>
    <w:p>
      <w:pPr>
        <w:spacing w:after="0" w:line="5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(1 )</w:t>
      </w:r>
    </w:p>
    <w:p>
      <w:pPr>
        <w:spacing w:after="0" w:line="72"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12674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40640</wp:posOffset>
            </wp:positionV>
            <wp:extent cx="12674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540" w:space="720"/>
            <w:col w:w="1980"/>
          </w:cols>
          <w:pgMar w:left="320" w:top="572" w:right="339" w:bottom="1440" w:gutter="0" w:footer="0" w:header="0"/>
          <w:type w:val="continuous"/>
        </w:sectPr>
      </w:pPr>
    </w:p>
    <w:p>
      <w:pPr>
        <w:spacing w:after="0" w:line="34" w:lineRule="exact"/>
        <w:rPr>
          <w:sz w:val="20"/>
          <w:szCs w:val="20"/>
          <w:color w:val="auto"/>
        </w:rPr>
      </w:pPr>
    </w:p>
    <w:p>
      <w:pPr>
        <w:ind w:left="280" w:right="740" w:hanging="272"/>
        <w:spacing w:after="0" w:line="252" w:lineRule="auto"/>
        <w:tabs>
          <w:tab w:leader="none" w:pos="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transfers to or from Level 3 in the nine months ended September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liabilities not measured at fair value on a recurring basis at September 30, 2023 and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2022</w:t>
            </w:r>
          </w:p>
        </w:tc>
      </w:tr>
      <w:tr>
        <w:trPr>
          <w:trHeight w:val="169"/>
        </w:trPr>
        <w:tc>
          <w:tcPr>
            <w:tcW w:w="580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Long-term note receivable</w:t>
            </w: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70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62</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68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63</w:t>
            </w: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Current debt</w:t>
            </w: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649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640</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250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248</w:t>
            </w:r>
          </w:p>
        </w:tc>
      </w:tr>
      <w:tr>
        <w:trPr>
          <w:trHeight w:val="249"/>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4,565</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4,066</w:t>
            </w:r>
          </w:p>
        </w:tc>
        <w:tc>
          <w:tcPr>
            <w:tcW w:w="5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4,471</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4,069</w:t>
            </w:r>
          </w:p>
        </w:tc>
      </w:tr>
    </w:tbl>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12 — Retirement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 We have removed prior-period disclosures pertaining to our post-retirement welfare plans as the Company considers such disclosure to no longer be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Benefit (Income)/Cost for Defined Benefit Pension Plans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set forth the components of net periodic benefit (income)/cost for the Company’s defined benefit pension plans for the three and nine months ended September 30, 2023 and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9"/>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U.K.</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U.K.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Other</w:t>
            </w:r>
          </w:p>
        </w:tc>
      </w:tr>
      <w:tr>
        <w:trPr>
          <w:trHeight w:val="223"/>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26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3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w:t>
            </w:r>
          </w:p>
        </w:tc>
        <w:tc>
          <w:tcPr>
            <w:tcW w:w="320" w:type="dxa"/>
            <w:vAlign w:val="bottom"/>
            <w:gridSpan w:val="4"/>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w:t>
            </w:r>
          </w:p>
        </w:tc>
        <w:tc>
          <w:tcPr>
            <w:tcW w:w="300" w:type="dxa"/>
            <w:vAlign w:val="bottom"/>
            <w:gridSpan w:val="4"/>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w:t>
            </w: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(76 )</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(41 )</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(83 )</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(34 )</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(10 )</w:t>
            </w: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loss</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r>
      <w:tr>
        <w:trPr>
          <w:trHeight w:val="26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periodic benefit (income)/cost</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gridSpan w:val="2"/>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Borders>
              <w:bottom w:val="single" w:sz="8" w:color="CFF0FC"/>
            </w:tcBorders>
            <w:gridSpan w:val="2"/>
            <w:shd w:val="clear" w:color="auto" w:fill="CFF0FC"/>
          </w:tcPr>
          <w:p>
            <w:pPr>
              <w:spacing w:after="0"/>
              <w:rPr>
                <w:sz w:val="22"/>
                <w:szCs w:val="22"/>
                <w:color w:val="auto"/>
              </w:rPr>
            </w:pPr>
          </w:p>
        </w:tc>
        <w:tc>
          <w:tcPr>
            <w:tcW w:w="200" w:type="dxa"/>
            <w:vAlign w:val="bottom"/>
            <w:tcBorders>
              <w:bottom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FF0FC"/>
            </w:tcBorders>
            <w:gridSpan w:val="2"/>
            <w:shd w:val="clear" w:color="auto" w:fill="CFF0FC"/>
          </w:tcPr>
          <w:p>
            <w:pPr>
              <w:spacing w:after="0"/>
              <w:rPr>
                <w:sz w:val="22"/>
                <w:szCs w:val="22"/>
                <w:color w:val="auto"/>
              </w:rPr>
            </w:pPr>
          </w:p>
        </w:tc>
        <w:tc>
          <w:tcPr>
            <w:tcW w:w="200" w:type="dxa"/>
            <w:vAlign w:val="bottom"/>
            <w:tcBorders>
              <w:bottom w:val="single" w:sz="8" w:color="auto"/>
            </w:tcBorders>
            <w:gridSpan w:val="2"/>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r>
      <w:tr>
        <w:trPr>
          <w:trHeight w:val="311"/>
        </w:trPr>
        <w:tc>
          <w:tcPr>
            <w:tcW w:w="4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2"/>
              </w:rPr>
              <w:t>Nine Months Ended September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9"/>
        </w:trPr>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9"/>
        </w:trPr>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U.K.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U.S.</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U.K.</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Other</w:t>
            </w:r>
          </w:p>
        </w:tc>
      </w:tr>
      <w:tr>
        <w:trPr>
          <w:trHeight w:val="223"/>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2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8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w:t>
            </w:r>
          </w:p>
        </w:tc>
        <w:tc>
          <w:tcPr>
            <w:tcW w:w="34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w:t>
            </w:r>
          </w:p>
        </w:tc>
        <w:tc>
          <w:tcPr>
            <w:tcW w:w="3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58</w:t>
            </w:r>
          </w:p>
        </w:tc>
        <w:tc>
          <w:tcPr>
            <w:tcW w:w="320" w:type="dxa"/>
            <w:vAlign w:val="bottom"/>
            <w:gridSpan w:val="4"/>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9</w:t>
            </w:r>
          </w:p>
        </w:tc>
        <w:tc>
          <w:tcPr>
            <w:tcW w:w="3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w:t>
            </w: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w:t>
            </w: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(228 )</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(121 )</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(110 )</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(29 )</w:t>
            </w: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loss</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36</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22</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r>
      <w:tr>
        <w:trPr>
          <w:trHeight w:val="26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periodic benefit (income)/cost</w:t>
            </w:r>
          </w:p>
        </w:tc>
        <w:tc>
          <w:tcPr>
            <w:tcW w:w="260" w:type="dxa"/>
            <w:vAlign w:val="bottom"/>
            <w:tcBorders>
              <w:bottom w:val="single" w:sz="8" w:color="auto"/>
            </w:tcBorders>
            <w:gridSpan w:val="2"/>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(30 )</w:t>
            </w:r>
          </w:p>
        </w:tc>
        <w:tc>
          <w:tcPr>
            <w:tcW w:w="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gridSpan w:val="2"/>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gridSpan w:val="2"/>
            <w:shd w:val="clear" w:color="auto" w:fill="CFF0FC"/>
          </w:tcPr>
          <w:p>
            <w:pPr>
              <w:spacing w:after="0"/>
              <w:rPr>
                <w:sz w:val="22"/>
                <w:szCs w:val="22"/>
                <w:color w:val="auto"/>
              </w:rPr>
            </w:pPr>
          </w:p>
        </w:tc>
        <w:tc>
          <w:tcPr>
            <w:tcW w:w="22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(88 )</w:t>
            </w:r>
          </w:p>
        </w:tc>
        <w:tc>
          <w:tcPr>
            <w:tcW w:w="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gridSpan w:val="2"/>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gridSpan w:val="2"/>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-1532255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-1515110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-1532255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-1515110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-1532255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-1515110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-1532255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-1515110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-1532255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-1515110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-24765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-7620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-24765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 to Defined Benefit Pension Plans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did not make any contributions to its U.S. plans during the nine months ended September 30, 2023 and currently does not anticipate making contributions over the remainder of the fiscal year. The Company made contributions of $10 million to its U.K. plans for the nine months ended September 30, 2023 and currently does not anticipate making contributions over the remainder of the fiscal year. The Company made contributions of $21 million to its other plans for the nine months ended September 30, 2023 and anticipates making additional contributions of $2 million for the remainder of the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color w:val="auto"/>
        </w:rPr>
        <w:t>The Company made contributions to its defined contribution plans of $40 million and $121 million during the three and nine months ended September 30, 2023, respectively, and $34 million and $114 million during the three and nine months ended September 30, 2022,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 Leases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lease costs recorded on our condensed consolidated statements of comprehensive income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55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9"/>
                <w:szCs w:val="19"/>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3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9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r>
      <w:tr>
        <w:trPr>
          <w:trHeight w:val="236"/>
        </w:trPr>
        <w:tc>
          <w:tcPr>
            <w:tcW w:w="5500" w:type="dxa"/>
            <w:vAlign w:val="bottom"/>
          </w:tcPr>
          <w:p>
            <w:pPr>
              <w:ind w:left="120"/>
              <w:spacing w:after="0"/>
              <w:rPr>
                <w:sz w:val="20"/>
                <w:szCs w:val="20"/>
                <w:color w:val="auto"/>
              </w:rPr>
            </w:pPr>
            <w:r>
              <w:rPr>
                <w:rFonts w:ascii="Arial" w:cs="Arial" w:eastAsia="Arial" w:hAnsi="Arial"/>
                <w:sz w:val="18"/>
                <w:szCs w:val="18"/>
                <w:color w:val="auto"/>
              </w:rPr>
              <w:t>Amortization of right-of-use assets</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49"/>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on lease liabilities</w:t>
            </w: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92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130</w:t>
            </w: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2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w:t>
            </w:r>
          </w:p>
        </w:tc>
      </w:tr>
      <w:tr>
        <w:trPr>
          <w:trHeight w:val="24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Sublease income</w:t>
            </w:r>
          </w:p>
        </w:tc>
        <w:tc>
          <w:tcPr>
            <w:tcW w:w="9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36"/>
        </w:trPr>
        <w:tc>
          <w:tcPr>
            <w:tcW w:w="5500" w:type="dxa"/>
            <w:vAlign w:val="bottom"/>
          </w:tcPr>
          <w:p>
            <w:pPr>
              <w:ind w:left="120"/>
              <w:spacing w:after="0"/>
              <w:rPr>
                <w:sz w:val="20"/>
                <w:szCs w:val="20"/>
                <w:color w:val="auto"/>
              </w:rPr>
            </w:pPr>
            <w:r>
              <w:rPr>
                <w:rFonts w:ascii="Arial" w:cs="Arial" w:eastAsia="Arial" w:hAnsi="Arial"/>
                <w:sz w:val="18"/>
                <w:szCs w:val="18"/>
                <w:color w:val="auto"/>
              </w:rPr>
              <w:t>Total lease cost, net</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11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46</w:t>
            </w:r>
          </w:p>
        </w:tc>
        <w:tc>
          <w:tcPr>
            <w:tcW w:w="9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168</w:t>
            </w:r>
          </w:p>
        </w:tc>
      </w:tr>
      <w:tr>
        <w:trPr>
          <w:trHeight w:val="20"/>
        </w:trPr>
        <w:tc>
          <w:tcPr>
            <w:tcW w:w="5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-187960</wp:posOffset>
            </wp:positionV>
            <wp:extent cx="85725"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76835"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-187960</wp:posOffset>
            </wp:positionV>
            <wp:extent cx="76835"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$15 million and $23 million incurred during the three and nine months ended September 30, 2023, respectively, and $2 million and $33 million incurred during the three and nine months ended September 30, 2022, respectively, that were included in restructuring costs (see Note 6 </w:t>
      </w:r>
      <w:r>
        <w:rPr>
          <w:rFonts w:ascii="Arial" w:cs="Arial" w:eastAsia="Arial" w:hAnsi="Arial"/>
          <w:sz w:val="16"/>
          <w:szCs w:val="16"/>
          <w:b w:val="1"/>
          <w:bCs w:val="1"/>
          <w:color w:val="auto"/>
        </w:rPr>
        <w:t>—</w:t>
      </w:r>
      <w:r>
        <w:rPr>
          <w:rFonts w:ascii="Arial" w:cs="Arial" w:eastAsia="Arial" w:hAnsi="Arial"/>
          <w:sz w:val="16"/>
          <w:szCs w:val="16"/>
          <w:color w:val="auto"/>
        </w:rPr>
        <w:t xml:space="preserve"> Restructuring Costs) that primarily related to the acceleration of amortization of certain abandoned ROU assets and the payment of early termination fees. There are no significant lease costs that have been included as discontinued operations in the condensed consolidated statements of comprehensive income during the three and nine months ended September 30,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Arial" w:cs="Arial" w:eastAsia="Arial" w:hAnsi="Arial"/>
          <w:sz w:val="13"/>
          <w:szCs w:val="13"/>
          <w:color w:val="auto"/>
        </w:rPr>
        <w:t>—</w:t>
      </w:r>
      <w:r>
        <w:rPr>
          <w:rFonts w:ascii="Arial" w:cs="Arial" w:eastAsia="Arial" w:hAnsi="Arial"/>
          <w:sz w:val="17"/>
          <w:szCs w:val="17"/>
          <w:color w:val="auto"/>
        </w:rPr>
        <w:t xml:space="preserve"> Supplementary Information for Certain Balance Sheet Accounts for the amounts accrued at September 30, 2023 and December 31, 2022 in the condensed consolidated balance sheets.</w:t>
      </w:r>
    </w:p>
    <w:p>
      <w:pPr>
        <w:spacing w:after="0" w:line="12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Company provides for contingent liabilities based 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when it is determined that a liability, inclusive of defense costs, is probable and reasonably estimable. The contingent liabilities recorded are primarily developed actuarially. Litigation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color w:val="auto"/>
        </w:rPr>
        <w:t>is subject to many factors which are difficult to predict so there can be no assurance that in the event of a material unfavorable result in one or more claims, we will not incur material costs.</w:t>
      </w:r>
    </w:p>
    <w:p>
      <w:pPr>
        <w:spacing w:after="0" w:line="327" w:lineRule="exact"/>
        <w:rPr>
          <w:sz w:val="20"/>
          <w:szCs w:val="20"/>
          <w:color w:val="auto"/>
        </w:rPr>
      </w:pPr>
    </w:p>
    <w:p>
      <w:pPr>
        <w:ind w:right="5440"/>
        <w:spacing w:after="0" w:line="453" w:lineRule="auto"/>
        <w:rPr>
          <w:sz w:val="20"/>
          <w:szCs w:val="20"/>
          <w:color w:val="auto"/>
        </w:rPr>
      </w:pPr>
      <w:r>
        <w:rPr>
          <w:rFonts w:ascii="Arial" w:cs="Arial" w:eastAsia="Arial" w:hAnsi="Arial"/>
          <w:sz w:val="18"/>
          <w:szCs w:val="18"/>
          <w:b w:val="1"/>
          <w:bCs w:val="1"/>
          <w:color w:val="auto"/>
        </w:rPr>
        <w:t xml:space="preserve">Note 15 — Supplementary Information for Certain Balance Sheet Accounts </w:t>
      </w:r>
      <w:r>
        <w:rPr>
          <w:rFonts w:ascii="Arial" w:cs="Arial" w:eastAsia="Arial" w:hAnsi="Arial"/>
          <w:sz w:val="18"/>
          <w:szCs w:val="18"/>
          <w:color w:val="auto"/>
        </w:rPr>
        <w:t>Additional details of specific balance sheet accounts are detailed below. Prepaid and other current assets consist of the following:</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60" w:type="dxa"/>
            <w:vAlign w:val="bottom"/>
          </w:tcPr>
          <w:p>
            <w:pPr>
              <w:jc w:val="center"/>
              <w:ind w:left="217"/>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25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4260" w:type="dxa"/>
            <w:vAlign w:val="bottom"/>
            <w:gridSpan w:val="2"/>
          </w:tcPr>
          <w:p>
            <w:pPr>
              <w:jc w:val="center"/>
              <w:ind w:left="3260"/>
              <w:spacing w:after="0"/>
              <w:rPr>
                <w:sz w:val="20"/>
                <w:szCs w:val="20"/>
                <w:color w:val="auto"/>
              </w:rPr>
            </w:pPr>
            <w:r>
              <w:rPr>
                <w:rFonts w:ascii="Arial" w:cs="Arial" w:eastAsia="Arial" w:hAnsi="Arial"/>
                <w:sz w:val="14"/>
                <w:szCs w:val="14"/>
                <w:b w:val="1"/>
                <w:bCs w:val="1"/>
                <w:color w:val="auto"/>
                <w:w w:val="89"/>
              </w:rPr>
              <w:t>2023</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Prepayments and accrued income</w:t>
            </w:r>
          </w:p>
        </w:tc>
        <w:tc>
          <w:tcPr>
            <w:tcW w:w="300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ind w:right="10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135</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Deferred contract costs</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Derivatives and investments</w:t>
            </w:r>
          </w:p>
        </w:tc>
        <w:tc>
          <w:tcPr>
            <w:tcW w:w="30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income and other taxes</w:t>
            </w:r>
          </w:p>
        </w:tc>
        <w:tc>
          <w:tcPr>
            <w:tcW w:w="30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202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Acquired renewal commissions receivable</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30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Total prepaid and other current assets</w:t>
            </w:r>
          </w:p>
        </w:tc>
        <w:tc>
          <w:tcPr>
            <w:tcW w:w="4260" w:type="dxa"/>
            <w:vAlign w:val="bottom"/>
            <w:gridSpan w:val="2"/>
          </w:tcPr>
          <w:p>
            <w:pPr>
              <w:jc w:val="right"/>
              <w:ind w:right="1077"/>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469</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3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20" w:type="dxa"/>
            <w:vAlign w:val="bottom"/>
            <w:vMerge w:val="continue"/>
          </w:tcPr>
          <w:p>
            <w:pPr>
              <w:spacing w:after="0"/>
              <w:rPr>
                <w:sz w:val="24"/>
                <w:szCs w:val="24"/>
                <w:color w:val="auto"/>
              </w:rPr>
            </w:pPr>
          </w:p>
        </w:tc>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60" w:type="dxa"/>
            <w:vAlign w:val="bottom"/>
          </w:tcPr>
          <w:p>
            <w:pPr>
              <w:jc w:val="center"/>
              <w:ind w:left="217"/>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4260" w:type="dxa"/>
            <w:vAlign w:val="bottom"/>
            <w:gridSpan w:val="2"/>
          </w:tcPr>
          <w:p>
            <w:pPr>
              <w:jc w:val="center"/>
              <w:ind w:left="3260"/>
              <w:spacing w:after="0"/>
              <w:rPr>
                <w:sz w:val="20"/>
                <w:szCs w:val="20"/>
                <w:color w:val="auto"/>
              </w:rPr>
            </w:pPr>
            <w:r>
              <w:rPr>
                <w:rFonts w:ascii="Arial" w:cs="Arial" w:eastAsia="Arial" w:hAnsi="Arial"/>
                <w:sz w:val="14"/>
                <w:szCs w:val="14"/>
                <w:b w:val="1"/>
                <w:bCs w:val="1"/>
                <w:color w:val="auto"/>
                <w:w w:val="89"/>
              </w:rPr>
              <w:t>2023</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payable</w:t>
            </w:r>
          </w:p>
        </w:tc>
        <w:tc>
          <w:tcPr>
            <w:tcW w:w="300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ind w:right="10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104</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payable</w:t>
            </w:r>
          </w:p>
        </w:tc>
        <w:tc>
          <w:tcPr>
            <w:tcW w:w="30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Deferred compensation plan liabilities</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and deferred consideration on acquisitions</w:t>
            </w:r>
          </w:p>
        </w:tc>
        <w:tc>
          <w:tcPr>
            <w:tcW w:w="30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Accrued retirement benefits</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other benefits-related liabilities</w:t>
            </w:r>
          </w:p>
        </w:tc>
        <w:tc>
          <w:tcPr>
            <w:tcW w:w="30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235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Third-party commissions</w:t>
            </w:r>
          </w:p>
        </w:tc>
        <w:tc>
          <w:tcPr>
            <w:tcW w:w="30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00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current liabilities</w:t>
            </w:r>
          </w:p>
        </w:tc>
        <w:tc>
          <w:tcPr>
            <w:tcW w:w="30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7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630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12"/>
        </w:trPr>
        <w:tc>
          <w:tcPr>
            <w:tcW w:w="4720" w:type="dxa"/>
            <w:vAlign w:val="bottom"/>
          </w:tcPr>
          <w:p>
            <w:pPr>
              <w:spacing w:after="0"/>
              <w:rPr>
                <w:sz w:val="20"/>
                <w:szCs w:val="20"/>
                <w:color w:val="auto"/>
              </w:rPr>
            </w:pPr>
            <w:r>
              <w:rPr>
                <w:rFonts w:ascii="Arial" w:cs="Arial" w:eastAsia="Arial" w:hAnsi="Arial"/>
                <w:sz w:val="18"/>
                <w:szCs w:val="18"/>
                <w:color w:val="auto"/>
              </w:rPr>
              <w:t>Provision for liabilities consists of the following:</w:t>
            </w:r>
          </w:p>
        </w:tc>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60" w:type="dxa"/>
            <w:vAlign w:val="bottom"/>
          </w:tcPr>
          <w:p>
            <w:pPr>
              <w:jc w:val="center"/>
              <w:ind w:left="217"/>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4260" w:type="dxa"/>
            <w:vAlign w:val="bottom"/>
            <w:gridSpan w:val="2"/>
          </w:tcPr>
          <w:p>
            <w:pPr>
              <w:jc w:val="center"/>
              <w:ind w:left="3260"/>
              <w:spacing w:after="0"/>
              <w:rPr>
                <w:sz w:val="20"/>
                <w:szCs w:val="20"/>
                <w:color w:val="auto"/>
              </w:rPr>
            </w:pPr>
            <w:r>
              <w:rPr>
                <w:rFonts w:ascii="Arial" w:cs="Arial" w:eastAsia="Arial" w:hAnsi="Arial"/>
                <w:sz w:val="14"/>
                <w:szCs w:val="14"/>
                <w:b w:val="1"/>
                <w:bCs w:val="1"/>
                <w:color w:val="auto"/>
                <w:w w:val="89"/>
              </w:rPr>
              <w:t>2023</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Claims, lawsuits and other proceedings</w:t>
            </w:r>
          </w:p>
        </w:tc>
        <w:tc>
          <w:tcPr>
            <w:tcW w:w="300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ind w:right="10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302</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Other provisions</w:t>
            </w:r>
          </w:p>
        </w:tc>
        <w:tc>
          <w:tcPr>
            <w:tcW w:w="30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provision for liabilities</w:t>
            </w:r>
          </w:p>
        </w:tc>
        <w:tc>
          <w:tcPr>
            <w:tcW w:w="30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7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360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351"/>
        </w:trPr>
        <w:tc>
          <w:tcPr>
            <w:tcW w:w="472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w:t>
            </w:r>
          </w:p>
        </w:tc>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60" w:type="dxa"/>
            <w:vAlign w:val="bottom"/>
          </w:tcPr>
          <w:p>
            <w:pPr>
              <w:jc w:val="center"/>
              <w:ind w:left="217"/>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4260" w:type="dxa"/>
            <w:vAlign w:val="bottom"/>
            <w:gridSpan w:val="2"/>
          </w:tcPr>
          <w:p>
            <w:pPr>
              <w:jc w:val="center"/>
              <w:ind w:left="3260"/>
              <w:spacing w:after="0"/>
              <w:rPr>
                <w:sz w:val="20"/>
                <w:szCs w:val="20"/>
                <w:color w:val="auto"/>
              </w:rPr>
            </w:pPr>
            <w:r>
              <w:rPr>
                <w:rFonts w:ascii="Arial" w:cs="Arial" w:eastAsia="Arial" w:hAnsi="Arial"/>
                <w:sz w:val="14"/>
                <w:szCs w:val="14"/>
                <w:b w:val="1"/>
                <w:bCs w:val="1"/>
                <w:color w:val="auto"/>
                <w:w w:val="89"/>
              </w:rPr>
              <w:t>2023</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compensation plan liability</w:t>
            </w:r>
          </w:p>
        </w:tc>
        <w:tc>
          <w:tcPr>
            <w:tcW w:w="300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ind w:right="10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Contingent and deferred consideration on acquisitions</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for uncertain tax positions</w:t>
            </w:r>
          </w:p>
        </w:tc>
        <w:tc>
          <w:tcPr>
            <w:tcW w:w="30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0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Total other non-current liabilities</w:t>
            </w:r>
          </w:p>
        </w:tc>
        <w:tc>
          <w:tcPr>
            <w:tcW w:w="4260" w:type="dxa"/>
            <w:vAlign w:val="bottom"/>
            <w:gridSpan w:val="2"/>
          </w:tcPr>
          <w:p>
            <w:pPr>
              <w:jc w:val="right"/>
              <w:ind w:right="1077"/>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200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00" w:type="dxa"/>
            <w:vAlign w:val="bottom"/>
            <w:vMerge w:val="restart"/>
          </w:tcPr>
          <w:p>
            <w:pPr>
              <w:jc w:val="right"/>
              <w:ind w:right="1920"/>
              <w:spacing w:after="0"/>
              <w:rPr>
                <w:sz w:val="20"/>
                <w:szCs w:val="20"/>
                <w:color w:val="auto"/>
              </w:rPr>
            </w:pPr>
            <w:r>
              <w:rPr>
                <w:rFonts w:ascii="Arial" w:cs="Arial" w:eastAsia="Arial" w:hAnsi="Arial"/>
                <w:sz w:val="18"/>
                <w:szCs w:val="18"/>
                <w:color w:val="auto"/>
              </w:rPr>
              <w:t>27</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7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-5599430</wp:posOffset>
            </wp:positionV>
            <wp:extent cx="12001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-3115945</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-3098800</wp:posOffset>
            </wp:positionV>
            <wp:extent cx="1200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-2037080</wp:posOffset>
            </wp:positionV>
            <wp:extent cx="1200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-2019935</wp:posOffset>
            </wp:positionV>
            <wp:extent cx="1200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-658495</wp:posOffset>
            </wp:positionV>
            <wp:extent cx="120015"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16 — 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9"/>
                <w:szCs w:val="19"/>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6"/>
        </w:trPr>
        <w:tc>
          <w:tcPr>
            <w:tcW w:w="584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Gain/(loss) on disposal of operations </w:t>
            </w:r>
            <w:r>
              <w:rPr>
                <w:rFonts w:ascii="Arial" w:cs="Arial" w:eastAsia="Arial" w:hAnsi="Arial"/>
                <w:sz w:val="24"/>
                <w:szCs w:val="24"/>
                <w:color w:val="auto"/>
                <w:vertAlign w:val="superscript"/>
              </w:rPr>
              <w:t>(i)</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Net periodic pension and postretirement benefit credits</w:t>
            </w:r>
          </w:p>
        </w:tc>
        <w:tc>
          <w:tcPr>
            <w:tcW w:w="780" w:type="dxa"/>
            <w:vAlign w:val="bottom"/>
          </w:tcPr>
          <w:p>
            <w:pPr>
              <w:spacing w:after="0"/>
              <w:rPr>
                <w:sz w:val="20"/>
                <w:szCs w:val="20"/>
                <w:color w:val="auto"/>
              </w:rPr>
            </w:pPr>
          </w:p>
        </w:tc>
        <w:tc>
          <w:tcPr>
            <w:tcW w:w="50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204</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 earnings of associates and other investments</w:t>
            </w: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r>
      <w:tr>
        <w:trPr>
          <w:trHeight w:val="243"/>
        </w:trPr>
        <w:tc>
          <w:tcPr>
            <w:tcW w:w="58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Foreign exchange (loss)/gain </w:t>
            </w:r>
            <w:r>
              <w:rPr>
                <w:rFonts w:ascii="Arial" w:cs="Arial" w:eastAsia="Arial" w:hAnsi="Arial"/>
                <w:sz w:val="24"/>
                <w:szCs w:val="24"/>
                <w:color w:val="auto"/>
                <w:vertAlign w:val="superscript"/>
              </w:rPr>
              <w:t>(ii)</w:t>
            </w:r>
          </w:p>
        </w:tc>
        <w:tc>
          <w:tcPr>
            <w:tcW w:w="7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3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53"/>
              <w:spacing w:after="0"/>
              <w:rPr>
                <w:sz w:val="20"/>
                <w:szCs w:val="20"/>
                <w:color w:val="auto"/>
              </w:rPr>
            </w:pPr>
            <w:r>
              <w:rPr>
                <w:rFonts w:ascii="Arial" w:cs="Arial" w:eastAsia="Arial" w:hAnsi="Arial"/>
                <w:sz w:val="18"/>
                <w:szCs w:val="18"/>
                <w:color w:val="auto"/>
              </w:rPr>
              <w:t>66</w:t>
            </w:r>
          </w:p>
        </w:tc>
        <w:tc>
          <w:tcPr>
            <w:tcW w:w="9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126</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205</w:t>
            </w:r>
          </w:p>
        </w:tc>
      </w:tr>
      <w:tr>
        <w:trPr>
          <w:trHeight w:val="20"/>
        </w:trPr>
        <w:tc>
          <w:tcPr>
            <w:tcW w:w="5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-187960</wp:posOffset>
            </wp:positionV>
            <wp:extent cx="85725"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nine months ended September 30, 2022, includes a $24 million non-cash revaluation gain related to an acquisition completed in stages.</w:t>
      </w:r>
    </w:p>
    <w:p>
      <w:pPr>
        <w:spacing w:after="0" w:line="27" w:lineRule="exact"/>
        <w:rPr>
          <w:rFonts w:ascii="Arial" w:cs="Arial" w:eastAsia="Arial" w:hAnsi="Arial"/>
          <w:sz w:val="14"/>
          <w:szCs w:val="14"/>
          <w:color w:val="auto"/>
        </w:rPr>
      </w:pPr>
    </w:p>
    <w:p>
      <w:pPr>
        <w:ind w:left="280" w:hanging="272"/>
        <w:spacing w:after="0"/>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offsetting effects of the Company's foreign currency hedging program. See Note 9 — Derivative Financial Instruments.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Accumulated Other Comprehensive Loss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Changes in accumulated other comprehensive loss, net of non-controlling interests, and net of tax are provided in the following tables for the three and nine months ended September 30, 2023 and 2022. This table excludes amounts attributable to non-controlling interests, which are not material for further disclosure.</w:t>
      </w:r>
    </w:p>
    <w:p>
      <w:pPr>
        <w:spacing w:after="0" w:line="108" w:lineRule="exact"/>
        <w:rPr>
          <w:sz w:val="20"/>
          <w:szCs w:val="20"/>
          <w:color w:val="auto"/>
        </w:rPr>
      </w:pPr>
    </w:p>
    <w:tbl>
      <w:tblPr>
        <w:tblLayout w:type="fixed"/>
        <w:tblInd w:w="3900" w:type="dxa"/>
        <w:tblCellMar>
          <w:top w:w="0" w:type="dxa"/>
          <w:left w:w="0" w:type="dxa"/>
          <w:bottom w:w="0" w:type="dxa"/>
          <w:right w:w="0" w:type="dxa"/>
        </w:tblCellMar>
      </w:tblPr>
      <w:tr>
        <w:trPr>
          <w:trHeight w:val="161"/>
        </w:trPr>
        <w:tc>
          <w:tcPr>
            <w:tcW w:w="1820" w:type="dxa"/>
            <w:vAlign w:val="bottom"/>
            <w:gridSpan w:val="3"/>
            <w:vMerge w:val="restart"/>
          </w:tcPr>
          <w:p>
            <w:pPr>
              <w:jc w:val="center"/>
              <w:ind w:right="48"/>
              <w:spacing w:after="0"/>
              <w:rPr>
                <w:sz w:val="20"/>
                <w:szCs w:val="20"/>
                <w:color w:val="auto"/>
              </w:rPr>
            </w:pPr>
            <w:r>
              <w:rPr>
                <w:rFonts w:ascii="Arial" w:cs="Arial" w:eastAsia="Arial" w:hAnsi="Arial"/>
                <w:sz w:val="14"/>
                <w:szCs w:val="14"/>
                <w:b w:val="1"/>
                <w:bCs w:val="1"/>
                <w:color w:val="2C2C2C"/>
                <w:w w:val="92"/>
              </w:rPr>
              <w:t>Foreign currency</w:t>
            </w:r>
          </w:p>
        </w:tc>
        <w:tc>
          <w:tcPr>
            <w:tcW w:w="120" w:type="dxa"/>
            <w:vAlign w:val="bottom"/>
          </w:tcPr>
          <w:p>
            <w:pPr>
              <w:spacing w:after="0"/>
              <w:rPr>
                <w:sz w:val="14"/>
                <w:szCs w:val="14"/>
                <w:color w:val="auto"/>
              </w:rPr>
            </w:pPr>
          </w:p>
        </w:tc>
        <w:tc>
          <w:tcPr>
            <w:tcW w:w="1120" w:type="dxa"/>
            <w:vAlign w:val="bottom"/>
            <w:gridSpan w:val="3"/>
            <w:vMerge w:val="restart"/>
          </w:tcPr>
          <w:p>
            <w:pPr>
              <w:jc w:val="center"/>
              <w:ind w:left="368"/>
              <w:spacing w:after="0"/>
              <w:rPr>
                <w:sz w:val="20"/>
                <w:szCs w:val="20"/>
                <w:color w:val="auto"/>
              </w:rPr>
            </w:pPr>
            <w:r>
              <w:rPr>
                <w:rFonts w:ascii="Arial" w:cs="Arial" w:eastAsia="Arial" w:hAnsi="Arial"/>
                <w:sz w:val="14"/>
                <w:szCs w:val="14"/>
                <w:b w:val="1"/>
                <w:bCs w:val="1"/>
                <w:color w:val="2C2C2C"/>
                <w:w w:val="95"/>
              </w:rPr>
              <w:t>Derivative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2C2C2C"/>
                <w:w w:val="91"/>
              </w:rPr>
              <w:t>Defined pension and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jc w:val="center"/>
              <w:ind w:right="28"/>
              <w:spacing w:after="0" w:line="144" w:lineRule="exact"/>
              <w:rPr>
                <w:sz w:val="20"/>
                <w:szCs w:val="20"/>
                <w:color w:val="auto"/>
              </w:rPr>
            </w:pPr>
            <w:r>
              <w:rPr>
                <w:rFonts w:ascii="Arial" w:cs="Arial" w:eastAsia="Arial" w:hAnsi="Arial"/>
                <w:sz w:val="14"/>
                <w:szCs w:val="14"/>
                <w:b w:val="1"/>
                <w:bCs w:val="1"/>
                <w:color w:val="2C2C2C"/>
                <w:w w:val="93"/>
              </w:rPr>
              <w:t>post-retirement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vMerge w:val="restart"/>
          </w:tcPr>
          <w:p>
            <w:pPr>
              <w:jc w:val="right"/>
              <w:ind w:right="688"/>
              <w:spacing w:after="0"/>
              <w:rPr>
                <w:sz w:val="20"/>
                <w:szCs w:val="20"/>
                <w:color w:val="auto"/>
              </w:rPr>
            </w:pPr>
            <w:r>
              <w:rPr>
                <w:rFonts w:ascii="Arial" w:cs="Arial" w:eastAsia="Arial" w:hAnsi="Arial"/>
                <w:sz w:val="14"/>
                <w:szCs w:val="14"/>
                <w:b w:val="1"/>
                <w:bCs w:val="1"/>
                <w:color w:val="2C2C2C"/>
              </w:rPr>
              <w:t>Total</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auto"/>
            </w:tcBorders>
            <w:gridSpan w:val="3"/>
          </w:tcPr>
          <w:p>
            <w:pPr>
              <w:jc w:val="center"/>
              <w:ind w:right="68"/>
              <w:spacing w:after="0" w:line="189" w:lineRule="exact"/>
              <w:rPr>
                <w:sz w:val="20"/>
                <w:szCs w:val="20"/>
                <w:color w:val="auto"/>
              </w:rPr>
            </w:pPr>
            <w:r>
              <w:rPr>
                <w:rFonts w:ascii="Arial" w:cs="Arial" w:eastAsia="Arial" w:hAnsi="Arial"/>
                <w:sz w:val="14"/>
                <w:szCs w:val="14"/>
                <w:b w:val="1"/>
                <w:bCs w:val="1"/>
                <w:color w:val="2C2C2C"/>
                <w:w w:val="91"/>
              </w:rPr>
              <w:t xml:space="preserve">translation </w:t>
            </w:r>
            <w:r>
              <w:rPr>
                <w:rFonts w:ascii="Arial" w:cs="Arial" w:eastAsia="Arial" w:hAnsi="Arial"/>
                <w:sz w:val="19"/>
                <w:szCs w:val="19"/>
                <w:b w:val="1"/>
                <w:bCs w:val="1"/>
                <w:color w:val="2C2C2C"/>
                <w:w w:val="91"/>
                <w:vertAlign w:val="superscript"/>
              </w:rPr>
              <w:t>(i)</w:t>
            </w:r>
          </w:p>
        </w:tc>
        <w:tc>
          <w:tcPr>
            <w:tcW w:w="120" w:type="dxa"/>
            <w:vAlign w:val="bottom"/>
          </w:tcPr>
          <w:p>
            <w:pPr>
              <w:spacing w:after="0"/>
              <w:rPr>
                <w:sz w:val="16"/>
                <w:szCs w:val="16"/>
                <w:color w:val="auto"/>
              </w:rPr>
            </w:pPr>
          </w:p>
        </w:tc>
        <w:tc>
          <w:tcPr>
            <w:tcW w:w="1720" w:type="dxa"/>
            <w:vAlign w:val="bottom"/>
            <w:tcBorders>
              <w:bottom w:val="single" w:sz="8" w:color="auto"/>
            </w:tcBorders>
            <w:gridSpan w:val="4"/>
          </w:tcPr>
          <w:p>
            <w:pPr>
              <w:jc w:val="center"/>
              <w:ind w:right="48"/>
              <w:spacing w:after="0" w:line="189" w:lineRule="exact"/>
              <w:rPr>
                <w:sz w:val="20"/>
                <w:szCs w:val="20"/>
                <w:color w:val="auto"/>
              </w:rPr>
            </w:pPr>
            <w:r>
              <w:rPr>
                <w:rFonts w:ascii="Arial" w:cs="Arial" w:eastAsia="Arial" w:hAnsi="Arial"/>
                <w:sz w:val="14"/>
                <w:szCs w:val="14"/>
                <w:b w:val="1"/>
                <w:bCs w:val="1"/>
                <w:color w:val="2C2C2C"/>
                <w:w w:val="87"/>
              </w:rPr>
              <w:t xml:space="preserve">instruments </w:t>
            </w:r>
            <w:r>
              <w:rPr>
                <w:rFonts w:ascii="Arial" w:cs="Arial" w:eastAsia="Arial" w:hAnsi="Arial"/>
                <w:sz w:val="19"/>
                <w:szCs w:val="19"/>
                <w:b w:val="1"/>
                <w:bCs w:val="1"/>
                <w:color w:val="2C2C2C"/>
                <w:w w:val="87"/>
                <w:vertAlign w:val="superscript"/>
              </w:rPr>
              <w:t>(i)</w:t>
            </w: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right="48"/>
              <w:spacing w:after="0" w:line="189" w:lineRule="exact"/>
              <w:rPr>
                <w:sz w:val="20"/>
                <w:szCs w:val="20"/>
                <w:color w:val="auto"/>
              </w:rPr>
            </w:pPr>
            <w:r>
              <w:rPr>
                <w:rFonts w:ascii="Arial" w:cs="Arial" w:eastAsia="Arial" w:hAnsi="Arial"/>
                <w:sz w:val="14"/>
                <w:szCs w:val="14"/>
                <w:b w:val="1"/>
                <w:bCs w:val="1"/>
                <w:color w:val="2C2C2C"/>
                <w:w w:val="85"/>
              </w:rPr>
              <w:t xml:space="preserve">benefit costs </w:t>
            </w:r>
            <w:r>
              <w:rPr>
                <w:rFonts w:ascii="Arial" w:cs="Arial" w:eastAsia="Arial" w:hAnsi="Arial"/>
                <w:sz w:val="19"/>
                <w:szCs w:val="19"/>
                <w:b w:val="1"/>
                <w:bCs w:val="1"/>
                <w:color w:val="2C2C2C"/>
                <w:w w:val="85"/>
                <w:vertAlign w:val="superscript"/>
              </w:rPr>
              <w:t>(ii)</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2C2C2C"/>
              </w:rPr>
              <w:t>2023</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2C2C2C"/>
              </w:rPr>
              <w:t>2022</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2C2C2C"/>
              </w:rPr>
              <w:t>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2C2C2C"/>
                <w:w w:val="83"/>
              </w:rPr>
              <w:t>2022</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2C2C2C"/>
              </w:rPr>
              <w:t>2023</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2C2C2C"/>
              </w:rPr>
              <w:t>2022</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2C2C2C"/>
              </w:rPr>
              <w:t>2023</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2C2C2C"/>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2C2C2C"/>
        </w:rPr>
        <w:t>Quarter-to-date activity:</w:t>
      </w:r>
    </w:p>
    <w:p>
      <w:pPr>
        <w:sectPr>
          <w:pgSz w:w="11900" w:h="16838" w:orient="portrait"/>
          <w:cols w:equalWidth="0" w:num="1">
            <w:col w:w="11240"/>
          </w:cols>
          <w:pgMar w:left="320" w:top="337"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2C2C2C"/>
        </w:rPr>
        <w:t>Balance at June 30, 2023 and 2022, respectively</w:t>
      </w:r>
    </w:p>
    <w:p>
      <w:pPr>
        <w:spacing w:after="0" w:line="21" w:lineRule="exact"/>
        <w:rPr>
          <w:sz w:val="20"/>
          <w:szCs w:val="20"/>
          <w:color w:val="auto"/>
        </w:rPr>
      </w:pPr>
    </w:p>
    <w:p>
      <w:pPr>
        <w:ind w:left="120" w:right="700" w:hanging="107"/>
        <w:spacing w:after="0" w:line="241" w:lineRule="auto"/>
        <w:rPr>
          <w:sz w:val="20"/>
          <w:szCs w:val="20"/>
          <w:color w:val="auto"/>
        </w:rPr>
      </w:pPr>
      <w:r>
        <w:rPr>
          <w:rFonts w:ascii="Arial" w:cs="Arial" w:eastAsia="Arial" w:hAnsi="Arial"/>
          <w:sz w:val="14"/>
          <w:szCs w:val="14"/>
          <w:color w:val="2C2C2C"/>
        </w:rPr>
        <w:t>Other comprehensive (loss)/income before reclassifications</w:t>
      </w:r>
    </w:p>
    <w:p>
      <w:pPr>
        <w:ind w:left="120" w:right="240" w:hanging="107"/>
        <w:spacing w:after="0" w:line="234" w:lineRule="auto"/>
        <w:rPr>
          <w:sz w:val="20"/>
          <w:szCs w:val="20"/>
          <w:color w:val="auto"/>
        </w:rPr>
      </w:pPr>
      <w:r>
        <w:rPr>
          <w:rFonts w:ascii="Arial" w:cs="Arial" w:eastAsia="Arial" w:hAnsi="Arial"/>
          <w:sz w:val="14"/>
          <w:szCs w:val="14"/>
          <w:color w:val="2C2C2C"/>
        </w:rPr>
        <w:t>Loss reclassified from accumulated other comprehensive loss (net of income tax benefit of $2 and $2 at both periods)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3"/>
          <w:szCs w:val="13"/>
          <w:color w:val="2C2C2C"/>
        </w:rPr>
        <w:t>Net current-period other comprehensive (loss)/income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color w:val="2C2C2C"/>
        </w:rPr>
        <w:t>Balance at September 30, 2023 and 2022, respectively</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color w:val="2C2C2C"/>
        </w:rPr>
        <w:t>Year-to-date activity: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2C2C2C"/>
        </w:rPr>
        <w:t>Balance at December 31, 2022 and 2021, respectively</w:t>
      </w:r>
    </w:p>
    <w:p>
      <w:pPr>
        <w:spacing w:after="0" w:line="44" w:lineRule="exact"/>
        <w:rPr>
          <w:sz w:val="20"/>
          <w:szCs w:val="20"/>
          <w:color w:val="auto"/>
        </w:rPr>
      </w:pPr>
    </w:p>
    <w:p>
      <w:pPr>
        <w:ind w:left="120" w:right="700" w:hanging="107"/>
        <w:spacing w:after="0" w:line="238" w:lineRule="auto"/>
        <w:rPr>
          <w:sz w:val="20"/>
          <w:szCs w:val="20"/>
          <w:color w:val="auto"/>
        </w:rPr>
      </w:pPr>
      <w:r>
        <w:rPr>
          <w:rFonts w:ascii="Arial" w:cs="Arial" w:eastAsia="Arial" w:hAnsi="Arial"/>
          <w:sz w:val="14"/>
          <w:szCs w:val="14"/>
          <w:color w:val="2C2C2C"/>
        </w:rPr>
        <w:t>Other comprehensive (loss)/income before reclassifications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Pr>
          <w:p>
            <w:pPr>
              <w:jc w:val="right"/>
              <w:ind w:right="24"/>
              <w:spacing w:after="0"/>
              <w:rPr>
                <w:sz w:val="20"/>
                <w:szCs w:val="20"/>
                <w:color w:val="auto"/>
              </w:rPr>
            </w:pPr>
            <w:r>
              <w:rPr>
                <w:rFonts w:ascii="Arial" w:cs="Arial" w:eastAsia="Arial" w:hAnsi="Arial"/>
                <w:sz w:val="15"/>
                <w:szCs w:val="15"/>
                <w:color w:val="2C2C2C"/>
                <w:w w:val="71"/>
              </w:rPr>
              <w:t>$</w:t>
            </w:r>
          </w:p>
        </w:tc>
        <w:tc>
          <w:tcPr>
            <w:tcW w:w="660" w:type="dxa"/>
            <w:vAlign w:val="bottom"/>
          </w:tcPr>
          <w:p>
            <w:pPr>
              <w:jc w:val="right"/>
              <w:spacing w:after="0"/>
              <w:rPr>
                <w:sz w:val="20"/>
                <w:szCs w:val="20"/>
                <w:color w:val="auto"/>
              </w:rPr>
            </w:pPr>
            <w:r>
              <w:rPr>
                <w:rFonts w:ascii="Arial" w:cs="Arial" w:eastAsia="Arial" w:hAnsi="Arial"/>
                <w:sz w:val="16"/>
                <w:szCs w:val="16"/>
                <w:color w:val="2C2C2C"/>
              </w:rPr>
              <w:t>(926 )</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2C2C2C"/>
              </w:rPr>
              <w:t>$</w:t>
            </w:r>
          </w:p>
        </w:tc>
        <w:tc>
          <w:tcPr>
            <w:tcW w:w="660" w:type="dxa"/>
            <w:vAlign w:val="bottom"/>
          </w:tcPr>
          <w:p>
            <w:pPr>
              <w:jc w:val="right"/>
              <w:spacing w:after="0"/>
              <w:rPr>
                <w:sz w:val="20"/>
                <w:szCs w:val="20"/>
                <w:color w:val="auto"/>
              </w:rPr>
            </w:pPr>
            <w:r>
              <w:rPr>
                <w:rFonts w:ascii="Arial" w:cs="Arial" w:eastAsia="Arial" w:hAnsi="Arial"/>
                <w:sz w:val="16"/>
                <w:szCs w:val="16"/>
                <w:color w:val="2C2C2C"/>
              </w:rPr>
              <w:t>(794 )</w:t>
            </w:r>
          </w:p>
        </w:tc>
        <w:tc>
          <w:tcPr>
            <w:tcW w:w="420" w:type="dxa"/>
            <w:vAlign w:val="bottom"/>
            <w:gridSpan w:val="2"/>
          </w:tcPr>
          <w:p>
            <w:pPr>
              <w:jc w:val="right"/>
              <w:ind w:right="144"/>
              <w:spacing w:after="0"/>
              <w:rPr>
                <w:sz w:val="20"/>
                <w:szCs w:val="20"/>
                <w:color w:val="auto"/>
              </w:rPr>
            </w:pPr>
            <w:r>
              <w:rPr>
                <w:rFonts w:ascii="Arial" w:cs="Arial" w:eastAsia="Arial" w:hAnsi="Arial"/>
                <w:sz w:val="16"/>
                <w:szCs w:val="16"/>
                <w:color w:val="2C2C2C"/>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2C2C2C"/>
              </w:rPr>
              <w:t>12</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2C2C2C"/>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2C2C2C"/>
              </w:rPr>
              <w:t>6</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(1,626 )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(1,698 )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20" w:type="dxa"/>
            <w:vAlign w:val="bottom"/>
          </w:tcPr>
          <w:p>
            <w:pPr>
              <w:jc w:val="right"/>
              <w:spacing w:after="0"/>
              <w:rPr>
                <w:sz w:val="20"/>
                <w:szCs w:val="20"/>
                <w:color w:val="auto"/>
              </w:rPr>
            </w:pPr>
            <w:r>
              <w:rPr>
                <w:rFonts w:ascii="Arial" w:cs="Arial" w:eastAsia="Arial" w:hAnsi="Arial"/>
                <w:sz w:val="16"/>
                <w:szCs w:val="16"/>
                <w:color w:val="2C2C2C"/>
              </w:rPr>
              <w:t>(2,540 )</w:t>
            </w:r>
          </w:p>
        </w:tc>
        <w:tc>
          <w:tcPr>
            <w:tcW w:w="30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(2,486 )</w:t>
            </w:r>
          </w:p>
        </w:tc>
      </w:tr>
      <w:tr>
        <w:trPr>
          <w:trHeight w:val="324"/>
        </w:trPr>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C2C2C"/>
              </w:rPr>
              <w:t>(85 )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C2C2C"/>
              </w:rPr>
              <w:t>(240 )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2C2C2C"/>
              </w:rPr>
              <w:t>(2 )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2C2C2C"/>
              </w:rPr>
              <w:t>(5 )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2C2C2C"/>
              </w:rPr>
              <w:t>(1 )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2C2C2C"/>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C2C2C"/>
              </w:rPr>
              <w:t>(88 )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2C2C2C"/>
              </w:rPr>
              <w:t>(240 )</w:t>
            </w:r>
          </w:p>
        </w:tc>
      </w:tr>
      <w:tr>
        <w:trPr>
          <w:trHeight w:val="471"/>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2C2C2C"/>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2C2C2C"/>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6</w:t>
            </w:r>
          </w:p>
        </w:tc>
      </w:tr>
      <w:tr>
        <w:trPr>
          <w:trHeight w:val="223"/>
        </w:trPr>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(85 )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(240 )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(2 )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(4 )</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10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(80 )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(234 )</w:t>
            </w:r>
          </w:p>
        </w:tc>
      </w:tr>
      <w:tr>
        <w:trPr>
          <w:trHeight w:val="223"/>
        </w:trPr>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2C2C2C"/>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(1,011 )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2C2C2C"/>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(1,034 )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2C2C2C"/>
                <w:w w:val="71"/>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2C2C2C"/>
                <w:w w:val="89"/>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(1,619 )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(1,688 )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(2,620 )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(2,720 )</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682"/>
        </w:trPr>
        <w:tc>
          <w:tcPr>
            <w:tcW w:w="180" w:type="dxa"/>
            <w:vAlign w:val="bottom"/>
          </w:tcPr>
          <w:p>
            <w:pPr>
              <w:jc w:val="right"/>
              <w:ind w:right="24"/>
              <w:spacing w:after="0"/>
              <w:rPr>
                <w:sz w:val="20"/>
                <w:szCs w:val="20"/>
                <w:color w:val="auto"/>
              </w:rPr>
            </w:pPr>
            <w:r>
              <w:rPr>
                <w:rFonts w:ascii="Arial" w:cs="Arial" w:eastAsia="Arial" w:hAnsi="Arial"/>
                <w:sz w:val="15"/>
                <w:szCs w:val="15"/>
                <w:color w:val="2C2C2C"/>
                <w:w w:val="71"/>
              </w:rPr>
              <w:t>$</w:t>
            </w:r>
          </w:p>
        </w:tc>
        <w:tc>
          <w:tcPr>
            <w:tcW w:w="660" w:type="dxa"/>
            <w:vAlign w:val="bottom"/>
          </w:tcPr>
          <w:p>
            <w:pPr>
              <w:jc w:val="right"/>
              <w:spacing w:after="0"/>
              <w:rPr>
                <w:sz w:val="20"/>
                <w:szCs w:val="20"/>
                <w:color w:val="auto"/>
              </w:rPr>
            </w:pPr>
            <w:r>
              <w:rPr>
                <w:rFonts w:ascii="Arial" w:cs="Arial" w:eastAsia="Arial" w:hAnsi="Arial"/>
                <w:sz w:val="16"/>
                <w:szCs w:val="16"/>
                <w:color w:val="2C2C2C"/>
              </w:rPr>
              <w:t>(987 )</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2C2C2C"/>
              </w:rPr>
              <w:t>$</w:t>
            </w:r>
          </w:p>
        </w:tc>
        <w:tc>
          <w:tcPr>
            <w:tcW w:w="660" w:type="dxa"/>
            <w:vAlign w:val="bottom"/>
          </w:tcPr>
          <w:p>
            <w:pPr>
              <w:jc w:val="right"/>
              <w:spacing w:after="0"/>
              <w:rPr>
                <w:sz w:val="20"/>
                <w:szCs w:val="20"/>
                <w:color w:val="auto"/>
              </w:rPr>
            </w:pPr>
            <w:r>
              <w:rPr>
                <w:rFonts w:ascii="Arial" w:cs="Arial" w:eastAsia="Arial" w:hAnsi="Arial"/>
                <w:sz w:val="16"/>
                <w:szCs w:val="16"/>
                <w:color w:val="2C2C2C"/>
              </w:rPr>
              <w:t>(489 )</w:t>
            </w:r>
          </w:p>
        </w:tc>
        <w:tc>
          <w:tcPr>
            <w:tcW w:w="420" w:type="dxa"/>
            <w:vAlign w:val="bottom"/>
            <w:gridSpan w:val="2"/>
          </w:tcPr>
          <w:p>
            <w:pPr>
              <w:jc w:val="right"/>
              <w:ind w:right="144"/>
              <w:spacing w:after="0"/>
              <w:rPr>
                <w:sz w:val="20"/>
                <w:szCs w:val="20"/>
                <w:color w:val="auto"/>
              </w:rPr>
            </w:pPr>
            <w:r>
              <w:rPr>
                <w:rFonts w:ascii="Arial" w:cs="Arial" w:eastAsia="Arial" w:hAnsi="Arial"/>
                <w:sz w:val="16"/>
                <w:szCs w:val="16"/>
                <w:color w:val="2C2C2C"/>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2C2C2C"/>
              </w:rPr>
              <w:t>9</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2C2C2C"/>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2C2C2C"/>
              </w:rPr>
              <w:t>11</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(1,643 )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(1,708 )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20" w:type="dxa"/>
            <w:vAlign w:val="bottom"/>
          </w:tcPr>
          <w:p>
            <w:pPr>
              <w:jc w:val="right"/>
              <w:spacing w:after="0"/>
              <w:rPr>
                <w:sz w:val="20"/>
                <w:szCs w:val="20"/>
                <w:color w:val="auto"/>
              </w:rPr>
            </w:pPr>
            <w:r>
              <w:rPr>
                <w:rFonts w:ascii="Arial" w:cs="Arial" w:eastAsia="Arial" w:hAnsi="Arial"/>
                <w:sz w:val="16"/>
                <w:szCs w:val="16"/>
                <w:color w:val="2C2C2C"/>
              </w:rPr>
              <w:t>(2,621 )</w:t>
            </w:r>
          </w:p>
        </w:tc>
        <w:tc>
          <w:tcPr>
            <w:tcW w:w="30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(2,186 )</w:t>
            </w:r>
          </w:p>
        </w:tc>
      </w:tr>
      <w:tr>
        <w:trPr>
          <w:trHeight w:val="324"/>
        </w:trPr>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C2C2C"/>
              </w:rPr>
              <w:t>(24 )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C2C2C"/>
              </w:rPr>
              <w:t>(545 )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2C2C2C"/>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2C2C2C"/>
              </w:rPr>
              <w:t>(8 )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2C2C2C"/>
              </w:rPr>
              <w:t>(1 )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2C2C2C"/>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2C2C2C"/>
              </w:rPr>
              <w:t>(24 )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2C2C2C"/>
              </w:rPr>
              <w:t>(550 )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-1477010</wp:posOffset>
            </wp:positionV>
            <wp:extent cx="7132320" cy="205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-971550</wp:posOffset>
            </wp:positionV>
            <wp:extent cx="7132320" cy="4794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-337820</wp:posOffset>
            </wp:positionV>
            <wp:extent cx="7132320" cy="145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3180" w:space="720"/>
            <w:col w:w="734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3900" w:type="dxa"/>
            <w:vAlign w:val="bottom"/>
            <w:shd w:val="clear" w:color="auto" w:fill="CFF0FC"/>
          </w:tcPr>
          <w:p>
            <w:pPr>
              <w:ind w:left="20"/>
              <w:spacing w:after="0" w:line="146" w:lineRule="exact"/>
              <w:rPr>
                <w:sz w:val="20"/>
                <w:szCs w:val="20"/>
                <w:color w:val="auto"/>
              </w:rPr>
            </w:pPr>
            <w:r>
              <w:rPr>
                <w:rFonts w:ascii="Arial" w:cs="Arial" w:eastAsia="Arial" w:hAnsi="Arial"/>
                <w:sz w:val="14"/>
                <w:szCs w:val="14"/>
                <w:color w:val="2C2C2C"/>
              </w:rPr>
              <w:t>(Gain)/loss reclassified from accumulated other</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2C2C2C"/>
              </w:rPr>
              <w:t>comprehensive loss (net of income tax benefit of</w:t>
            </w:r>
          </w:p>
        </w:tc>
        <w:tc>
          <w:tcPr>
            <w:tcW w:w="18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2C2C2C"/>
              </w:rPr>
              <w:t>—</w:t>
            </w:r>
          </w:p>
        </w:tc>
        <w:tc>
          <w:tcPr>
            <w:tcW w:w="120" w:type="dxa"/>
            <w:vAlign w:val="bottom"/>
            <w:vMerge w:val="restart"/>
            <w:shd w:val="clear" w:color="auto" w:fill="CFF0FC"/>
          </w:tcPr>
          <w:p>
            <w:pPr>
              <w:spacing w:after="0"/>
              <w:rPr>
                <w:sz w:val="12"/>
                <w:szCs w:val="12"/>
                <w:color w:val="auto"/>
              </w:rPr>
            </w:pPr>
          </w:p>
        </w:tc>
        <w:tc>
          <w:tcPr>
            <w:tcW w:w="200" w:type="dxa"/>
            <w:vAlign w:val="bottom"/>
            <w:vMerge w:val="restart"/>
            <w:shd w:val="clear" w:color="auto" w:fill="CFF0FC"/>
          </w:tcPr>
          <w:p>
            <w:pPr>
              <w:spacing w:after="0"/>
              <w:rPr>
                <w:sz w:val="12"/>
                <w:szCs w:val="12"/>
                <w:color w:val="auto"/>
              </w:rPr>
            </w:pPr>
          </w:p>
        </w:tc>
        <w:tc>
          <w:tcPr>
            <w:tcW w:w="6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2C2C2C"/>
              </w:rPr>
              <w:t>—</w:t>
            </w:r>
          </w:p>
        </w:tc>
        <w:tc>
          <w:tcPr>
            <w:tcW w:w="120" w:type="dxa"/>
            <w:vAlign w:val="bottom"/>
            <w:vMerge w:val="restart"/>
            <w:shd w:val="clear" w:color="auto" w:fill="CFF0FC"/>
          </w:tcPr>
          <w:p>
            <w:pPr>
              <w:spacing w:after="0"/>
              <w:rPr>
                <w:sz w:val="12"/>
                <w:szCs w:val="12"/>
                <w:color w:val="auto"/>
              </w:rPr>
            </w:pPr>
          </w:p>
        </w:tc>
        <w:tc>
          <w:tcPr>
            <w:tcW w:w="300" w:type="dxa"/>
            <w:vAlign w:val="bottom"/>
            <w:vMerge w:val="restart"/>
            <w:shd w:val="clear" w:color="auto" w:fill="CFF0FC"/>
          </w:tcPr>
          <w:p>
            <w:pPr>
              <w:spacing w:after="0"/>
              <w:rPr>
                <w:sz w:val="12"/>
                <w:szCs w:val="12"/>
                <w:color w:val="auto"/>
              </w:rPr>
            </w:pPr>
          </w:p>
        </w:tc>
        <w:tc>
          <w:tcPr>
            <w:tcW w:w="5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2C2C2C"/>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(1 )</w:t>
            </w:r>
          </w:p>
        </w:tc>
        <w:tc>
          <w:tcPr>
            <w:tcW w:w="100" w:type="dxa"/>
            <w:vAlign w:val="bottom"/>
            <w:vMerge w:val="restart"/>
            <w:shd w:val="clear" w:color="auto" w:fill="CFF0FC"/>
          </w:tcPr>
          <w:p>
            <w:pPr>
              <w:spacing w:after="0"/>
              <w:rPr>
                <w:sz w:val="12"/>
                <w:szCs w:val="12"/>
                <w:color w:val="auto"/>
              </w:rPr>
            </w:pPr>
          </w:p>
        </w:tc>
        <w:tc>
          <w:tcPr>
            <w:tcW w:w="8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2C2C2C"/>
              </w:rPr>
              <w:t>25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2C2C2C"/>
              </w:rPr>
              <w:t>17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2C2C2C"/>
              </w:rPr>
              <w:t>25</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2C2C2C"/>
              </w:rPr>
              <w:t>16</w:t>
            </w:r>
          </w:p>
        </w:tc>
        <w:tc>
          <w:tcPr>
            <w:tcW w:w="0" w:type="dxa"/>
            <w:vAlign w:val="bottom"/>
          </w:tcPr>
          <w:p>
            <w:pPr>
              <w:spacing w:after="0"/>
              <w:rPr>
                <w:sz w:val="1"/>
                <w:szCs w:val="1"/>
                <w:color w:val="auto"/>
              </w:rPr>
            </w:pPr>
          </w:p>
        </w:tc>
      </w:tr>
      <w:tr>
        <w:trPr>
          <w:trHeight w:val="167"/>
        </w:trPr>
        <w:tc>
          <w:tcPr>
            <w:tcW w:w="3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2C2C2C"/>
              </w:rPr>
              <w:t>$8 and $6, respectively)</w:t>
            </w: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300" w:type="dxa"/>
            <w:vAlign w:val="bottom"/>
            <w:tcBorders>
              <w:bottom w:val="single" w:sz="8" w:color="auto"/>
            </w:tcBorders>
            <w:vMerge w:val="continue"/>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4"/>
                <w:szCs w:val="14"/>
                <w:color w:val="2C2C2C"/>
              </w:rPr>
              <w:t>Net current-period other comprehensive (loss)/income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(24 )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(545 )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(9 )</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20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2C2C2C"/>
              </w:rPr>
              <w:t>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(534 )</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2C2C2C"/>
              </w:rPr>
              <w:t>Balance at September 30, 2023 and 2022, respectively</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2C2C2C"/>
                <w:w w:val="71"/>
              </w:rPr>
              <w:t>$</w:t>
            </w: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2C2C2C"/>
              </w:rPr>
              <w:t>(1,011 )   $</w:t>
            </w: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2C2C2C"/>
              </w:rPr>
              <w:t>(1,034 )   $</w:t>
            </w: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2C2C2C"/>
              </w:rPr>
              <w:t>10</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2C2C2C"/>
              </w:rPr>
              <w:t>$</w:t>
            </w: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2C2C2C"/>
              </w:rPr>
              <w:t>2</w:t>
            </w:r>
          </w:p>
        </w:tc>
        <w:tc>
          <w:tcPr>
            <w:tcW w:w="120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2C2C2C"/>
              </w:rPr>
              <w:t>$  (1,619 )  $</w:t>
            </w: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2C2C2C"/>
              </w:rPr>
              <w:t>(1,688 )  $</w:t>
            </w: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2C2C2C"/>
              </w:rPr>
              <w:t>(2,620 )  $</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(2,720 )</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-333375</wp:posOffset>
            </wp:positionV>
            <wp:extent cx="76835"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-333375</wp:posOffset>
            </wp:positionV>
            <wp:extent cx="76835" cy="162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-333375</wp:posOffset>
            </wp:positionV>
            <wp:extent cx="68580" cy="162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-333375</wp:posOffset>
            </wp:positionV>
            <wp:extent cx="68580" cy="162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-333375</wp:posOffset>
            </wp:positionV>
            <wp:extent cx="68580" cy="162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-333375</wp:posOffset>
            </wp:positionV>
            <wp:extent cx="68580" cy="162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-333375</wp:posOffset>
            </wp:positionV>
            <wp:extent cx="68580" cy="162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-24765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-7620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-24765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-7620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ind w:left="280" w:right="80" w:hanging="272"/>
        <w:spacing w:after="0" w:line="237" w:lineRule="auto"/>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1" w:lineRule="exact"/>
        <w:rPr>
          <w:rFonts w:ascii="Arial" w:cs="Arial" w:eastAsia="Arial" w:hAnsi="Arial"/>
          <w:sz w:val="14"/>
          <w:szCs w:val="14"/>
          <w:color w:val="auto"/>
        </w:rPr>
      </w:pPr>
    </w:p>
    <w:p>
      <w:pPr>
        <w:ind w:left="280" w:right="680" w:hanging="272"/>
        <w:spacing w:after="0" w:line="242" w:lineRule="auto"/>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Reclassification adjustments from accumulated other comprehensive loss are included in the computation of net periodic pension cost (see Note 12 — Retirement Benefits). These components are included in Other income, net in the accompanying condensed consolidated statements of comprehensive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7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September 30, 2023 and 2022, there were 0.5 million and 0.4 million restricted time-based stock units outstanding, respectively, and there were 0.6 million restricted performance-based stock units outstanding at both periods presented. There were no time-based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8" w:name="page29"/>
    <w:bookmarkEnd w:id="28"/>
    <w:p>
      <w:pPr>
        <w:ind w:right="200"/>
        <w:spacing w:after="0" w:line="277" w:lineRule="auto"/>
        <w:rPr>
          <w:sz w:val="20"/>
          <w:szCs w:val="20"/>
          <w:color w:val="auto"/>
        </w:rPr>
      </w:pPr>
      <w:r>
        <w:rPr>
          <w:rFonts w:ascii="Arial" w:cs="Arial" w:eastAsia="Arial" w:hAnsi="Arial"/>
          <w:sz w:val="18"/>
          <w:szCs w:val="18"/>
          <w:color w:val="auto"/>
        </w:rPr>
        <w:t>share options at September 30, 2023; such options were immaterial at September 30, 2022. There were no performance-based options outstanding at both September 30, 2023 and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6"/>
        </w:trPr>
        <w:tc>
          <w:tcPr>
            <w:tcW w:w="5600" w:type="dxa"/>
            <w:vAlign w:val="bottom"/>
          </w:tcPr>
          <w:p>
            <w:pPr>
              <w:ind w:left="120"/>
              <w:spacing w:after="0"/>
              <w:rPr>
                <w:sz w:val="20"/>
                <w:szCs w:val="20"/>
                <w:color w:val="auto"/>
              </w:rPr>
            </w:pPr>
            <w:r>
              <w:rPr>
                <w:rFonts w:ascii="Arial" w:cs="Arial" w:eastAsia="Arial" w:hAnsi="Arial"/>
                <w:sz w:val="18"/>
                <w:szCs w:val="18"/>
                <w:color w:val="auto"/>
              </w:rPr>
              <w:t>Less: income attributable to non-controllable interests</w:t>
            </w: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attributable to WTW</w:t>
            </w:r>
          </w:p>
        </w:tc>
        <w:tc>
          <w:tcPr>
            <w:tcW w:w="820" w:type="dxa"/>
            <w:vAlign w:val="bottom"/>
            <w:tcBorders>
              <w:bottom w:val="single" w:sz="8" w:color="auto"/>
            </w:tcBorders>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Income/(loss) from discontinued operations, net of tax</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5600" w:type="dxa"/>
            <w:vAlign w:val="bottom"/>
            <w:tcBorders>
              <w:top w:val="single" w:sz="8" w:color="CFF0F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average number of shares outstanding</w:t>
            </w:r>
          </w:p>
        </w:tc>
        <w:tc>
          <w:tcPr>
            <w:tcW w:w="8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average number of shares outstanding</w:t>
            </w:r>
          </w:p>
        </w:tc>
        <w:tc>
          <w:tcPr>
            <w:tcW w:w="82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Basic earnings per share from continuing operations attributable to WTW</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4.08</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(0.01 )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earnings per share from continuing operations attributable to</w:t>
            </w:r>
          </w:p>
        </w:tc>
        <w:tc>
          <w:tcPr>
            <w:tcW w:w="820" w:type="dxa"/>
            <w:vAlign w:val="bottom"/>
            <w:vMerge w:val="restart"/>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c>
          <w:tcPr>
            <w:tcW w:w="160" w:type="dxa"/>
            <w:vAlign w:val="bottom"/>
            <w:vMerge w:val="restart"/>
            <w:shd w:val="clear" w:color="auto" w:fill="CFF0FC"/>
          </w:tcPr>
          <w:p>
            <w:pPr>
              <w:spacing w:after="0"/>
              <w:rPr>
                <w:sz w:val="18"/>
                <w:szCs w:val="18"/>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1.65</w:t>
            </w:r>
          </w:p>
        </w:tc>
        <w:tc>
          <w:tcPr>
            <w:tcW w:w="14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4.06</w:t>
            </w:r>
          </w:p>
        </w:tc>
        <w:tc>
          <w:tcPr>
            <w:tcW w:w="140" w:type="dxa"/>
            <w:vAlign w:val="bottom"/>
            <w:vMerge w:val="restart"/>
            <w:shd w:val="clear" w:color="auto" w:fill="CFF0FC"/>
          </w:tcPr>
          <w:p>
            <w:pPr>
              <w:spacing w:after="0"/>
              <w:rPr>
                <w:sz w:val="18"/>
                <w:szCs w:val="18"/>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WTW</w:t>
            </w:r>
          </w:p>
        </w:tc>
        <w:tc>
          <w:tcPr>
            <w:tcW w:w="82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28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Basic earnings/(loss) per share from discontinued operations, net of tax</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5"/>
              </w:rPr>
              <w:t>Diluted earnings/(loss) per share from discontinued operations, net of tax</w:t>
            </w:r>
          </w:p>
        </w:tc>
        <w:tc>
          <w:tcPr>
            <w:tcW w:w="820" w:type="dxa"/>
            <w:vAlign w:val="bottom"/>
            <w:tcBorders>
              <w:bottom w:val="single" w:sz="8" w:color="auto"/>
            </w:tcBorders>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0.07</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-2422525</wp:posOffset>
            </wp:positionV>
            <wp:extent cx="1926590" cy="1797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26590" cy="1797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-2088515</wp:posOffset>
            </wp:positionV>
            <wp:extent cx="1926590"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26590" cy="1797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-1437640</wp:posOffset>
            </wp:positionV>
            <wp:extent cx="1926590"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926590" cy="1797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-675640</wp:posOffset>
            </wp:positionV>
            <wp:extent cx="1926590"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26590" cy="1797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-24765</wp:posOffset>
            </wp:positionV>
            <wp:extent cx="939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939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939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Anti-dilutive restricted stock units were immaterial for the three and nine months ended September 30, 2023; for both the three and nine months ended September 30, 2022, 0.3 million restricted stock units were not included in the computation of the dilutive effect of potentially issuable shares because their effect was anti-dilutive. There were no anti-dilutive options for the three and nine months ended September 30, 2023 and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Supplemental Disclosures of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regarding cash flow information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1,247</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9"/>
        </w:trPr>
        <w:tc>
          <w:tcPr>
            <w:tcW w:w="8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Fiduciary funds (included in fiduciary assets)</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2,485</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5"/>
        </w:trPr>
        <w:tc>
          <w:tcPr>
            <w:tcW w:w="8220" w:type="dxa"/>
            <w:vAlign w:val="bottom"/>
          </w:tcPr>
          <w:p>
            <w:pPr>
              <w:ind w:left="200"/>
              <w:spacing w:after="0"/>
              <w:rPr>
                <w:sz w:val="20"/>
                <w:szCs w:val="20"/>
                <w:color w:val="auto"/>
              </w:rPr>
            </w:pPr>
            <w:r>
              <w:rPr>
                <w:rFonts w:ascii="Arial" w:cs="Arial" w:eastAsia="Arial" w:hAnsi="Arial"/>
                <w:sz w:val="18"/>
                <w:szCs w:val="18"/>
                <w:color w:val="auto"/>
              </w:rPr>
              <w:t>Cash and cash equivalents and fiduciary funds (included in current assets held</w:t>
            </w:r>
          </w:p>
        </w:tc>
        <w:tc>
          <w:tcPr>
            <w:tcW w:w="860" w:type="dxa"/>
            <w:vAlign w:val="bottom"/>
          </w:tcPr>
          <w:p>
            <w:pPr>
              <w:spacing w:after="0"/>
              <w:rPr>
                <w:sz w:val="18"/>
                <w:szCs w:val="18"/>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for sale)</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3,732</w:t>
            </w:r>
          </w:p>
        </w:tc>
        <w:tc>
          <w:tcPr>
            <w:tcW w:w="1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Increase/(decrease) in cash, cash equivalents and other restricted cash</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(2,904 )</w:t>
            </w:r>
          </w:p>
        </w:tc>
        <w:tc>
          <w:tcPr>
            <w:tcW w:w="0" w:type="dxa"/>
            <w:vAlign w:val="bottom"/>
          </w:tcPr>
          <w:p>
            <w:pPr>
              <w:spacing w:after="0"/>
              <w:rPr>
                <w:sz w:val="1"/>
                <w:szCs w:val="1"/>
                <w:color w:val="auto"/>
              </w:rPr>
            </w:pPr>
          </w:p>
        </w:tc>
      </w:tr>
      <w:tr>
        <w:trPr>
          <w:trHeight w:val="236"/>
        </w:trPr>
        <w:tc>
          <w:tcPr>
            <w:tcW w:w="8220" w:type="dxa"/>
            <w:vAlign w:val="bottom"/>
          </w:tcPr>
          <w:p>
            <w:pPr>
              <w:ind w:left="200"/>
              <w:spacing w:after="0"/>
              <w:rPr>
                <w:sz w:val="20"/>
                <w:szCs w:val="20"/>
                <w:color w:val="auto"/>
              </w:rPr>
            </w:pPr>
            <w:r>
              <w:rPr>
                <w:rFonts w:ascii="Arial" w:cs="Arial" w:eastAsia="Arial" w:hAnsi="Arial"/>
                <w:sz w:val="18"/>
                <w:szCs w:val="18"/>
                <w:color w:val="auto"/>
              </w:rPr>
              <w:t>(Decrease)/increase in fiduciary funds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(940 )</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83"/>
        </w:trPr>
        <w:tc>
          <w:tcPr>
            <w:tcW w:w="8220" w:type="dxa"/>
            <w:vAlign w:val="bottom"/>
            <w:tcBorders>
              <w:bottom w:val="single" w:sz="8" w:color="CFF0FC"/>
            </w:tcBorders>
            <w:shd w:val="clear" w:color="auto" w:fill="CFF0FC"/>
          </w:tcPr>
          <w:p>
            <w:pPr>
              <w:ind w:left="200"/>
              <w:spacing w:after="0" w:line="24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4"/>
                <w:szCs w:val="24"/>
                <w:color w:val="auto"/>
                <w:vertAlign w:val="superscript"/>
              </w:rPr>
              <w:t>(i)</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(935 )</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-675640</wp:posOffset>
            </wp:positionV>
            <wp:extent cx="111125"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1111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1111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2"/>
          <w:szCs w:val="12"/>
          <w:color w:val="auto"/>
        </w:rPr>
        <w:t>Does not include the effect of exchange rate changes on cash, cash equivalents and restricted cash.</w:t>
      </w:r>
    </w:p>
    <w:p>
      <w:pPr>
        <w:spacing w:after="0" w:line="1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‘Non-GAAP Financial Measures’ below for further discussion of our adjusted, constant currency and organic non-GAAP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171"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9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stabilizing market.</w:t>
      </w:r>
    </w:p>
    <w:p>
      <w:pPr>
        <w:spacing w:after="0" w:line="137" w:lineRule="exact"/>
        <w:rPr>
          <w:sz w:val="20"/>
          <w:szCs w:val="20"/>
          <w:color w:val="auto"/>
        </w:rPr>
      </w:pPr>
    </w:p>
    <w:p>
      <w:pPr>
        <w:ind w:right="660"/>
        <w:spacing w:after="0" w:line="341" w:lineRule="auto"/>
        <w:rPr>
          <w:sz w:val="20"/>
          <w:szCs w:val="20"/>
          <w:color w:val="auto"/>
        </w:rPr>
      </w:pPr>
      <w:r>
        <w:rPr>
          <w:rFonts w:ascii="Arial" w:cs="Arial" w:eastAsia="Arial" w:hAnsi="Arial"/>
          <w:sz w:val="16"/>
          <w:szCs w:val="16"/>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of the Economic Environment</w:t>
      </w:r>
    </w:p>
    <w:p>
      <w:pPr>
        <w:spacing w:after="0" w:line="17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U.S. and global markets are continuing to experience volatility and disruption as a result of the ongoing war between Russia and Ukraine and evolving events in Israel and Gaza. Although the length and impact of these ongoing situations are highly unpredictable, they have and could continue to lead to further market disruptions. The conflicts have contributed to negative impacts on the global economy and capital markets including significant inflation in many of the markets in which we operate. This impacts not only the cost of and access to liquidity, but also other costs to run and invest in our business.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right="20"/>
        <w:spacing w:after="0" w:line="255" w:lineRule="auto"/>
        <w:rPr>
          <w:sz w:val="20"/>
          <w:szCs w:val="20"/>
          <w:color w:val="auto"/>
        </w:rPr>
      </w:pPr>
      <w:r>
        <w:rPr>
          <w:rFonts w:ascii="Arial" w:cs="Arial" w:eastAsia="Arial" w:hAnsi="Arial"/>
          <w:sz w:val="18"/>
          <w:szCs w:val="18"/>
          <w:color w:val="auto"/>
        </w:rPr>
        <w:t>Other global economic events, such as accommodative monetary and fiscal policy and geopolitical tensions beyond the ongoing wars, have also contributed to significant inflation across the globe. In particular, inflation in the United States, Europe, and other geographies has risen to levels not experienced in recent decades and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operating and general and administrative expenses, and we have no control or limited ability to control such factors.</w:t>
      </w:r>
    </w:p>
    <w:p>
      <w:pPr>
        <w:spacing w:after="0" w:line="137" w:lineRule="exact"/>
        <w:rPr>
          <w:sz w:val="20"/>
          <w:szCs w:val="20"/>
          <w:color w:val="auto"/>
        </w:rPr>
      </w:pPr>
    </w:p>
    <w:p>
      <w:pPr>
        <w:jc w:val="both"/>
        <w:ind w:right="500"/>
        <w:spacing w:after="0" w:line="341" w:lineRule="auto"/>
        <w:rPr>
          <w:sz w:val="20"/>
          <w:szCs w:val="20"/>
          <w:color w:val="auto"/>
        </w:rPr>
      </w:pPr>
      <w:r>
        <w:rPr>
          <w:rFonts w:ascii="Arial" w:cs="Arial" w:eastAsia="Arial" w:hAnsi="Arial"/>
          <w:sz w:val="16"/>
          <w:szCs w:val="16"/>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2022, our financial results were negatively impacted by adverse workforce factors in a number of businesses, particularly commercial risk broking and health and benefits broking. Additionally, our 2022 performance benefited from revenue from book sales, which is non-repeatable revenue. The net impact of these factors, which caused our growth in 2022 to be meaningfully slower than other competitors, may affect the comparability of our 2022 results against the same period (or periods) in 2023 or other future periods. See Part I, Item 1A ‘Risk Factors’ in our Annual Report on Form 10-K, filed with the SEC on February 24, 2023, for a discussion of risks that may affect our growth relative to expectation and our ability to compete.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 Program</w:t>
      </w:r>
    </w:p>
    <w:p>
      <w:pPr>
        <w:spacing w:after="0" w:line="17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the fourth quarter of 2021, the Company initiated a three-year ‘Transformation program’ designed to enhance operations, optimize technology and align its real estate footprint to its new ways of working. During the second quarter of 2023, we revised the expected costs and savings under the program and we now expect the program to generate annual cost savings in excess of $380 million by the end of 2024. The program is expected to incur cumulative costs of approximately $630 million and capital expenditures of approximately $270 million, for a total investment of $900 million. The main categories of charges will be in the following four areas:</w:t>
      </w:r>
    </w:p>
    <w:p>
      <w:pPr>
        <w:spacing w:after="0" w:line="83" w:lineRule="exact"/>
        <w:rPr>
          <w:sz w:val="20"/>
          <w:szCs w:val="20"/>
          <w:color w:val="auto"/>
        </w:rPr>
      </w:pPr>
    </w:p>
    <w:p>
      <w:pPr>
        <w:ind w:left="760" w:right="32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 estate rationalization — includes costs to align the real estate footprint to the new ways of working (hybrid work) and includes breakage fees and the impairment of right-of-use assets and other related leasehold assets.</w:t>
      </w:r>
    </w:p>
    <w:p>
      <w:pPr>
        <w:spacing w:after="0" w:line="61"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74" w:lineRule="exact"/>
        <w:rPr>
          <w:rFonts w:ascii="Arial" w:cs="Arial" w:eastAsia="Arial" w:hAnsi="Arial"/>
          <w:sz w:val="18"/>
          <w:szCs w:val="18"/>
          <w:color w:val="auto"/>
        </w:rPr>
      </w:pPr>
    </w:p>
    <w:p>
      <w:pPr>
        <w:ind w:left="760" w:right="20" w:hanging="378"/>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74"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 other costs not included above including fees for professional services, other contract terminations not related to the above categories and supplier migration costs.</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Certain costs under the Transformation program are accounted for under ASC 420, </w:t>
      </w:r>
      <w:r>
        <w:rPr>
          <w:rFonts w:ascii="Arial" w:cs="Arial" w:eastAsia="Arial" w:hAnsi="Arial"/>
          <w:sz w:val="16"/>
          <w:szCs w:val="16"/>
          <w:i w:val="1"/>
          <w:iCs w:val="1"/>
          <w:color w:val="auto"/>
        </w:rPr>
        <w:t>Exit or Disposal Cost Obligation</w:t>
      </w:r>
      <w:r>
        <w:rPr>
          <w:rFonts w:ascii="Arial" w:cs="Arial" w:eastAsia="Arial" w:hAnsi="Arial"/>
          <w:sz w:val="16"/>
          <w:szCs w:val="16"/>
          <w:color w:val="auto"/>
        </w:rPr>
        <w:t>, and are included as restructuring costs in the condensed consolidated statements of comprehensive income. For the three and nine months ended September 30, 2023, restructuring charges under our Transformation program totaled $17 million and $30 million, respectively; for the three and nine months ended September 30, 2022, restructuring charges under our Transformation program totaled $9 million and $71 million, respectively. Other costs incurred under the Transformation program are included in transaction and transformation and were $104 million and $231 million for the three and nine months ended September 30, 2023, respectively, and $42 million and $73 million for the three and nine months ended September 30, 2022, respectively.</w:t>
      </w:r>
    </w:p>
    <w:p>
      <w:pPr>
        <w:spacing w:after="0" w:line="1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From the actions taken during the third quarter of 2023, we have identified an additional $23 million of annualized run-rate savings during the year due to newly-realized opportunities and incremental sources of value. Since the inception of the program, we have identified $300 million of cumulative annualized run-rate savings, which overall are primarily </w:t>
      </w:r>
      <w:r>
        <w:rPr>
          <w:rFonts w:ascii="Arial" w:cs="Arial" w:eastAsia="Arial" w:hAnsi="Arial"/>
          <w:sz w:val="18"/>
          <w:szCs w:val="18"/>
          <w:color w:val="212121"/>
        </w:rPr>
        <w:t>attributable to the reduction of real estate and technology costs. We began to recognize the benefits</w:t>
      </w:r>
      <w:r>
        <w:rPr>
          <w:rFonts w:ascii="Arial" w:cs="Arial" w:eastAsia="Arial" w:hAnsi="Arial"/>
          <w:sz w:val="18"/>
          <w:szCs w:val="18"/>
          <w:color w:val="auto"/>
        </w:rPr>
        <w:t xml:space="preserve"> from the program during 2022.</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 discussion of some of the risks associated with the Transformation program, see Part I, Item 1A ‘Risk Factors’ in our Annual Report on Form 10-K, filed with the SEC on February 24, 2023.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sets forth our summarized condensed consolidated statements of comprehensive income and data as a percentage of revenue for the periods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9"/>
              </w:rPr>
              <w:t>Nine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vMerge w:val="restart"/>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ind w:left="200"/>
              <w:spacing w:after="0"/>
              <w:rPr>
                <w:sz w:val="20"/>
                <w:szCs w:val="20"/>
                <w:color w:val="auto"/>
              </w:rPr>
            </w:pPr>
            <w:r>
              <w:rPr>
                <w:rFonts w:ascii="Arial" w:cs="Arial" w:eastAsia="Arial" w:hAnsi="Arial"/>
                <w:sz w:val="14"/>
                <w:szCs w:val="14"/>
                <w:b w:val="1"/>
                <w:bCs w:val="1"/>
                <w:color w:val="auto"/>
                <w:w w:val="84"/>
              </w:rPr>
              <w:t>($ in millions, except</w:t>
            </w: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3"/>
              </w:rPr>
              <w:t>per share data)</w:t>
            </w:r>
          </w:p>
        </w:tc>
        <w:tc>
          <w:tcPr>
            <w:tcW w:w="340" w:type="dxa"/>
            <w:vAlign w:val="bottom"/>
            <w:vMerge w:val="restart"/>
          </w:tcPr>
          <w:p>
            <w:pPr>
              <w:jc w:val="right"/>
              <w:ind w:right="31"/>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2,166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0 % $</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1,953</w:t>
            </w:r>
          </w:p>
        </w:tc>
        <w:tc>
          <w:tcPr>
            <w:tcW w:w="32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6"/>
              </w:rPr>
              <w:t>100 % $</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6,569</w:t>
            </w:r>
          </w:p>
        </w:tc>
        <w:tc>
          <w:tcPr>
            <w:tcW w:w="22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0 % $</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6,144</w:t>
            </w:r>
          </w:p>
        </w:tc>
        <w:tc>
          <w:tcPr>
            <w:tcW w:w="3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100 %</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Costs of providing services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1,359</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63 %</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1,225</w:t>
            </w:r>
          </w:p>
        </w:tc>
        <w:tc>
          <w:tcPr>
            <w:tcW w:w="3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63 %</w:t>
            </w:r>
          </w:p>
        </w:tc>
        <w:tc>
          <w:tcPr>
            <w:tcW w:w="1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4,019</w:t>
            </w:r>
          </w:p>
        </w:tc>
        <w:tc>
          <w:tcPr>
            <w:tcW w:w="22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61 %</w:t>
            </w:r>
          </w:p>
        </w:tc>
        <w:tc>
          <w:tcPr>
            <w:tcW w:w="18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3,802</w:t>
            </w:r>
          </w:p>
        </w:tc>
        <w:tc>
          <w:tcPr>
            <w:tcW w:w="3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396</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18 %</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1,282</w:t>
            </w:r>
          </w:p>
        </w:tc>
        <w:tc>
          <w:tcPr>
            <w:tcW w:w="22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20 %</w:t>
            </w:r>
          </w:p>
        </w:tc>
        <w:tc>
          <w:tcPr>
            <w:tcW w:w="18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1,263</w:t>
            </w:r>
          </w:p>
        </w:tc>
        <w:tc>
          <w:tcPr>
            <w:tcW w:w="3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720" w:type="dxa"/>
            <w:vAlign w:val="bottom"/>
            <w:gridSpan w:val="3"/>
          </w:tcPr>
          <w:p>
            <w:pPr>
              <w:jc w:val="right"/>
              <w:ind w:right="139"/>
              <w:spacing w:after="0"/>
              <w:rPr>
                <w:sz w:val="20"/>
                <w:szCs w:val="20"/>
                <w:color w:val="auto"/>
              </w:rPr>
            </w:pPr>
            <w:r>
              <w:rPr>
                <w:rFonts w:ascii="Arial" w:cs="Arial" w:eastAsia="Arial" w:hAnsi="Arial"/>
                <w:sz w:val="18"/>
                <w:szCs w:val="18"/>
                <w:color w:val="auto"/>
              </w:rPr>
              <w:t>— %</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w w:val="97"/>
              </w:rPr>
              <w:t>— %</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6"/>
        </w:trPr>
        <w:tc>
          <w:tcPr>
            <w:tcW w:w="512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2"/>
                <w:szCs w:val="2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of providing services</w:t>
            </w: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2,007</w:t>
            </w:r>
          </w:p>
        </w:tc>
        <w:tc>
          <w:tcPr>
            <w:tcW w:w="6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1,799</w:t>
            </w:r>
          </w:p>
        </w:tc>
        <w:tc>
          <w:tcPr>
            <w:tcW w:w="3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7"/>
              </w:rPr>
              <w:t>5,983</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7"/>
              </w:rPr>
              <w:t>5,674</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159</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18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3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2"/>
        </w:trPr>
        <w:tc>
          <w:tcPr>
            <w:tcW w:w="5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(54 )</w:t>
            </w:r>
          </w:p>
        </w:tc>
        <w:tc>
          <w:tcPr>
            <w:tcW w:w="320" w:type="dxa"/>
            <w:vAlign w:val="bottom"/>
          </w:tcPr>
          <w:p>
            <w:pPr>
              <w:spacing w:after="0"/>
              <w:rPr>
                <w:sz w:val="21"/>
                <w:szCs w:val="21"/>
                <w:color w:val="auto"/>
              </w:rPr>
            </w:pPr>
          </w:p>
        </w:tc>
        <w:tc>
          <w:tcPr>
            <w:tcW w:w="720" w:type="dxa"/>
            <w:vAlign w:val="bottom"/>
            <w:gridSpan w:val="3"/>
          </w:tcPr>
          <w:p>
            <w:pPr>
              <w:jc w:val="right"/>
              <w:ind w:right="79"/>
              <w:spacing w:after="0"/>
              <w:rPr>
                <w:sz w:val="20"/>
                <w:szCs w:val="20"/>
                <w:color w:val="auto"/>
              </w:rPr>
            </w:pPr>
            <w:r>
              <w:rPr>
                <w:rFonts w:ascii="Arial" w:cs="Arial" w:eastAsia="Arial" w:hAnsi="Arial"/>
                <w:sz w:val="18"/>
                <w:szCs w:val="18"/>
                <w:color w:val="auto"/>
              </w:rPr>
              <w:t>(3 )%</w:t>
            </w:r>
          </w:p>
        </w:tc>
        <w:tc>
          <w:tcPr>
            <w:tcW w:w="580" w:type="dxa"/>
            <w:vAlign w:val="bottom"/>
          </w:tcPr>
          <w:p>
            <w:pPr>
              <w:jc w:val="right"/>
              <w:spacing w:after="0"/>
              <w:rPr>
                <w:sz w:val="20"/>
                <w:szCs w:val="20"/>
                <w:color w:val="auto"/>
              </w:rPr>
            </w:pPr>
            <w:r>
              <w:rPr>
                <w:rFonts w:ascii="Arial" w:cs="Arial" w:eastAsia="Arial" w:hAnsi="Arial"/>
                <w:sz w:val="18"/>
                <w:szCs w:val="18"/>
                <w:color w:val="auto"/>
              </w:rPr>
              <w:t>(172 )</w:t>
            </w:r>
          </w:p>
        </w:tc>
        <w:tc>
          <w:tcPr>
            <w:tcW w:w="220" w:type="dxa"/>
            <w:vAlign w:val="bottom"/>
          </w:tcPr>
          <w:p>
            <w:pPr>
              <w:spacing w:after="0"/>
              <w:rPr>
                <w:sz w:val="21"/>
                <w:szCs w:val="21"/>
                <w:color w:val="auto"/>
              </w:rPr>
            </w:pPr>
          </w:p>
        </w:tc>
        <w:tc>
          <w:tcPr>
            <w:tcW w:w="620" w:type="dxa"/>
            <w:vAlign w:val="bottom"/>
            <w:gridSpan w:val="3"/>
          </w:tcPr>
          <w:p>
            <w:pPr>
              <w:jc w:val="right"/>
              <w:ind w:right="70"/>
              <w:spacing w:after="0"/>
              <w:rPr>
                <w:sz w:val="20"/>
                <w:szCs w:val="20"/>
                <w:color w:val="auto"/>
              </w:rPr>
            </w:pPr>
            <w:r>
              <w:rPr>
                <w:rFonts w:ascii="Arial" w:cs="Arial" w:eastAsia="Arial" w:hAnsi="Arial"/>
                <w:sz w:val="18"/>
                <w:szCs w:val="18"/>
                <w:color w:val="auto"/>
              </w:rPr>
              <w:t>(3 )%</w:t>
            </w:r>
          </w:p>
        </w:tc>
        <w:tc>
          <w:tcPr>
            <w:tcW w:w="580" w:type="dxa"/>
            <w:vAlign w:val="bottom"/>
          </w:tcPr>
          <w:p>
            <w:pPr>
              <w:jc w:val="right"/>
              <w:spacing w:after="0"/>
              <w:rPr>
                <w:sz w:val="20"/>
                <w:szCs w:val="20"/>
                <w:color w:val="auto"/>
              </w:rPr>
            </w:pPr>
            <w:r>
              <w:rPr>
                <w:rFonts w:ascii="Arial" w:cs="Arial" w:eastAsia="Arial" w:hAnsi="Arial"/>
                <w:sz w:val="18"/>
                <w:szCs w:val="18"/>
                <w:color w:val="auto"/>
              </w:rPr>
              <w:t>(154 )</w:t>
            </w:r>
          </w:p>
        </w:tc>
        <w:tc>
          <w:tcPr>
            <w:tcW w:w="3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6"/>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66</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2"/>
                <w:szCs w:val="2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3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6"/>
        </w:trPr>
        <w:tc>
          <w:tcPr>
            <w:tcW w:w="51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320" w:type="dxa"/>
            <w:vAlign w:val="bottom"/>
          </w:tcPr>
          <w:p>
            <w:pPr>
              <w:spacing w:after="0"/>
              <w:rPr>
                <w:sz w:val="22"/>
                <w:szCs w:val="22"/>
                <w:color w:val="auto"/>
              </w:rPr>
            </w:pPr>
          </w:p>
        </w:tc>
        <w:tc>
          <w:tcPr>
            <w:tcW w:w="720" w:type="dxa"/>
            <w:vAlign w:val="bottom"/>
            <w:gridSpan w:val="3"/>
          </w:tcPr>
          <w:p>
            <w:pPr>
              <w:jc w:val="right"/>
              <w:ind w:right="139"/>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(99 )</w:t>
            </w:r>
          </w:p>
        </w:tc>
        <w:tc>
          <w:tcPr>
            <w:tcW w:w="220" w:type="dxa"/>
            <w:vAlign w:val="bottom"/>
          </w:tcPr>
          <w:p>
            <w:pPr>
              <w:spacing w:after="0"/>
              <w:rPr>
                <w:sz w:val="22"/>
                <w:szCs w:val="22"/>
                <w:color w:val="auto"/>
              </w:rPr>
            </w:pPr>
          </w:p>
        </w:tc>
        <w:tc>
          <w:tcPr>
            <w:tcW w:w="620" w:type="dxa"/>
            <w:vAlign w:val="bottom"/>
            <w:gridSpan w:val="3"/>
          </w:tcPr>
          <w:p>
            <w:pPr>
              <w:jc w:val="right"/>
              <w:ind w:right="70"/>
              <w:spacing w:after="0"/>
              <w:rPr>
                <w:sz w:val="20"/>
                <w:szCs w:val="20"/>
                <w:color w:val="auto"/>
              </w:rPr>
            </w:pPr>
            <w:r>
              <w:rPr>
                <w:rFonts w:ascii="Arial" w:cs="Arial" w:eastAsia="Arial" w:hAnsi="Arial"/>
                <w:sz w:val="18"/>
                <w:szCs w:val="18"/>
                <w:color w:val="auto"/>
              </w:rPr>
              <w:t>(2 )%</w:t>
            </w:r>
          </w:p>
        </w:tc>
        <w:tc>
          <w:tcPr>
            <w:tcW w:w="580" w:type="dxa"/>
            <w:vAlign w:val="bottom"/>
          </w:tcPr>
          <w:p>
            <w:pPr>
              <w:jc w:val="right"/>
              <w:spacing w:after="0"/>
              <w:rPr>
                <w:sz w:val="20"/>
                <w:szCs w:val="20"/>
                <w:color w:val="auto"/>
              </w:rPr>
            </w:pPr>
            <w:r>
              <w:rPr>
                <w:rFonts w:ascii="Arial" w:cs="Arial" w:eastAsia="Arial" w:hAnsi="Arial"/>
                <w:sz w:val="18"/>
                <w:szCs w:val="18"/>
                <w:color w:val="auto"/>
              </w:rPr>
              <w:t>(63 )</w:t>
            </w:r>
          </w:p>
        </w:tc>
        <w:tc>
          <w:tcPr>
            <w:tcW w:w="34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4"/>
        </w:trPr>
        <w:tc>
          <w:tcPr>
            <w:tcW w:w="51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139</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9 %</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8"/>
                <w:szCs w:val="18"/>
                <w:color w:val="auto"/>
              </w:rPr>
              <w:t>INCOME/(LOSS) FROM DISCONTINUED OPERATIONS, NET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OF TAX</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70"/>
              <w:spacing w:after="0"/>
              <w:rPr>
                <w:sz w:val="20"/>
                <w:szCs w:val="20"/>
                <w:color w:val="auto"/>
              </w:rPr>
            </w:pPr>
            <w:r>
              <w:rPr>
                <w:rFonts w:ascii="Arial" w:cs="Arial" w:eastAsia="Arial" w:hAnsi="Arial"/>
                <w:sz w:val="18"/>
                <w:szCs w:val="18"/>
                <w:color w:val="auto"/>
              </w:rPr>
              <w:t>— %</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720" w:type="dxa"/>
            <w:vAlign w:val="bottom"/>
            <w:gridSpan w:val="3"/>
          </w:tcPr>
          <w:p>
            <w:pPr>
              <w:jc w:val="right"/>
              <w:ind w:right="139"/>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w w:val="97"/>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(27 )</w:t>
            </w:r>
          </w:p>
        </w:tc>
        <w:tc>
          <w:tcPr>
            <w:tcW w:w="3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6"/>
        </w:trPr>
        <w:tc>
          <w:tcPr>
            <w:tcW w:w="512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22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340" w:type="dxa"/>
            <w:vAlign w:val="bottom"/>
          </w:tcPr>
          <w:p>
            <w:pPr>
              <w:spacing w:after="0"/>
              <w:rPr>
                <w:sz w:val="22"/>
                <w:szCs w:val="2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8"/>
                <w:szCs w:val="18"/>
                <w:color w:val="auto"/>
              </w:rPr>
              <w:t>NET INCOME ATTRIBUTABLE TO WTW</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136</w:t>
            </w:r>
          </w:p>
        </w:tc>
        <w:tc>
          <w:tcPr>
            <w:tcW w:w="90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6 % </w:t>
            </w:r>
            <w:r>
              <w:rPr>
                <w:rFonts w:ascii="Arial" w:cs="Arial" w:eastAsia="Arial" w:hAnsi="Arial"/>
                <w:sz w:val="27"/>
                <w:szCs w:val="27"/>
                <w:color w:val="auto"/>
                <w:vertAlign w:val="superscript"/>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20"/>
                <w:szCs w:val="20"/>
                <w:color w:val="auto"/>
              </w:rPr>
            </w:pPr>
          </w:p>
        </w:tc>
        <w:tc>
          <w:tcPr>
            <w:tcW w:w="72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10 % </w:t>
            </w:r>
            <w:r>
              <w:rPr>
                <w:rFonts w:ascii="Arial" w:cs="Arial" w:eastAsia="Arial" w:hAnsi="Arial"/>
                <w:sz w:val="27"/>
                <w:szCs w:val="27"/>
                <w:color w:val="auto"/>
                <w:vertAlign w:val="superscript"/>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20"/>
                <w:szCs w:val="20"/>
                <w:color w:val="auto"/>
              </w:rPr>
            </w:pPr>
          </w:p>
        </w:tc>
        <w:tc>
          <w:tcPr>
            <w:tcW w:w="62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7 % </w:t>
            </w:r>
            <w:r>
              <w:rPr>
                <w:rFonts w:ascii="Arial" w:cs="Arial" w:eastAsia="Arial" w:hAnsi="Arial"/>
                <w:sz w:val="27"/>
                <w:szCs w:val="27"/>
                <w:color w:val="auto"/>
                <w:vertAlign w:val="superscript"/>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1.29</w:t>
            </w:r>
          </w:p>
        </w:tc>
        <w:tc>
          <w:tcPr>
            <w:tcW w:w="720" w:type="dxa"/>
            <w:vAlign w:val="bottom"/>
            <w:tcBorders>
              <w:bottom w:val="single" w:sz="8" w:color="CFF0FC"/>
            </w:tcBorders>
            <w:gridSpan w:val="2"/>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1.65</w:t>
            </w:r>
          </w:p>
        </w:tc>
        <w:tc>
          <w:tcPr>
            <w:tcW w:w="3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gridSpan w:val="2"/>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3.95</w:t>
            </w:r>
          </w:p>
        </w:tc>
        <w:tc>
          <w:tcPr>
            <w:tcW w:w="3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-3432810</wp:posOffset>
            </wp:positionV>
            <wp:extent cx="7132320" cy="5994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5994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71323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3168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290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3422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-24765</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-7620</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(Continuing Operations)</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Revenue for the three months ended September 30, 2023 was $2.2 billion, compared to $2.0 billion for the three months ended September 30, 2022, an increase of $213 million, or 11%, on an as-reported basis. Adjusting for the impacts of foreign currency and acquisitions and disposals, our organic revenue growth was 9% for the three months ended September 30, 2023. Revenue for the nine months ended September 30, 2023 was $6.6 billion, compared to $6.1 billion for the nine months ended September 30, 2022, an increase of $425 million, or 7%, on an as-reported basis. Adjusting for the impacts of foreign currency and acquisitions and disposals, our organic revenue growth was 8% for the nine months ended September 30, 2023. The increases in both as-reported and organic revenue were driven by strong performances in both segments as well as the recognition of higher interest income, on a year-to-date basis, that is not allocated to the segments.</w:t>
      </w:r>
    </w:p>
    <w:p>
      <w:pPr>
        <w:spacing w:after="0" w:line="12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revenue can be materially impacted by changes in currency conversions, which can fluctuate significantly over the course of a calendar year. For the three months ended September 30, 2023, currency translation increased our consolidated revenue by $32 million. The primary currencies driving this change were the Euro and Pound Sterling. For the nine months ended September 30, 2023, currency translation decreased our consolidated revenue by $40 million. The primary currencies driving this change were the Argentine Peso, Canadian Dollar and Pound Sterling.</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following table details our top five markets based on the percentage of consolidated revenue (in U.S. dollars) from the countries where work was performed for the nine months ended September 30, 2023. These figures do not represent the currency of the related revenue, which is presented in the next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Region</w:t>
            </w:r>
          </w:p>
        </w:tc>
        <w:tc>
          <w:tcPr>
            <w:tcW w:w="5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 of Revenue</w:t>
            </w:r>
          </w:p>
        </w:tc>
        <w:tc>
          <w:tcPr>
            <w:tcW w:w="60" w:type="dxa"/>
            <w:vAlign w:val="bottom"/>
          </w:tcPr>
          <w:p>
            <w:pPr>
              <w:spacing w:after="0"/>
              <w:rPr>
                <w:sz w:val="16"/>
                <w:szCs w:val="16"/>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242"/>
        </w:trPr>
        <w:tc>
          <w:tcPr>
            <w:tcW w:w="33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7920" w:type="dxa"/>
            <w:vAlign w:val="bottom"/>
            <w:gridSpan w:val="4"/>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France</w:t>
            </w:r>
          </w:p>
        </w:tc>
        <w:tc>
          <w:tcPr>
            <w:tcW w:w="7920" w:type="dxa"/>
            <w:vAlign w:val="bottom"/>
            <w:gridSpan w:val="4"/>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Canada</w:t>
            </w:r>
          </w:p>
        </w:tc>
        <w:tc>
          <w:tcPr>
            <w:tcW w:w="7920" w:type="dxa"/>
            <w:vAlign w:val="bottom"/>
            <w:gridSpan w:val="4"/>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Germany</w:t>
            </w:r>
          </w:p>
        </w:tc>
        <w:tc>
          <w:tcPr>
            <w:tcW w:w="7920" w:type="dxa"/>
            <w:vAlign w:val="bottom"/>
            <w:gridSpan w:val="4"/>
          </w:tcPr>
          <w:p>
            <w:pPr>
              <w:jc w:val="right"/>
              <w:spacing w:after="0"/>
              <w:rPr>
                <w:sz w:val="20"/>
                <w:szCs w:val="20"/>
                <w:color w:val="auto"/>
              </w:rPr>
            </w:pPr>
            <w:r>
              <w:rPr>
                <w:rFonts w:ascii="Arial" w:cs="Arial" w:eastAsia="Arial" w:hAnsi="Arial"/>
                <w:sz w:val="18"/>
                <w:szCs w:val="18"/>
                <w:color w:val="auto"/>
              </w:rPr>
              <w:t>3 %</w:t>
            </w:r>
          </w:p>
        </w:tc>
      </w:tr>
      <w:tr>
        <w:trPr>
          <w:trHeight w:val="620"/>
        </w:trPr>
        <w:tc>
          <w:tcPr>
            <w:tcW w:w="3380" w:type="dxa"/>
            <w:vAlign w:val="bottom"/>
          </w:tcPr>
          <w:p>
            <w:pPr>
              <w:spacing w:after="0"/>
              <w:rPr>
                <w:sz w:val="24"/>
                <w:szCs w:val="24"/>
                <w:color w:val="auto"/>
              </w:rPr>
            </w:pPr>
          </w:p>
        </w:tc>
        <w:tc>
          <w:tcPr>
            <w:tcW w:w="5600" w:type="dxa"/>
            <w:vAlign w:val="bottom"/>
          </w:tcPr>
          <w:p>
            <w:pPr>
              <w:jc w:val="right"/>
              <w:ind w:right="317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9"/>
                <w:szCs w:val="9"/>
                <w:color w:val="auto"/>
              </w:rPr>
            </w:pPr>
          </w:p>
        </w:tc>
        <w:tc>
          <w:tcPr>
            <w:tcW w:w="5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-1240790</wp:posOffset>
            </wp:positionV>
            <wp:extent cx="7132320"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-932815</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99" w:right="239" w:bottom="1440" w:gutter="0" w:footer="0" w:header="0"/>
        </w:sectPr>
      </w:pPr>
    </w:p>
    <w:bookmarkStart w:id="32" w:name="page33"/>
    <w:bookmarkEnd w:id="32"/>
    <w:p>
      <w:pPr>
        <w:ind w:right="180"/>
        <w:spacing w:after="0" w:line="277" w:lineRule="auto"/>
        <w:rPr>
          <w:sz w:val="20"/>
          <w:szCs w:val="20"/>
          <w:color w:val="auto"/>
        </w:rPr>
      </w:pPr>
      <w:r>
        <w:rPr>
          <w:rFonts w:ascii="Arial" w:cs="Arial" w:eastAsia="Arial" w:hAnsi="Arial"/>
          <w:sz w:val="18"/>
          <w:szCs w:val="18"/>
          <w:color w:val="auto"/>
        </w:rPr>
        <w:t>The table below details the approximate percentage of our revenue and expenses from continuing operations by transactional currency for the nine months ended September 30,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Transactional Currency</w:t>
            </w:r>
          </w:p>
        </w:tc>
        <w:tc>
          <w:tcPr>
            <w:tcW w:w="140" w:type="dxa"/>
            <w:vAlign w:val="bottom"/>
          </w:tcPr>
          <w:p>
            <w:pPr>
              <w:spacing w:after="0"/>
              <w:rPr>
                <w:sz w:val="18"/>
                <w:szCs w:val="18"/>
                <w:color w:val="auto"/>
              </w:rPr>
            </w:pPr>
          </w:p>
        </w:tc>
        <w:tc>
          <w:tcPr>
            <w:tcW w:w="17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8"/>
                <w:szCs w:val="18"/>
                <w:color w:val="auto"/>
              </w:rPr>
            </w:pPr>
          </w:p>
        </w:tc>
        <w:tc>
          <w:tcPr>
            <w:tcW w:w="17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9"/>
                <w:szCs w:val="19"/>
                <w:b w:val="1"/>
                <w:bCs w:val="1"/>
                <w:color w:val="auto"/>
                <w:vertAlign w:val="superscript"/>
              </w:rPr>
              <w:t>(i)</w:t>
            </w:r>
          </w:p>
        </w:tc>
        <w:tc>
          <w:tcPr>
            <w:tcW w:w="60" w:type="dxa"/>
            <w:vAlign w:val="bottom"/>
          </w:tcPr>
          <w:p>
            <w:pPr>
              <w:spacing w:after="0"/>
              <w:rPr>
                <w:sz w:val="18"/>
                <w:szCs w:val="18"/>
                <w:color w:val="auto"/>
              </w:rPr>
            </w:pPr>
          </w:p>
        </w:tc>
      </w:tr>
      <w:tr>
        <w:trPr>
          <w:trHeight w:val="224"/>
        </w:trPr>
        <w:tc>
          <w:tcPr>
            <w:tcW w:w="748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4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57 %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53 %</w:t>
            </w:r>
          </w:p>
        </w:tc>
      </w:tr>
      <w:tr>
        <w:trPr>
          <w:trHeight w:val="242"/>
        </w:trPr>
        <w:tc>
          <w:tcPr>
            <w:tcW w:w="7480" w:type="dxa"/>
            <w:vAlign w:val="bottom"/>
          </w:tcPr>
          <w:p>
            <w:pPr>
              <w:ind w:left="20"/>
              <w:spacing w:after="0"/>
              <w:rPr>
                <w:sz w:val="20"/>
                <w:szCs w:val="20"/>
                <w:color w:val="auto"/>
              </w:rPr>
            </w:pPr>
            <w:r>
              <w:rPr>
                <w:rFonts w:ascii="Arial" w:cs="Arial" w:eastAsia="Arial" w:hAnsi="Arial"/>
                <w:sz w:val="18"/>
                <w:szCs w:val="18"/>
                <w:color w:val="auto"/>
              </w:rPr>
              <w:t>Pounds sterling</w:t>
            </w:r>
          </w:p>
        </w:tc>
        <w:tc>
          <w:tcPr>
            <w:tcW w:w="2020" w:type="dxa"/>
            <w:vAlign w:val="bottom"/>
            <w:gridSpan w:val="3"/>
          </w:tcPr>
          <w:p>
            <w:pPr>
              <w:jc w:val="right"/>
              <w:ind w:right="80"/>
              <w:spacing w:after="0"/>
              <w:rPr>
                <w:sz w:val="20"/>
                <w:szCs w:val="20"/>
                <w:color w:val="auto"/>
              </w:rPr>
            </w:pPr>
            <w:r>
              <w:rPr>
                <w:rFonts w:ascii="Arial" w:cs="Arial" w:eastAsia="Arial" w:hAnsi="Arial"/>
                <w:sz w:val="18"/>
                <w:szCs w:val="18"/>
                <w:color w:val="auto"/>
              </w:rPr>
              <w:t>12 %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Euro</w:t>
            </w:r>
          </w:p>
        </w:tc>
        <w:tc>
          <w:tcPr>
            <w:tcW w:w="2020" w:type="dxa"/>
            <w:vAlign w:val="bottom"/>
            <w:gridSpan w:val="3"/>
          </w:tcPr>
          <w:p>
            <w:pPr>
              <w:jc w:val="right"/>
              <w:ind w:right="80"/>
              <w:spacing w:after="0"/>
              <w:rPr>
                <w:sz w:val="20"/>
                <w:szCs w:val="20"/>
                <w:color w:val="auto"/>
              </w:rPr>
            </w:pPr>
            <w:r>
              <w:rPr>
                <w:rFonts w:ascii="Arial" w:cs="Arial" w:eastAsia="Arial" w:hAnsi="Arial"/>
                <w:sz w:val="18"/>
                <w:szCs w:val="18"/>
                <w:color w:val="auto"/>
              </w:rPr>
              <w:t>15 %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Other currencies</w:t>
            </w:r>
          </w:p>
        </w:tc>
        <w:tc>
          <w:tcPr>
            <w:tcW w:w="2020" w:type="dxa"/>
            <w:vAlign w:val="bottom"/>
            <w:gridSpan w:val="3"/>
          </w:tcPr>
          <w:p>
            <w:pPr>
              <w:jc w:val="right"/>
              <w:ind w:right="80"/>
              <w:spacing w:after="0"/>
              <w:rPr>
                <w:sz w:val="20"/>
                <w:szCs w:val="20"/>
                <w:color w:val="auto"/>
              </w:rPr>
            </w:pPr>
            <w:r>
              <w:rPr>
                <w:rFonts w:ascii="Arial" w:cs="Arial" w:eastAsia="Arial" w:hAnsi="Arial"/>
                <w:sz w:val="18"/>
                <w:szCs w:val="18"/>
                <w:color w:val="auto"/>
              </w:rPr>
              <w:t>16 %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90" w:lineRule="exact"/>
        <w:rPr>
          <w:sz w:val="20"/>
          <w:szCs w:val="20"/>
          <w:color w:val="auto"/>
        </w:rPr>
      </w:pPr>
    </w:p>
    <w:p>
      <w:pPr>
        <w:ind w:left="280" w:right="160" w:hanging="272"/>
        <w:spacing w:after="0" w:line="252" w:lineRule="auto"/>
        <w:tabs>
          <w:tab w:leader="none" w:pos="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w:t>
      </w:r>
    </w:p>
    <w:p>
      <w:pPr>
        <w:spacing w:after="0" w:line="1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following tables set forth the total revenue for the three and nine months ended September 30, 2023 and 2022 and the components of the changes in total revenue for the three and nine months ended September 30, 2023, as compared to the prior year periods. The components of the revenue change may not add due to rounding.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4"/>
            <w:vMerge w:val="restart"/>
          </w:tcPr>
          <w:p>
            <w:pPr>
              <w:jc w:val="right"/>
              <w:ind w:right="439"/>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74"/>
              </w:rPr>
              <w:t>millions)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2,166</w:t>
            </w:r>
          </w:p>
        </w:tc>
        <w:tc>
          <w:tcPr>
            <w:tcW w:w="5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1,953</w:t>
            </w:r>
          </w:p>
        </w:tc>
        <w:tc>
          <w:tcPr>
            <w:tcW w:w="126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24"/>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w:t>
            </w:r>
          </w:p>
        </w:tc>
        <w:tc>
          <w:tcPr>
            <w:tcW w:w="11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371"/>
        </w:trPr>
        <w:tc>
          <w:tcPr>
            <w:tcW w:w="19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4"/>
            <w:vMerge w:val="restart"/>
          </w:tcPr>
          <w:p>
            <w:pPr>
              <w:jc w:val="right"/>
              <w:ind w:right="479"/>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74"/>
              </w:rPr>
              <w:t>millions)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6,569</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6,144</w:t>
            </w:r>
          </w:p>
        </w:tc>
        <w:tc>
          <w:tcPr>
            <w:tcW w:w="1260" w:type="dxa"/>
            <w:vAlign w:val="bottom"/>
            <w:tcBorders>
              <w:bottom w:val="single" w:sz="8" w:color="CFF0FC"/>
            </w:tcBorders>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64"/>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8%</w:t>
            </w:r>
          </w:p>
        </w:tc>
        <w:tc>
          <w:tcPr>
            <w:tcW w:w="1260" w:type="dxa"/>
            <w:vAlign w:val="bottom"/>
            <w:tcBorders>
              <w:bottom w:val="single" w:sz="8" w:color="CFF0FC"/>
            </w:tcBorders>
            <w:gridSpan w:val="2"/>
            <w:shd w:val="clear" w:color="auto" w:fill="CFF0FC"/>
          </w:tcPr>
          <w:p>
            <w:pPr>
              <w:jc w:val="right"/>
              <w:ind w:right="326"/>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-932815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-915670</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-932815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-915670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Definitions of Constant Currency Change and Organic Change are included under the section entitled ‘Non-GAAP Financial Measures’ elsewhere within Item 2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segment descriptions below should be read in conjunction with the full descriptions of our businesses contained in Part I, Item 1. ‘Business’, within our Annual Report on Form 10-K, filed with the SEC on February 24, 2023.</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Segment revenue excludes amounts that were directly incurred on behalf of our clients and reimbursed by them (reimbursed expenses); however, these amounts are included in consolidated revenue, as permitted by applicable accounting standards and SEC rules.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experiences seasonal fluctuations in its revenue. Revenue is typically higher during the Company’s first and fourth quarters due primarily to the timing of broking-related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each table presented below, the components of the revenue change may not add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Wealth &amp; Career</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HWC revenue for the three months ended September 30, 2023 and 2022 and the components of the change in revenue for the three months ended September 30, 2023 from the three months ended September 30,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4"/>
            <w:vMerge w:val="restart"/>
          </w:tcPr>
          <w:p>
            <w:pPr>
              <w:jc w:val="right"/>
              <w:ind w:right="439"/>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4"/>
              <w:spacing w:after="0"/>
              <w:rPr>
                <w:sz w:val="20"/>
                <w:szCs w:val="20"/>
                <w:color w:val="auto"/>
              </w:rPr>
            </w:pPr>
            <w:r>
              <w:rPr>
                <w:rFonts w:ascii="Arial" w:cs="Arial" w:eastAsia="Arial" w:hAnsi="Arial"/>
                <w:sz w:val="14"/>
                <w:szCs w:val="14"/>
                <w:b w:val="1"/>
                <w:bCs w:val="1"/>
                <w:color w:val="auto"/>
              </w:rPr>
              <w:t>($ in</w:t>
            </w:r>
          </w:p>
        </w:tc>
        <w:tc>
          <w:tcPr>
            <w:tcW w:w="5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w w:val="74"/>
              </w:rPr>
              <w:t>millions)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1,282</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1,162</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2%</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587"/>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gridSpan w:val="2"/>
          </w:tcPr>
          <w:p>
            <w:pPr>
              <w:jc w:val="right"/>
              <w:ind w:right="50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-495935</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-478790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-658495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-495935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-478790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-1009650</wp:posOffset>
            </wp:positionV>
            <wp:extent cx="68580" cy="3594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35941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33" w:name="page34"/>
    <w:bookmarkEnd w:id="33"/>
    <w:p>
      <w:pPr>
        <w:ind w:right="40"/>
        <w:spacing w:after="0" w:line="291" w:lineRule="auto"/>
        <w:rPr>
          <w:sz w:val="20"/>
          <w:szCs w:val="20"/>
          <w:color w:val="auto"/>
        </w:rPr>
      </w:pPr>
      <w:r>
        <w:rPr>
          <w:rFonts w:ascii="Arial" w:cs="Arial" w:eastAsia="Arial" w:hAnsi="Arial"/>
          <w:sz w:val="16"/>
          <w:szCs w:val="16"/>
          <w:color w:val="auto"/>
        </w:rPr>
        <w:t>HWC segment revenue for the three months ended September 30, 2023 and 2022 was $1.3 billion and $1.2 billion, respectively. Organic growth was led by Benefits Delivery &amp; Outsourcing, driven by new clients and increased compliance and other project activity in Outsourcing and growth from higher volumes and placements of Life and Medicare Advantage in Individual Marketplace. Our Wealth businesses generated organic revenue growth from higher levels of Retirement work in North America and Europe, along with new client acquisitions and higher fees in Investments. Organic revenue growth in Health was driven by the continued expansion of our Global Benefits Management client portfolio, new local clients, expanding consulting work for existing clients and increased brokerage income. Career had organic revenue growth from increased compensation survey sales, executive compensation and other reward-based advisory services, including pay transparency work and change communication services.</w:t>
      </w:r>
    </w:p>
    <w:p>
      <w:pPr>
        <w:spacing w:after="0" w:line="1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sets forth HWC segment revenue for the nine months ended September 30, 2023 and 2022 and the components of the change in revenue for the nine months ended September 30, 2023 from the nine months ended September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4"/>
            <w:vMerge w:val="restart"/>
          </w:tcPr>
          <w:p>
            <w:pPr>
              <w:jc w:val="right"/>
              <w:ind w:right="479"/>
              <w:spacing w:after="0"/>
              <w:rPr>
                <w:sz w:val="20"/>
                <w:szCs w:val="20"/>
                <w:color w:val="auto"/>
              </w:rPr>
            </w:pPr>
            <w:r>
              <w:rPr>
                <w:rFonts w:ascii="Arial" w:cs="Arial" w:eastAsia="Arial" w:hAnsi="Arial"/>
                <w:sz w:val="14"/>
                <w:szCs w:val="14"/>
                <w:b w:val="1"/>
                <w:bCs w:val="1"/>
                <w:color w:val="auto"/>
                <w:w w:val="98"/>
              </w:rPr>
              <w:t>Nine Months Ended September 30,</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84"/>
              <w:spacing w:after="0"/>
              <w:rPr>
                <w:sz w:val="20"/>
                <w:szCs w:val="20"/>
                <w:color w:val="auto"/>
              </w:rPr>
            </w:pPr>
            <w:r>
              <w:rPr>
                <w:rFonts w:ascii="Arial" w:cs="Arial" w:eastAsia="Arial" w:hAnsi="Arial"/>
                <w:sz w:val="14"/>
                <w:szCs w:val="14"/>
                <w:b w:val="1"/>
                <w:bCs w:val="1"/>
                <w:color w:val="auto"/>
              </w:rPr>
              <w:t>($ in</w:t>
            </w:r>
          </w:p>
        </w:tc>
        <w:tc>
          <w:tcPr>
            <w:tcW w:w="5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w w:val="74"/>
              </w:rPr>
              <w:t>millions)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3,784</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3,565</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6%</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-24765</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-7620</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-187960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-538480</wp:posOffset>
            </wp:positionV>
            <wp:extent cx="68580" cy="3594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359410"/>
                    </a:xfrm>
                    <a:prstGeom prst="rect">
                      <a:avLst/>
                    </a:prstGeom>
                    <a:noFill/>
                  </pic:spPr>
                </pic:pic>
              </a:graphicData>
            </a:graphic>
          </wp:anchor>
        </w:drawing>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HWC segment revenue for the nine months ended September 30, 2023 and 2022 was $3.8 billion and $3.6 billion, respectively. Organic growth was led by Benefits Delivery &amp; Outsourcing, driven by higher volumes and placements of Medicare Advantage and Life policies in Individual Marketplace and increased project activity in Outsourcing. Our Wealth businesses generated organic revenue growth from higher levels of Retirement work in North America and Europe, along with new client acquisitions and higher fees in Investments. Health had organic revenue growth driven by the continued expansion of our client portfolio, expanded consulting work and increased brokerage income. Career had organic revenue growth from increased compensation survey sales and executive compensation and other reward-based advisory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&amp; Broking</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R&amp;B revenue for the three months ended September 30, 2023 and 2022 and the components of the change in revenue for the three months ended September 30, 2023 from the three months ended September 30,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680" w:type="dxa"/>
            <w:vAlign w:val="bottom"/>
            <w:tcBorders>
              <w:bottom w:val="single" w:sz="8" w:color="auto"/>
            </w:tcBorders>
            <w:gridSpan w:val="4"/>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 in</w:t>
            </w:r>
          </w:p>
        </w:tc>
        <w:tc>
          <w:tcPr>
            <w:tcW w:w="1160" w:type="dxa"/>
            <w:vAlign w:val="bottom"/>
            <w:gridSpan w:val="2"/>
          </w:tcPr>
          <w:p>
            <w:pPr>
              <w:jc w:val="right"/>
              <w:ind w:right="659"/>
              <w:spacing w:after="0"/>
              <w:rPr>
                <w:sz w:val="20"/>
                <w:szCs w:val="20"/>
                <w:color w:val="auto"/>
              </w:rPr>
            </w:pPr>
            <w:r>
              <w:rPr>
                <w:rFonts w:ascii="Arial" w:cs="Arial" w:eastAsia="Arial" w:hAnsi="Arial"/>
                <w:sz w:val="13"/>
                <w:szCs w:val="13"/>
                <w:b w:val="1"/>
                <w:bCs w:val="1"/>
                <w:color w:val="auto"/>
                <w:w w:val="74"/>
              </w:rPr>
              <w:t>millions)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96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765</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8"/>
              </w:rPr>
              <w:t>12%</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2%</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8"/>
              </w:rPr>
              <w:t>10%</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-24765</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-7620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-187960</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-538480</wp:posOffset>
            </wp:positionV>
            <wp:extent cx="68580" cy="3594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359410"/>
                    </a:xfrm>
                    <a:prstGeom prst="rect">
                      <a:avLst/>
                    </a:prstGeom>
                    <a:noFill/>
                  </pic:spPr>
                </pic:pic>
              </a:graphicData>
            </a:graphic>
          </wp:anchor>
        </w:drawing>
      </w:r>
    </w:p>
    <w:p>
      <w:pPr>
        <w:spacing w:after="0" w:line="18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R&amp;B segment revenue for the three months ended September 30, 2023 and 2022 was $855 million and $765 million, respectively. Corporate Risk &amp; Broking generated solid organic revenue growth driven by strong new business, improved client retention and rate increases. Insurance Consulting and Technology had organic revenue growth from software sales and increased project revenue.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The following table sets forth R&amp;B segment revenue for the nine months ended September 30, 2023 and 2022 and the components of the change in revenue for the nine months ended September 30, 2023 from the nine months ended September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4"/>
            <w:vMerge w:val="restart"/>
          </w:tcPr>
          <w:p>
            <w:pPr>
              <w:jc w:val="right"/>
              <w:ind w:right="479"/>
              <w:spacing w:after="0"/>
              <w:rPr>
                <w:sz w:val="20"/>
                <w:szCs w:val="20"/>
                <w:color w:val="auto"/>
              </w:rPr>
            </w:pPr>
            <w:r>
              <w:rPr>
                <w:rFonts w:ascii="Arial" w:cs="Arial" w:eastAsia="Arial" w:hAnsi="Arial"/>
                <w:sz w:val="14"/>
                <w:szCs w:val="14"/>
                <w:b w:val="1"/>
                <w:bCs w:val="1"/>
                <w:color w:val="auto"/>
                <w:w w:val="98"/>
              </w:rPr>
              <w:t>Nine Months Ended September 30,</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84"/>
              <w:spacing w:after="0"/>
              <w:rPr>
                <w:sz w:val="20"/>
                <w:szCs w:val="20"/>
                <w:color w:val="auto"/>
              </w:rPr>
            </w:pPr>
            <w:r>
              <w:rPr>
                <w:rFonts w:ascii="Arial" w:cs="Arial" w:eastAsia="Arial" w:hAnsi="Arial"/>
                <w:sz w:val="14"/>
                <w:szCs w:val="14"/>
                <w:b w:val="1"/>
                <w:bCs w:val="1"/>
                <w:color w:val="auto"/>
              </w:rPr>
              <w:t>($ in</w:t>
            </w:r>
          </w:p>
        </w:tc>
        <w:tc>
          <w:tcPr>
            <w:tcW w:w="5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w w:val="74"/>
              </w:rPr>
              <w:t>millions)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2,659</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2,508</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6%</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(1)%</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7%</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4"/>
              </w:rPr>
              <w:t>(2)%</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-24765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-7620</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-187960</wp:posOffset>
            </wp:positionV>
            <wp:extent cx="768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-538480</wp:posOffset>
            </wp:positionV>
            <wp:extent cx="68580" cy="3594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359410"/>
                    </a:xfrm>
                    <a:prstGeom prst="rect">
                      <a:avLst/>
                    </a:prstGeom>
                    <a:noFill/>
                  </pic:spPr>
                </pic:pic>
              </a:graphicData>
            </a:graphic>
          </wp:anchor>
        </w:drawing>
      </w:r>
    </w:p>
    <w:p>
      <w:pPr>
        <w:spacing w:after="0" w:line="3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R&amp;B segment revenue for the nine months ended September 30, 2023 and 2022 was $2.7 billion and $2.5 billion, respectively. Despite significant pressure from headwinds from book-of-business settlement revenue in the comparable period, Corporate Risk &amp; Broking generated solid organic revenue growth driven by strong new business, improved client retention and rate increases. Insurance Consulting and Technology had organic revenue growth from software sales and increased project revenue.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Providing Services (Continuing Operations)</w:t>
      </w:r>
    </w:p>
    <w:p>
      <w:pPr>
        <w:spacing w:after="0" w:line="17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Total costs of providing services for the three months ended September 30, 2023 were $2.0 billion, compared to $1.8 billion for the three months ended September 30, 2022, an increase of $208 million, or 12%. Total costs of providing services for the nine months ended September 30, 2023 were $6.0 billion, compared to $5.7 billion for the nine months ended September 30, 2022, an increase of $309 million, or 5%. See the following discussion for further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Salaries and benefits for the three months ended September 30, 2023 were $1.4 billion, compared to $1.2 billion for the three months ended September 30, 2022, an increase of $134 million, or 11%. The increase in the current year is primarily due to higher salary expense and increased incentive and benefit costs for the period. Salaries and benefits, as a percentage of revenue, represented 63% for both the three months ended September 30, 2023 and 2022.</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Salaries and benefits for the nine months ended September 30, 2023 were $4.0 billion, compared to $3.8 billion for the nine months ended September 30, 2022, an increase of $217 million, or 6%. The increase in the current year is primarily due to higher salary expense and increased incentive and benefit costs for the period. Salaries and benefits, as a percentage of revenue, represented 61% and 62% for the nine months ended September 30, 2023 and 2022,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operating expenses for the three months ended September 30, 2023 were $396 million, compared to $384 million for the three months ended September 30, 2022, an increase of $12 million, or 3%. The increase was primarily due to higher professional service and marketing-related expenses for the current-year period as compared to the prior-year comparable period, and higher travel and entertainment costs as post-pandemic activity continued to increase, partially offset by lower external labor fees in the current-year period.</w:t>
      </w:r>
    </w:p>
    <w:p>
      <w:pPr>
        <w:spacing w:after="0" w:line="13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Other operating expenses for both the nine months ended September 30, 2023 and 2022 were $1.3 billion, an increase of $19 million. The increase was primarily due to higher professional service and marketing-related expenses for the current-year as compared to the prior-year comparable period, and higher travel and entertainment costs due to continued increasing post-pandemic activity, partially offset by the absence of the prior-year asset impairments incurred, mostly accounts receivables, related to Russian insurance contracts placed by U.K. brokers in the London market (see Note 3 — Acquisitions and Divestitures within Part I, Item 1 ‘Financial Statements’ in this Form 10-Q for additional information) and lower external labor fees in the current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Depreciation for both the three months ended September 30, 2023 and 2022 was $60 million. Depreciation for the nine months ended September 30, 2023 was $184 million, compared to $191 million for the nine months ended September 30, 2022, a decrease of $7 million, or 4%. The decrease for the nine months ended September 30, 2023 is primarily due to a lower depreciable base of assets resulting from business disposals over the last two years and a lower dollar value of assets placed in service during the past few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Amortization for the three months ended September 30, 2023 was $62 million, compared to $71 million for the three months ended September 30, 2022, a decrease of $9 million, or 13%. Amortization for the nine months ended September 30, 2023 was $203 million, compared to $239 million for the nine months ended September 30, 2022, a decrease of $36 million, or 15%. Our intangible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ind w:right="520"/>
        <w:spacing w:after="0" w:line="277" w:lineRule="auto"/>
        <w:rPr>
          <w:sz w:val="20"/>
          <w:szCs w:val="20"/>
          <w:color w:val="auto"/>
        </w:rPr>
      </w:pPr>
      <w:r>
        <w:rPr>
          <w:rFonts w:ascii="Arial" w:cs="Arial" w:eastAsia="Arial" w:hAnsi="Arial"/>
          <w:sz w:val="18"/>
          <w:szCs w:val="18"/>
          <w:color w:val="auto"/>
        </w:rPr>
        <w:t>amortization is generally more heavily weighted to the initial years of the useful lives of the related intangibles, and therefore amortization related to intangible assets will continue to decrease over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Restructuring costs for the three months ended September 30, 2023 were $17 million, compared to $9 million for the three months ended September 30, 2022. Restructuring costs for the nine months ended September 30, 2023 were $30 million, compared to $71 million for the nine months ended September 30, 2022. Restructuring costs in both the current-year and prior-year periods primarily related to the real estate rationalization component of the Transformation program commenced by the Company during the fourth quarter of 2021 (see ‘Transformation Program’ within this Part I, Item 2 and Note 6 — Restructuring Costs within Part I, Item 1 ‘Financial Statements’ of this Quarterly Report on Form 10-Q).</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Transformation</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Transaction and transformation for the three months ended September 30, 2023 were $113 million, compared to $50 million for the three months ended September 30, 2022, an increase of $63 million. Transaction and transformation for the nine months ended September 30, 2023 were $265 million, compared to $108 million for the nine months ended September 30, 2022, an increase of $157 million. Transaction and transformation costs for the current year were higher primarily due to increased consulting and compensation costs related to our Transformation program (see ‘Transformation Program’ within this Part I, Item 2) incurred in the current-year periods as compared to the prior-year comparable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operations for the three months ended September 30, 2023 was $159 million, compared to $154 million for the three months ended September 30, 2022, an increase of $5 million. This increase resulted primarily from higher revenue, partially offset by higher salary expense and incentive and benefit costs, increased transaction and transformation costs, and higher professional service and marketing-related expenses in the current-year period as compared to the prior-year period.</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Income from operations for the nine months ended September 30, 2023 was $586 million, compared to $470 million for the nine months ended September 30, 2022, an increase of $116 million. This increase resulted primarily from higher revenue, the absence of the prior-year’s asset impairment expense discussed above, and lower restructuring costs in the current year, partially offset by higher salary expense and incentive and benefit costs, increased transaction and transformation costs, higher professional service and marketing-related expenses, and increased travel and entertainment costs in the current-year period as compared to the prior-year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expense for the three months ended September 30, 2023 was $61 million, compared to $54 million for the three months ended September 30, 2022, an increase of $7 million, or 13%. Interest expense for the nine months ended September 30, 2023 was $172 million as compared to $154 million for the nine months ended September 30, 2022, an increase of $18 million, or 12%. These increases were primarily the result of higher levels of indebtedness in the current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Other income, net for the three months ended September 30, 2023 was $66 million, compared to $85 million for the three months ended September 30, 2022, a decrease of $19 million. Other income, net for the nine months ended September 30, 2023 was $126 million, compared to $205 million for the nine months ended September 30, 2022, a decrease of $79 million. These decreases were mostly due to lower pension income, which was primarily attributable to higher interest costs resulting from higher assumed discount rates in the current year, partially offset by greater gains on disposals in the current year.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Provision for income taxes for the three months ended September 30, 2023 was $25 million, compared to $1 million for the three months ended September 30, 2022, an increase of $24 million. The effective tax rate was 15.5% for the three months ended September 30, 2023 and 0.7% for the three months ended September 30, 2022. Provision for income taxes for the nine months ended September 30, 2023 was $99 million, compared to $63 million for the nine months ended September 30, 2022, an increase of $36 million. The effective tax rate was 18.3% for the nine months ended September 30, 2023 and 12.1% for the nine months ended September 30, 2022. These effective tax rates are calculated using extended values from our condensed consolidated statements of comprehensive income and are therefore more precise tax rates than can be calculated from rounded values. The prior-year quarter effective tax rate was lower due to certain discrete tax benefits related to amending the Company’s U.S. federal and state tax returns in order to change certain elections available under the Coronavirus Aid, Relief, and Economic Security (‘CARES’) Act, and excess tax benefits on executive share-based compensation.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Income/(loss) from Discontinued Operations, Net of Tax</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from discontinued operations, net of tax for the three months ended September 30, 2022 was $8 million, and loss from discontinued operations, net of tax for the nine months ended September 30, 2022 was $27 million. The operations of our Willis Re business were reclassified to discontinued operations upon our entering into an agreement to sell the business during the third quarter of 2021 (see Note 3 – Acquisitions and Divestitures in Part I, Item 1 ‘Financial Statements’ in this Form 10-Q). Gains and losses from discontinued operations in the prior year were primarily attributable to the adjustments to the gain on disposal resulting from updating the purchase price and the operations of the deferred closing entities and run-off activity associated with the divestiture.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WTW</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income attributable to WTW for the three months ended September 30, 2023 was $136 million, compared to $190 million for the three months ended September 30, 2022, a decrease of $54 million, or 28%. This decrease resulted primarily from higher salary expense and incentive and benefit costs, increased transaction and transformation costs, higher professional service and marketing-related expenses and lower pension income in the current-year period, partially offset by higher revenue and gains on disposals in the current-year period.</w:t>
      </w:r>
    </w:p>
    <w:p>
      <w:pPr>
        <w:spacing w:after="0" w:line="1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income attributable to WTW for the nine months ended September 30, 2023 was $433 million, compared to $421 million for the nine months ended September 30, 2022, an increase of $12 million, or 3%. This increase resulted primarily from higher revenue, the absence of the prior-year’s asset impairment expense discussed above, lower restructuring costs, and higher gains on disposals in the current year, partially offset by higher salary expense and incentive and benefit costs, increased transaction and transformation costs, higher professional service and marketing-related expenses, higher travel and entertainment costs and lower pension income in the current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principal sources of liquidity are funds generated by operating activities, available cash and cash equivalents and amounts available under our revolving credit facilities and any new debt offerings.</w:t>
      </w:r>
    </w:p>
    <w:p>
      <w:pPr>
        <w:spacing w:after="0" w:line="1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There has been significant volatility in financial markets, including occasional declines in equity markets, inflation and changes in interest rates and reduced liquidity on a global basis. Specific to WTW, following the reduced spending driven by the COVID-19 pandemic, spending on travel and associated expenses began to increase in 2022, and this trend has continued in 2023 following the return to office for many companies which have increased in-person interactions.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and those related to our Transformation program, scheduled debt repayments, share repurchases and dividend payments. During the second quarter of 2023, we completed an offering of $750 million aggregate principal amount of 5.350% senior notes due 2033 and used the net proceeds during the current quarter to repay in full the $250 million aggregate principal amount and related accrued interest of 4.625% senior notes. The Company will use the remaining net proceeds for general corporate purposes. Additionally, during the nine months ended September 30, 2023 we repurchased $804 million of shares, with remaining authorization to repurchase an additional $1.5 billion.</w:t>
      </w:r>
    </w:p>
    <w:p>
      <w:pPr>
        <w:spacing w:after="0" w:line="110" w:lineRule="exact"/>
        <w:rPr>
          <w:sz w:val="20"/>
          <w:szCs w:val="20"/>
          <w:color w:val="auto"/>
        </w:rPr>
      </w:pPr>
    </w:p>
    <w:p>
      <w:pPr>
        <w:ind w:right="60"/>
        <w:spacing w:after="0" w:line="380" w:lineRule="auto"/>
        <w:rPr>
          <w:sz w:val="20"/>
          <w:szCs w:val="20"/>
          <w:color w:val="auto"/>
        </w:rPr>
      </w:pPr>
      <w:r>
        <w:rPr>
          <w:rFonts w:ascii="Arial" w:cs="Arial" w:eastAsia="Arial" w:hAnsi="Arial"/>
          <w:sz w:val="15"/>
          <w:szCs w:val="15"/>
          <w:color w:val="auto"/>
        </w:rPr>
        <w:t>From time to time, we will consider whether to repurchase shares based on many factors, including market and economic conditions, applicable legal requirements and other business considerations. The share repurchase program has no termination date and may be suspended or discontinued at any time.</w:t>
      </w:r>
    </w:p>
    <w:p>
      <w:pPr>
        <w:spacing w:after="0" w:line="4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Undistributed Earnings of Foreign Subsidiaries</w:t>
      </w:r>
    </w:p>
    <w:p>
      <w:pPr>
        <w:spacing w:after="0" w:line="17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1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37" w:name="page38"/>
    <w:bookmarkEnd w:id="37"/>
    <w:p>
      <w:pPr>
        <w:ind w:right="20"/>
        <w:spacing w:after="0" w:line="311" w:lineRule="auto"/>
        <w:rPr>
          <w:sz w:val="20"/>
          <w:szCs w:val="20"/>
          <w:color w:val="auto"/>
        </w:rPr>
      </w:pPr>
      <w:r>
        <w:rPr>
          <w:rFonts w:ascii="Arial" w:cs="Arial" w:eastAsia="Arial" w:hAnsi="Arial"/>
          <w:sz w:val="16"/>
          <w:szCs w:val="16"/>
          <w:color w:val="auto"/>
        </w:rPr>
        <w:t>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cash and cash equivalents at September 30, 2023 totaled $1.2 billion, compared to $1.3 billion at December 31, 2022, a decrease of $15 million. In addition to cash flows generated by our operations, the significant cash activities during the first nine months of 2023 included share repurchases of $804 million, dividend payments, capital expenditures, and net proceeds from debt of $488 million.</w:t>
      </w:r>
    </w:p>
    <w:p>
      <w:pPr>
        <w:spacing w:after="0" w:line="1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Additionally, we had all of the borrowing capacity available to draw against our $1.5 billion revolving credit facility at both September 30, 2023 and December 31, 2022.</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Included within cash and cash equivalents at September 30, 2023 and December 31, 2022 are amounts held for regulatory capital adequacy requirements, including $100 million and $99 million, respectively, held within our regulated U.K. entities.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Condensed Consolidated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summarized condensed consolidated cash flow information for the nine months ended September 30,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169"/>
        </w:trPr>
        <w:tc>
          <w:tcPr>
            <w:tcW w:w="79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r>
      <w:tr>
        <w:trPr>
          <w:trHeight w:val="169"/>
        </w:trPr>
        <w:tc>
          <w:tcPr>
            <w:tcW w:w="7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from/(used in):</w:t>
            </w:r>
          </w:p>
        </w:tc>
        <w:tc>
          <w:tcPr>
            <w:tcW w:w="9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823</w:t>
            </w: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437</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(1,030 )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(58 )</w:t>
            </w: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(728 )</w:t>
            </w: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(3,109 )</w:t>
            </w:r>
          </w:p>
        </w:tc>
      </w:tr>
      <w:tr>
        <w:trPr>
          <w:trHeight w:val="243"/>
        </w:trPr>
        <w:tc>
          <w:tcPr>
            <w:tcW w:w="79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DECREASE IN CASH, CASH EQUIVALENTS AND RESTRICTED CASH </w:t>
            </w:r>
            <w:r>
              <w:rPr>
                <w:rFonts w:ascii="Arial" w:cs="Arial" w:eastAsia="Arial" w:hAnsi="Arial"/>
                <w:sz w:val="24"/>
                <w:szCs w:val="24"/>
                <w:color w:val="auto"/>
                <w:vertAlign w:val="superscript"/>
              </w:rPr>
              <w:t>(i)</w:t>
            </w:r>
          </w:p>
        </w:tc>
        <w:tc>
          <w:tcPr>
            <w:tcW w:w="9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(2,730 )</w:t>
            </w: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(290 )</w:t>
            </w:r>
          </w:p>
        </w:tc>
      </w:tr>
      <w:tr>
        <w:trPr>
          <w:trHeight w:val="249"/>
        </w:trPr>
        <w:tc>
          <w:tcPr>
            <w:tcW w:w="7940" w:type="dxa"/>
            <w:vAlign w:val="bottom"/>
            <w:tcBorders>
              <w:bottom w:val="single" w:sz="8" w:color="CFF0FC"/>
            </w:tcBorders>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4"/>
                <w:szCs w:val="24"/>
                <w:color w:val="auto"/>
                <w:vertAlign w:val="superscript"/>
              </w:rPr>
              <w:t>(i)</w:t>
            </w:r>
          </w:p>
        </w:tc>
        <w:tc>
          <w:tcPr>
            <w:tcW w:w="9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4,721</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7,691</w:t>
            </w:r>
          </w:p>
        </w:tc>
      </w:tr>
      <w:tr>
        <w:trPr>
          <w:trHeight w:val="236"/>
        </w:trPr>
        <w:tc>
          <w:tcPr>
            <w:tcW w:w="7940" w:type="dxa"/>
            <w:vAlign w:val="bottom"/>
          </w:tcPr>
          <w:p>
            <w:pPr>
              <w:ind w:left="20"/>
              <w:spacing w:after="0" w:line="236"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4"/>
                <w:szCs w:val="24"/>
                <w:color w:val="auto"/>
                <w:vertAlign w:val="superscript"/>
              </w:rPr>
              <w:t>(i)</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3,732</w:t>
            </w: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4,671</w:t>
            </w:r>
          </w:p>
        </w:tc>
      </w:tr>
      <w:tr>
        <w:trPr>
          <w:trHeight w:val="20"/>
        </w:trPr>
        <w:tc>
          <w:tcPr>
            <w:tcW w:w="7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-187960</wp:posOffset>
            </wp:positionV>
            <wp:extent cx="102870" cy="1885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jc w:val="both"/>
        <w:ind w:left="280" w:right="160" w:hanging="272"/>
        <w:spacing w:after="0" w:line="256" w:lineRule="auto"/>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 Supplemental Disclosures of Cash Flow Information within Part I, Item I ‘Financial Statements’ within this Quarterly Report on Form 10-Q.</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operating activities were $823 million for the nine months ended September 30, 2023, compared to $437 million for the nine months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2022. The $823 million of net cash from operating activities for the nine months ended September 30, 2023 included net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$441 million and $484 million of favorable non-cash adjustments, partially offset by unfavorable changes in operating assets and liabilities of $102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increase in cash flows from operations as compared to the prior year was primarily due to the non-recurrence of prior-year headwinds, including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realized losses on foreign currency hedges, payments made in the prior year for certain discretionary compensation and taxes for one-time gains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Willis Re sale and the income receipt from the termination of the then-proposed Aon transaction. These prior-year cash flows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increased Transformation program-related costs in the current year.</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$437 million of net cash from operating activities for the nine months ended September 30, 2022 included net income of $431 million and $437 million of favorable non-cash adjustments, partially offset by unfavorable changes in operating assets and liabilities of $431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7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Cash flows used in investing activities for the nine months ended September 30, 2023 were $1.0 billion as compared to $58 million for the nine months ended September 30, 2022. The cash flows used in investing activities for the nine months ended September 30, 2023 consist primarily of cash and fiduciary funds of $922 million associated with the transfer to Gallagher under a new side letter to the Willis Re SAPA (see Note 3 — Acquisitions and Divestitures within Part I, Item 1 ‘Financial Statements’ in this Form 10-Q for additional information) and $182 million of capital expenditures and capitalized software additions. The cash flows used in investing activities in the prior-year period primarily include capital expenditures and capitalized software additions of $150 million,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ind w:right="380"/>
        <w:spacing w:after="0" w:line="437" w:lineRule="auto"/>
        <w:rPr>
          <w:sz w:val="20"/>
          <w:szCs w:val="20"/>
          <w:color w:val="auto"/>
        </w:rPr>
      </w:pPr>
      <w:r>
        <w:rPr>
          <w:rFonts w:ascii="Arial" w:cs="Arial" w:eastAsia="Arial" w:hAnsi="Arial"/>
          <w:sz w:val="18"/>
          <w:szCs w:val="18"/>
          <w:color w:val="auto"/>
        </w:rPr>
        <w:t xml:space="preserve">acquisitions of $80 million, and cash and fiduciary funds transferred on disposal of $29 million, partially offset by sales of investments of $200 million. </w:t>
      </w:r>
      <w:r>
        <w:rPr>
          <w:rFonts w:ascii="Arial" w:cs="Arial" w:eastAsia="Arial" w:hAnsi="Arial"/>
          <w:sz w:val="18"/>
          <w:szCs w:val="18"/>
          <w:b w:val="1"/>
          <w:bCs w:val="1"/>
          <w:i w:val="1"/>
          <w:iCs w:val="1"/>
          <w:color w:val="auto"/>
        </w:rPr>
        <w:t>Cash Flows Used In Financing Activities</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flows used in financing activities for the nine months ended September 30, 2023 were $728 million. The significant financing activities included share repurchases of $804 million, dividend payments of $265 million, and net payments from fiduciary funds held for clients of $71 million, partially offset by $488 million of net proceeds from issuance of debt.</w:t>
      </w:r>
    </w:p>
    <w:p>
      <w:pPr>
        <w:spacing w:after="0" w:line="1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color w:val="auto"/>
        </w:rPr>
        <w:t>Cash flows used in financing activities for the nine months ended September 30, 2022 were $3.1 billion. The significant financing activities included share repurchases of $3.1 billion, debt repayments of $590 million and dividend payments of $280 million, partially offset by $750 million of net proceeds from issuance of debt and $157 million of net proceeds from fiduciary funds held for clients.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Total debt, total equity, and the capitalization ratios at September 30, 2023 and December 31, 2022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7"/>
              <w:spacing w:after="0"/>
              <w:rPr>
                <w:sz w:val="20"/>
                <w:szCs w:val="20"/>
                <w:color w:val="auto"/>
              </w:rPr>
            </w:pPr>
            <w:r>
              <w:rPr>
                <w:rFonts w:ascii="Arial" w:cs="Arial" w:eastAsia="Arial" w:hAnsi="Arial"/>
                <w:sz w:val="14"/>
                <w:szCs w:val="14"/>
                <w:b w:val="1"/>
                <w:bCs w:val="1"/>
                <w:color w:val="auto"/>
              </w:rPr>
              <w:t>($ in</w:t>
            </w: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6"/>
              </w:rPr>
              <w:t>millions)</w:t>
            </w: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4,565</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4,471</w:t>
            </w:r>
          </w:p>
        </w:tc>
        <w:tc>
          <w:tcPr>
            <w:tcW w:w="60" w:type="dxa"/>
            <w:vAlign w:val="bottom"/>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5,214</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4,721</w:t>
            </w:r>
          </w:p>
        </w:tc>
        <w:tc>
          <w:tcPr>
            <w:tcW w:w="60" w:type="dxa"/>
            <w:vAlign w:val="bottom"/>
          </w:tcPr>
          <w:p>
            <w:pPr>
              <w:spacing w:after="0"/>
              <w:rPr>
                <w:sz w:val="24"/>
                <w:szCs w:val="24"/>
                <w:color w:val="auto"/>
              </w:rPr>
            </w:pPr>
          </w:p>
        </w:tc>
      </w:tr>
      <w:tr>
        <w:trPr>
          <w:trHeight w:val="229"/>
        </w:trPr>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WTW shareholders’ equity</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9,410</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10,016</w:t>
            </w:r>
          </w:p>
        </w:tc>
        <w:tc>
          <w:tcPr>
            <w:tcW w:w="60" w:type="dxa"/>
            <w:vAlign w:val="bottom"/>
          </w:tcPr>
          <w:p>
            <w:pPr>
              <w:spacing w:after="0"/>
              <w:rPr>
                <w:sz w:val="24"/>
                <w:szCs w:val="24"/>
                <w:color w:val="auto"/>
              </w:rPr>
            </w:pPr>
          </w:p>
        </w:tc>
      </w:tr>
      <w:tr>
        <w:trPr>
          <w:trHeight w:val="466"/>
        </w:trPr>
        <w:tc>
          <w:tcPr>
            <w:tcW w:w="7700" w:type="dxa"/>
            <w:vAlign w:val="bottom"/>
          </w:tcPr>
          <w:p>
            <w:pPr>
              <w:ind w:left="20"/>
              <w:spacing w:after="0"/>
              <w:rPr>
                <w:sz w:val="20"/>
                <w:szCs w:val="20"/>
                <w:color w:val="auto"/>
              </w:rPr>
            </w:pPr>
            <w:r>
              <w:rPr>
                <w:rFonts w:ascii="Arial" w:cs="Arial" w:eastAsia="Arial" w:hAnsi="Arial"/>
                <w:sz w:val="18"/>
                <w:szCs w:val="18"/>
                <w:color w:val="auto"/>
              </w:rPr>
              <w:t>Capitalization ratio</w:t>
            </w:r>
          </w:p>
        </w:tc>
        <w:tc>
          <w:tcPr>
            <w:tcW w:w="220" w:type="dxa"/>
            <w:vAlign w:val="bottom"/>
          </w:tcPr>
          <w:p>
            <w:pPr>
              <w:spacing w:after="0"/>
              <w:rPr>
                <w:sz w:val="24"/>
                <w:szCs w:val="24"/>
                <w:color w:val="auto"/>
              </w:rPr>
            </w:pPr>
          </w:p>
        </w:tc>
        <w:tc>
          <w:tcPr>
            <w:tcW w:w="1640" w:type="dxa"/>
            <w:vAlign w:val="bottom"/>
            <w:gridSpan w:val="2"/>
          </w:tcPr>
          <w:p>
            <w:pPr>
              <w:jc w:val="right"/>
              <w:ind w:right="48"/>
              <w:spacing w:after="0"/>
              <w:rPr>
                <w:sz w:val="20"/>
                <w:szCs w:val="20"/>
                <w:color w:val="auto"/>
              </w:rPr>
            </w:pPr>
            <w:r>
              <w:rPr>
                <w:rFonts w:ascii="Arial" w:cs="Arial" w:eastAsia="Arial" w:hAnsi="Arial"/>
                <w:sz w:val="18"/>
                <w:szCs w:val="18"/>
                <w:color w:val="auto"/>
              </w:rPr>
              <w:t>35.7 %</w:t>
            </w:r>
          </w:p>
        </w:tc>
        <w:tc>
          <w:tcPr>
            <w:tcW w:w="3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-692785</wp:posOffset>
            </wp:positionV>
            <wp:extent cx="111125" cy="1797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3594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359410"/>
                    </a:xfrm>
                    <a:prstGeom prst="rect">
                      <a:avLst/>
                    </a:prstGeom>
                    <a:noFill/>
                  </pic:spPr>
                </pic:pic>
              </a:graphicData>
            </a:graphic>
          </wp:anchor>
        </w:drawing>
      </w:r>
    </w:p>
    <w:p>
      <w:pPr>
        <w:spacing w:after="0" w:line="11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At September 30, 2023, our mandatory debt repayments over the next twelve months include $650 million outstanding on our 3.600% senior notes due 2024. For more information regarding our current and long-term debt, please see ‘Supplemental Guarantor Financial Information’ elsewhere within this Item 2 Management's Discussion and Analysis of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we were in compliance with all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Funds</w:t>
      </w:r>
    </w:p>
    <w:p>
      <w:pPr>
        <w:spacing w:after="0" w:line="17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At September 30, 2023 and December 31, 2022, we had fiduciary funds of $2.7 billion and $3.6 billion, respectively. At December 31, 2022, $945 million of these funds were attributable to the divested Willis Re business. All amounts have since been settled or transferred to Gallagher due to the termination of the co-broking agreement (see Note 3 — Acquisitions and Divestitures within Part I, Item 1 ‘Financial Statements’ of this Quarterly Report on Form 10-Q for further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1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on May 25, 2022, approved a $1.0 billion increase to the existing share repurchase program, and on</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3" w:right="279" w:bottom="1440" w:gutter="0" w:footer="0" w:header="0"/>
        </w:sectPr>
      </w:pPr>
    </w:p>
    <w:bookmarkStart w:id="39" w:name="page40"/>
    <w:bookmarkEnd w:id="39"/>
    <w:p>
      <w:pPr>
        <w:ind w:right="80"/>
        <w:spacing w:after="0" w:line="277" w:lineRule="auto"/>
        <w:rPr>
          <w:sz w:val="20"/>
          <w:szCs w:val="20"/>
          <w:color w:val="auto"/>
        </w:rPr>
      </w:pPr>
      <w:r>
        <w:rPr>
          <w:rFonts w:ascii="Arial" w:cs="Arial" w:eastAsia="Arial" w:hAnsi="Arial"/>
          <w:sz w:val="18"/>
          <w:szCs w:val="18"/>
          <w:color w:val="auto"/>
        </w:rPr>
        <w:t>September 20, 2023, approved a $1.0 billion increase to the existing share repurchase program. These increases brought the total approved authorization to $7.5 billion.</w:t>
      </w:r>
    </w:p>
    <w:p>
      <w:pPr>
        <w:spacing w:after="0" w:line="11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At September 30, 2023, approximately $1.5 billion remained on the current repurchase authority. The maximum number of shares that could be repurchased based on the closing price of our ordinary shares on September 30, 2023 of $208.96 was 7,362,692.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2023, the Company had the following share repurchase activity: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60" w:type="dxa"/>
            <w:vAlign w:val="bottom"/>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40" w:type="dxa"/>
            <w:vAlign w:val="bottom"/>
          </w:tcPr>
          <w:p>
            <w:pPr>
              <w:jc w:val="right"/>
              <w:ind w:right="119"/>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580" w:type="dxa"/>
            <w:vAlign w:val="bottom"/>
          </w:tcPr>
          <w:p>
            <w:pPr>
              <w:spacing w:after="0"/>
              <w:rPr>
                <w:sz w:val="16"/>
                <w:szCs w:val="16"/>
                <w:color w:val="auto"/>
              </w:rPr>
            </w:pPr>
          </w:p>
        </w:tc>
        <w:tc>
          <w:tcPr>
            <w:tcW w:w="18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September 30, 2023</w:t>
            </w:r>
          </w:p>
        </w:tc>
      </w:tr>
      <w:tr>
        <w:trPr>
          <w:trHeight w:val="23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repurchased</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1,681,385</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3,650,837</w:t>
            </w:r>
          </w:p>
        </w:tc>
      </w:tr>
      <w:tr>
        <w:trPr>
          <w:trHeight w:val="236"/>
        </w:trPr>
        <w:tc>
          <w:tcPr>
            <w:tcW w:w="7580" w:type="dxa"/>
            <w:vAlign w:val="bottom"/>
          </w:tcPr>
          <w:p>
            <w:pPr>
              <w:ind w:left="20"/>
              <w:spacing w:after="0"/>
              <w:rPr>
                <w:sz w:val="20"/>
                <w:szCs w:val="20"/>
                <w:color w:val="auto"/>
              </w:rPr>
            </w:pPr>
            <w:r>
              <w:rPr>
                <w:rFonts w:ascii="Arial" w:cs="Arial" w:eastAsia="Arial" w:hAnsi="Arial"/>
                <w:sz w:val="18"/>
                <w:szCs w:val="18"/>
                <w:color w:val="auto"/>
              </w:rPr>
              <w:t>Average price per share</w:t>
            </w:r>
          </w:p>
        </w:tc>
        <w:tc>
          <w:tcPr>
            <w:tcW w:w="1860" w:type="dxa"/>
            <w:vAlign w:val="bottom"/>
          </w:tcPr>
          <w:p>
            <w:pPr>
              <w:jc w:val="right"/>
              <w:spacing w:after="0"/>
              <w:rPr>
                <w:sz w:val="20"/>
                <w:szCs w:val="20"/>
                <w:color w:val="auto"/>
              </w:rPr>
            </w:pPr>
            <w:r>
              <w:rPr>
                <w:rFonts w:ascii="Arial" w:cs="Arial" w:eastAsia="Arial" w:hAnsi="Arial"/>
                <w:sz w:val="18"/>
                <w:szCs w:val="18"/>
                <w:color w:val="auto"/>
              </w:rPr>
              <w:t>$208.16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$220.26</w:t>
            </w: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repurchase cost (excluding broker costs)</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 million</w:t>
            </w: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 million</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Company’s capital expenditures for fixed assets and software for internal use were $116 million during the nine months ended September 30, 2023. The Company estimates that there will be additional such expenditures, which include those incurred under its Transformation program, in the range of $50 million to $70 million during the remainder of 2023. We currently expect cash from operations to adequately provide for these cash needs. There have been no material changes to our capital commitments since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cash dividends of $265 million were paid during the nine months ended September 30, 2023. In August 2023, the board of directors approved a quarterly cash dividend of $0.84 per share ($3.36 per share annualized rate), which was paid on October 16, 2023 to shareholders of record as of September 30,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WTW has issued the following debt securities (the ‘notes’):</w:t>
      </w:r>
    </w:p>
    <w:p>
      <w:pPr>
        <w:spacing w:after="0" w:line="117" w:lineRule="exact"/>
        <w:rPr>
          <w:sz w:val="20"/>
          <w:szCs w:val="20"/>
          <w:color w:val="auto"/>
        </w:rPr>
      </w:pPr>
    </w:p>
    <w:p>
      <w:pPr>
        <w:jc w:val="both"/>
        <w:ind w:left="760" w:right="100" w:hanging="378"/>
        <w:spacing w:after="0" w:line="286"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Willis North America Inc. (‘Willis North America’) has approximately $4.4 billion senior notes outstanding, of which $650 million were issued on May 16, 2017, $1.0 billion were issued on September 10, 2018, $1.0 billion were issued on September 10, 2019, $275 million were issued on May 29, 2020, $750 million were issued on May 19, 2022, and $750 million were issued on May 17, 2023; and</w:t>
      </w:r>
    </w:p>
    <w:p>
      <w:pPr>
        <w:spacing w:after="0" w:line="56" w:lineRule="exact"/>
        <w:rPr>
          <w:rFonts w:ascii="Arial" w:cs="Arial" w:eastAsia="Arial" w:hAnsi="Arial"/>
          <w:sz w:val="17"/>
          <w:szCs w:val="17"/>
          <w:color w:val="auto"/>
        </w:rPr>
      </w:pPr>
    </w:p>
    <w:p>
      <w:pPr>
        <w:ind w:left="760" w:right="80" w:hanging="378"/>
        <w:spacing w:after="0" w:line="307"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Trinity Acquisition plc has $825 million senior notes outstanding, of which $275 million were issued on August 15, 2013 and $550 million were issued on March 22, 2016, and a $1.5 billion revolving credit facility, on which no balance was outstanding at September 30, 2023.</w:t>
      </w:r>
    </w:p>
    <w:p>
      <w:pPr>
        <w:spacing w:after="0" w:line="9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following table presents a summary of the entities that issue each note and those wholly-owned subsidiaries of the Company that guarantee each respective note on a joint and several basis as of September 30, 2023. These subsidiaries are all consolidated by Willis Towers Watson plc (the ‘parent company’) and together with the parent company comprise the ‘Obligor group’.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Trinity Acquisition plc</w:t>
            </w:r>
          </w:p>
        </w:tc>
        <w:tc>
          <w:tcPr>
            <w:tcW w:w="2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Willis North America Inc.</w:t>
            </w:r>
          </w:p>
        </w:tc>
        <w:tc>
          <w:tcPr>
            <w:tcW w:w="0" w:type="dxa"/>
            <w:vAlign w:val="bottom"/>
          </w:tcPr>
          <w:p>
            <w:pPr>
              <w:spacing w:after="0"/>
              <w:rPr>
                <w:sz w:val="1"/>
                <w:szCs w:val="1"/>
                <w:color w:val="auto"/>
              </w:rPr>
            </w:pPr>
          </w:p>
        </w:tc>
      </w:tr>
      <w:tr>
        <w:trPr>
          <w:trHeight w:val="185"/>
        </w:trPr>
        <w:tc>
          <w:tcPr>
            <w:tcW w:w="73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3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Towers Watson plc</w:t>
            </w: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Trinity Acquisition plc</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Issuer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North America Inc.</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Issuer</w:t>
            </w:r>
          </w:p>
        </w:tc>
        <w:tc>
          <w:tcPr>
            <w:tcW w:w="0" w:type="dxa"/>
            <w:vAlign w:val="bottom"/>
          </w:tcPr>
          <w:p>
            <w:pPr>
              <w:spacing w:after="0"/>
              <w:rPr>
                <w:sz w:val="1"/>
                <w:szCs w:val="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Willis Netherlands Holdings B.V.</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Investment UK Holdings Limited</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TA I Limited</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Group Limited</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Willis Towers Watson Sub Holdings Unlimited Company</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Towers Watson UK Holdings Limited</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notes issued by Willis North America and Trinity Acquisition plc:</w:t>
      </w:r>
    </w:p>
    <w:p>
      <w:pPr>
        <w:spacing w:after="0" w:line="117"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 equally with all of the issuer’s existing and future unsubordinated and unsecured debt;</w:t>
      </w:r>
    </w:p>
    <w:p>
      <w:pPr>
        <w:spacing w:after="0" w:line="116"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 equally with the issuer’s guarantee of all of the existing senior debt of the Company and the other guarantors, including any debt under the Revolving Credit Facility;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senior in right of payment to all of the issuer’s future subordinated debt;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other subsidiaries of the parent company are non-guarantor subsidiaries (‘the non-guarantor subsidiaries’).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September 30, 2023 and December 31, 2022,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4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September 30, 2023 and December 31, 2022, the intercompany balances of the Obligor group with non-guarantor subsidiaries were net receivables of $1.0 billion and $600 million, respectively, and net payables of $11.2 billion and $10.2 billion,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certain summarized financial information for the Obligor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655"/>
              <w:spacing w:after="0"/>
              <w:rPr>
                <w:sz w:val="20"/>
                <w:szCs w:val="20"/>
                <w:color w:val="auto"/>
              </w:rPr>
            </w:pPr>
            <w:r>
              <w:rPr>
                <w:rFonts w:ascii="Arial" w:cs="Arial" w:eastAsia="Arial" w:hAnsi="Arial"/>
                <w:sz w:val="14"/>
                <w:szCs w:val="14"/>
                <w:b w:val="1"/>
                <w:bCs w:val="1"/>
                <w:color w:val="auto"/>
              </w:rPr>
              <w:t>As of</w:t>
            </w:r>
          </w:p>
        </w:tc>
      </w:tr>
      <w:tr>
        <w:trPr>
          <w:trHeight w:val="185"/>
        </w:trPr>
        <w:tc>
          <w:tcPr>
            <w:tcW w:w="7740" w:type="dxa"/>
            <w:vAlign w:val="bottom"/>
          </w:tcPr>
          <w:p>
            <w:pPr>
              <w:ind w:left="37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2023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3"/>
              </w:rPr>
              <w:t>December 31, 2022</w:t>
            </w:r>
          </w:p>
        </w:tc>
      </w:tr>
      <w:tr>
        <w:trPr>
          <w:trHeight w:val="169"/>
        </w:trPr>
        <w:tc>
          <w:tcPr>
            <w:tcW w:w="7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w:t>
            </w:r>
          </w:p>
        </w:tc>
        <w:tc>
          <w:tcPr>
            <w:tcW w:w="1840" w:type="dxa"/>
            <w:vAlign w:val="bottom"/>
            <w:gridSpan w:val="3"/>
          </w:tcPr>
          <w:p>
            <w:pPr>
              <w:jc w:val="right"/>
              <w:ind w:right="1355"/>
              <w:spacing w:after="0"/>
              <w:rPr>
                <w:sz w:val="20"/>
                <w:szCs w:val="20"/>
                <w:color w:val="auto"/>
              </w:rPr>
            </w:pPr>
            <w:r>
              <w:rPr>
                <w:rFonts w:ascii="Arial" w:cs="Arial" w:eastAsia="Arial" w:hAnsi="Arial"/>
                <w:sz w:val="13"/>
                <w:szCs w:val="13"/>
                <w:b w:val="1"/>
                <w:bCs w:val="1"/>
                <w:color w:val="auto"/>
                <w:w w:val="70"/>
              </w:rPr>
              <w:t>millions)</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243</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216</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685</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6,154</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6,916</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8,212</w:t>
            </w:r>
          </w:p>
        </w:tc>
      </w:tr>
      <w:tr>
        <w:trPr>
          <w:trHeight w:val="583"/>
        </w:trPr>
        <w:tc>
          <w:tcPr>
            <w:tcW w:w="7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r>
      <w:tr>
        <w:trPr>
          <w:trHeight w:val="169"/>
        </w:trPr>
        <w:tc>
          <w:tcPr>
            <w:tcW w:w="7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595"/>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1,093</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881</w:t>
            </w:r>
          </w:p>
        </w:tc>
      </w:tr>
      <w:tr>
        <w:trPr>
          <w:trHeight w:val="249"/>
        </w:trPr>
        <w:tc>
          <w:tcPr>
            <w:tcW w:w="774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Income from operations before income taxes </w:t>
            </w:r>
            <w:r>
              <w:rPr>
                <w:rFonts w:ascii="Arial" w:cs="Arial" w:eastAsia="Arial" w:hAnsi="Arial"/>
                <w:sz w:val="24"/>
                <w:szCs w:val="24"/>
                <w:color w:val="auto"/>
                <w:vertAlign w:val="superscript"/>
              </w:rPr>
              <w:t>(i)</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305</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434</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ind w:left="280" w:right="2120" w:hanging="5525"/>
        <w:spacing w:after="0" w:line="487" w:lineRule="auto"/>
        <w:tabs>
          <w:tab w:leader="none" w:pos="260" w:val="left"/>
        </w:tabs>
        <w:rPr>
          <w:sz w:val="20"/>
          <w:szCs w:val="20"/>
          <w:color w:val="auto"/>
        </w:rPr>
      </w:pPr>
      <w:r>
        <w:rPr>
          <w:rFonts w:ascii="Arial" w:cs="Arial" w:eastAsia="Arial" w:hAnsi="Arial"/>
          <w:sz w:val="14"/>
          <w:szCs w:val="14"/>
          <w:color w:val="auto"/>
        </w:rPr>
        <w:t>(i)</w:t>
        <w:tab/>
        <w:t xml:space="preserve">Includes intercompany expense, net of the Obligor group from non-guarantor subsidiaries of $222 million for the nine months ended September 30, 2023. </w:t>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Most Directly Comparable U.S. GAAP Measure</w:t>
            </w:r>
          </w:p>
        </w:tc>
        <w:tc>
          <w:tcPr>
            <w:tcW w:w="6340" w:type="dxa"/>
            <w:vAlign w:val="bottom"/>
          </w:tcPr>
          <w:p>
            <w:pPr>
              <w:ind w:left="860"/>
              <w:spacing w:after="0"/>
              <w:rPr>
                <w:sz w:val="20"/>
                <w:szCs w:val="20"/>
                <w:color w:val="auto"/>
              </w:rPr>
            </w:pPr>
            <w:r>
              <w:rPr>
                <w:rFonts w:ascii="Arial" w:cs="Arial" w:eastAsia="Arial" w:hAnsi="Arial"/>
                <w:sz w:val="18"/>
                <w:szCs w:val="18"/>
                <w:b w:val="1"/>
                <w:bCs w:val="1"/>
                <w:color w:val="auto"/>
              </w:rPr>
              <w:t>Non-GAAP Measure</w:t>
            </w: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reported change</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Constant currency change</w:t>
            </w: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As reported change</w:t>
            </w:r>
          </w:p>
        </w:tc>
        <w:tc>
          <w:tcPr>
            <w:tcW w:w="6340" w:type="dxa"/>
            <w:vAlign w:val="bottom"/>
          </w:tcPr>
          <w:p>
            <w:pPr>
              <w:ind w:left="860"/>
              <w:spacing w:after="0"/>
              <w:rPr>
                <w:sz w:val="20"/>
                <w:szCs w:val="20"/>
                <w:color w:val="auto"/>
              </w:rPr>
            </w:pPr>
            <w:r>
              <w:rPr>
                <w:rFonts w:ascii="Arial" w:cs="Arial" w:eastAsia="Arial" w:hAnsi="Arial"/>
                <w:sz w:val="18"/>
                <w:szCs w:val="18"/>
                <w:color w:val="auto"/>
              </w:rPr>
              <w:t>Organic change</w:t>
            </w: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operations/margin</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Adjusted operating income/margin</w:t>
            </w: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Net income/margin</w:t>
            </w:r>
          </w:p>
        </w:tc>
        <w:tc>
          <w:tcPr>
            <w:tcW w:w="6340" w:type="dxa"/>
            <w:vAlign w:val="bottom"/>
          </w:tcPr>
          <w:p>
            <w:pPr>
              <w:ind w:left="860"/>
              <w:spacing w:after="0"/>
              <w:rPr>
                <w:sz w:val="20"/>
                <w:szCs w:val="20"/>
                <w:color w:val="auto"/>
              </w:rPr>
            </w:pPr>
            <w:r>
              <w:rPr>
                <w:rFonts w:ascii="Arial" w:cs="Arial" w:eastAsia="Arial" w:hAnsi="Arial"/>
                <w:sz w:val="18"/>
                <w:szCs w:val="18"/>
                <w:color w:val="auto"/>
              </w:rPr>
              <w:t>Adjusted EBITDA/margin</w:t>
            </w: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Adjusted net income</w:t>
            </w: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6340" w:type="dxa"/>
            <w:vAlign w:val="bottom"/>
          </w:tcPr>
          <w:p>
            <w:pPr>
              <w:ind w:left="860"/>
              <w:spacing w:after="0"/>
              <w:rPr>
                <w:sz w:val="20"/>
                <w:szCs w:val="20"/>
                <w:color w:val="auto"/>
              </w:rPr>
            </w:pPr>
            <w:r>
              <w:rPr>
                <w:rFonts w:ascii="Arial" w:cs="Arial" w:eastAsia="Arial" w:hAnsi="Arial"/>
                <w:sz w:val="18"/>
                <w:szCs w:val="18"/>
                <w:color w:val="auto"/>
              </w:rPr>
              <w:t>Adjusted diluted earnings per share</w:t>
            </w: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Adjusted income before taxes</w:t>
            </w: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income taxes/U.S. GAAP tax rate</w:t>
            </w:r>
          </w:p>
        </w:tc>
        <w:tc>
          <w:tcPr>
            <w:tcW w:w="6340" w:type="dxa"/>
            <w:vAlign w:val="bottom"/>
          </w:tcPr>
          <w:p>
            <w:pPr>
              <w:ind w:left="860"/>
              <w:spacing w:after="0"/>
              <w:rPr>
                <w:sz w:val="20"/>
                <w:szCs w:val="20"/>
                <w:color w:val="auto"/>
              </w:rPr>
            </w:pPr>
            <w:r>
              <w:rPr>
                <w:rFonts w:ascii="Arial" w:cs="Arial" w:eastAsia="Arial" w:hAnsi="Arial"/>
                <w:sz w:val="18"/>
                <w:szCs w:val="18"/>
                <w:color w:val="auto"/>
              </w:rPr>
              <w:t>Adjusted income taxes/tax rate</w:t>
            </w: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from operating activities</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Free cash flow</w:t>
            </w:r>
          </w:p>
        </w:tc>
      </w:tr>
    </w:tbl>
    <w:p>
      <w:pPr>
        <w:spacing w:after="0" w:line="134" w:lineRule="exact"/>
        <w:rPr>
          <w:sz w:val="20"/>
          <w:szCs w:val="20"/>
          <w:color w:val="auto"/>
        </w:rPr>
      </w:pPr>
    </w:p>
    <w:p>
      <w:pPr>
        <w:ind w:right="100"/>
        <w:spacing w:after="0" w:line="376" w:lineRule="auto"/>
        <w:rPr>
          <w:sz w:val="20"/>
          <w:szCs w:val="20"/>
          <w:color w:val="auto"/>
        </w:rPr>
      </w:pPr>
      <w:r>
        <w:rPr>
          <w:rFonts w:ascii="Arial" w:cs="Arial" w:eastAsia="Arial" w:hAnsi="Arial"/>
          <w:sz w:val="16"/>
          <w:szCs w:val="16"/>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4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spacing w:after="0" w:line="62" w:lineRule="exact"/>
        <w:rPr>
          <w:sz w:val="20"/>
          <w:szCs w:val="20"/>
          <w:color w:val="auto"/>
        </w:rPr>
      </w:pPr>
    </w:p>
    <w:p>
      <w:pPr>
        <w:ind w:left="760" w:right="2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from discontinued operations, net of tax – Adjustment to remove the after-tax income from discontinued operations and the after-tax gain attributable to the divested Willis Re business.</w:t>
      </w:r>
    </w:p>
    <w:p>
      <w:pPr>
        <w:spacing w:after="0" w:line="61" w:lineRule="exact"/>
        <w:rPr>
          <w:rFonts w:ascii="Arial" w:cs="Arial" w:eastAsia="Arial" w:hAnsi="Arial"/>
          <w:sz w:val="18"/>
          <w:szCs w:val="18"/>
          <w:color w:val="auto"/>
        </w:rPr>
      </w:pPr>
    </w:p>
    <w:p>
      <w:pPr>
        <w:jc w:val="both"/>
        <w:ind w:left="760" w:right="220" w:hanging="378"/>
        <w:spacing w:after="0" w:line="301"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47"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Impairment – Adjustment to remove the impairment related to the net assets of our Russian business that are held outside of our Russian entities.</w:t>
      </w:r>
    </w:p>
    <w:p>
      <w:pPr>
        <w:spacing w:after="0" w:line="139" w:lineRule="exact"/>
        <w:rPr>
          <w:rFonts w:ascii="Arial" w:cs="Arial" w:eastAsia="Arial" w:hAnsi="Arial"/>
          <w:sz w:val="16"/>
          <w:szCs w:val="16"/>
          <w:color w:val="auto"/>
        </w:rPr>
      </w:pPr>
    </w:p>
    <w:p>
      <w:pPr>
        <w:ind w:left="760" w:right="34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Gains and losses on disposals of operations – Adjustment to remove the gains or losses resulting from disposed operations that have not been classified as discontinued operations.</w:t>
      </w:r>
    </w:p>
    <w:p>
      <w:pPr>
        <w:spacing w:after="0" w:line="61"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effect of the CARES Act – Relates to the incremental tax expense or benefit, primarily from the Base Erosion and Anti-Abuse Tax (‘BEAT’), generated from electing or changing elections of certain income tax provisions available under the CARES Act.</w:t>
      </w:r>
    </w:p>
    <w:p>
      <w:pPr>
        <w:spacing w:after="0" w:line="61"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effect of internal reorganizations – Relates to the U.S. income tax expense resulting from the completion of internal reorganizations of the ownership of certain businesses that reduced the investments held by our U.S.-controlled subsidiaries.</w:t>
      </w:r>
    </w:p>
    <w:p>
      <w:pPr>
        <w:spacing w:after="0" w:line="11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Change and Organic Change</w:t>
      </w:r>
    </w:p>
    <w:p>
      <w:pPr>
        <w:spacing w:after="0" w:line="171" w:lineRule="exact"/>
        <w:rPr>
          <w:sz w:val="20"/>
          <w:szCs w:val="20"/>
          <w:color w:val="auto"/>
        </w:rPr>
      </w:pPr>
    </w:p>
    <w:p>
      <w:pPr>
        <w:ind w:right="320"/>
        <w:spacing w:after="0" w:line="341" w:lineRule="auto"/>
        <w:rPr>
          <w:sz w:val="20"/>
          <w:szCs w:val="20"/>
          <w:color w:val="auto"/>
        </w:rPr>
      </w:pPr>
      <w:r>
        <w:rPr>
          <w:rFonts w:ascii="Arial" w:cs="Arial" w:eastAsia="Arial" w:hAnsi="Arial"/>
          <w:sz w:val="16"/>
          <w:szCs w:val="16"/>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17" w:lineRule="exact"/>
        <w:rPr>
          <w:sz w:val="20"/>
          <w:szCs w:val="20"/>
          <w:color w:val="auto"/>
        </w:rPr>
      </w:pPr>
    </w:p>
    <w:p>
      <w:pPr>
        <w:ind w:left="760" w:right="100" w:hanging="378"/>
        <w:spacing w:after="0" w:line="25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change - </w:t>
      </w:r>
      <w:r>
        <w:rPr>
          <w:rFonts w:ascii="Arial" w:cs="Arial" w:eastAsia="Arial" w:hAnsi="Arial"/>
          <w:sz w:val="18"/>
          <w:szCs w:val="18"/>
          <w:color w:val="auto"/>
        </w:rPr>
        <w:t>Represents the year-over-year change in revenue excluding the impact of foreign currency fluctuations. To calculate</w:t>
      </w:r>
      <w:r>
        <w:rPr>
          <w:rFonts w:ascii="Arial" w:cs="Arial" w:eastAsia="Arial" w:hAnsi="Arial"/>
          <w:sz w:val="18"/>
          <w:szCs w:val="18"/>
          <w:i w:val="1"/>
          <w:iCs w:val="1"/>
          <w:color w:val="auto"/>
        </w:rPr>
        <w:t xml:space="preserve"> </w:t>
      </w:r>
      <w:r>
        <w:rPr>
          <w:rFonts w:ascii="Arial" w:cs="Arial" w:eastAsia="Arial" w:hAnsi="Arial"/>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p>
      <w:pPr>
        <w:ind w:left="760"/>
        <w:spacing w:after="0"/>
        <w:rPr>
          <w:sz w:val="20"/>
          <w:szCs w:val="20"/>
          <w:color w:val="auto"/>
        </w:rPr>
      </w:pPr>
      <w:r>
        <w:rPr>
          <w:rFonts w:ascii="Arial" w:cs="Arial" w:eastAsia="Arial" w:hAnsi="Arial"/>
          <w:sz w:val="17"/>
          <w:szCs w:val="17"/>
          <w:color w:val="auto"/>
        </w:rPr>
        <w:t>foreign currency exchange rate fluctuations have on period-over-period comparability given volatility in foreign currency exchange markets.</w:t>
      </w:r>
    </w:p>
    <w:p>
      <w:pPr>
        <w:spacing w:after="0" w:line="128" w:lineRule="exact"/>
        <w:rPr>
          <w:sz w:val="20"/>
          <w:szCs w:val="20"/>
          <w:color w:val="auto"/>
        </w:rPr>
      </w:pPr>
    </w:p>
    <w:p>
      <w:pPr>
        <w:ind w:left="760" w:right="60" w:hanging="378"/>
        <w:spacing w:after="0" w:line="256"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Organic change - </w:t>
      </w:r>
      <w:r>
        <w:rPr>
          <w:rFonts w:ascii="Arial" w:cs="Arial" w:eastAsia="Arial" w:hAnsi="Arial"/>
          <w:sz w:val="18"/>
          <w:szCs w:val="18"/>
          <w:color w:val="auto"/>
        </w:rPr>
        <w:t>Excludes the impact of fluctuations in foreign currency exchange rates as described above and the period-over-period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constant currency and organic change results, and a reconciliation from the reported results for consolidated revenue are included in the ‘Consolidated Revenue (Continuing Operations)’ section within this Form 10-Q. These measures are also reported by segment in the ‘Segment Revenue’ section within this Form 10-Q.</w:t>
      </w:r>
    </w:p>
    <w:p>
      <w:pPr>
        <w:spacing w:after="0" w:line="129" w:lineRule="exact"/>
        <w:rPr>
          <w:sz w:val="20"/>
          <w:szCs w:val="20"/>
          <w:color w:val="auto"/>
        </w:rPr>
      </w:pPr>
    </w:p>
    <w:p>
      <w:pPr>
        <w:ind w:right="180"/>
        <w:spacing w:after="0" w:line="307" w:lineRule="auto"/>
        <w:rPr>
          <w:sz w:val="20"/>
          <w:szCs w:val="20"/>
          <w:color w:val="auto"/>
        </w:rPr>
      </w:pPr>
      <w:r>
        <w:rPr>
          <w:rFonts w:ascii="Arial" w:cs="Arial" w:eastAsia="Arial" w:hAnsi="Arial"/>
          <w:sz w:val="17"/>
          <w:szCs w:val="17"/>
          <w:color w:val="auto"/>
        </w:rPr>
        <w:t>Reconciliations of the as-reported changes to the constant currency and organic changes for the three and nine months ended September 30, 2023 from the three and nine months ended September 30, 2022 are as follows. The components of revenue change may not add due to rounding.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4"/>
            <w:vMerge w:val="restart"/>
          </w:tcPr>
          <w:p>
            <w:pPr>
              <w:jc w:val="right"/>
              <w:ind w:right="439"/>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74"/>
              </w:rPr>
              <w:t>millions)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2,166</w:t>
            </w:r>
          </w:p>
        </w:tc>
        <w:tc>
          <w:tcPr>
            <w:tcW w:w="5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1,953</w:t>
            </w:r>
          </w:p>
        </w:tc>
        <w:tc>
          <w:tcPr>
            <w:tcW w:w="126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24"/>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w:t>
            </w:r>
          </w:p>
        </w:tc>
        <w:tc>
          <w:tcPr>
            <w:tcW w:w="11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371"/>
        </w:trPr>
        <w:tc>
          <w:tcPr>
            <w:tcW w:w="19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4"/>
            <w:vMerge w:val="restart"/>
          </w:tcPr>
          <w:p>
            <w:pPr>
              <w:jc w:val="right"/>
              <w:ind w:right="479"/>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74"/>
              </w:rPr>
              <w:t>millions)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6,569</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6,144</w:t>
            </w:r>
          </w:p>
        </w:tc>
        <w:tc>
          <w:tcPr>
            <w:tcW w:w="1260" w:type="dxa"/>
            <w:vAlign w:val="bottom"/>
            <w:tcBorders>
              <w:bottom w:val="single" w:sz="8" w:color="CFF0FC"/>
            </w:tcBorders>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64"/>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8%</w:t>
            </w:r>
          </w:p>
        </w:tc>
        <w:tc>
          <w:tcPr>
            <w:tcW w:w="1260" w:type="dxa"/>
            <w:vAlign w:val="bottom"/>
            <w:tcBorders>
              <w:bottom w:val="single" w:sz="8" w:color="CFF0FC"/>
            </w:tcBorders>
            <w:gridSpan w:val="2"/>
            <w:shd w:val="clear" w:color="auto" w:fill="CFF0FC"/>
          </w:tcPr>
          <w:p>
            <w:pPr>
              <w:jc w:val="right"/>
              <w:ind w:right="326"/>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-932815</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-915670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-932815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-915670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the three months ended September 30, 2023, our as-reported revenue increased by 11% and our organic revenue grew by 9%. For the nine months ended September 30, 2023, our as-reported revenue increased by 7% and our organic revenue grew by 8%. The increases in both as-reported and organic revenue were driven by strong performances in both segments as well as the recognition of higher interest income, on a year-to-date basis, that is not allocated to the segments.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Income/Margin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Adjusted operating income is defined as income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income from operations to adjusted operating income for the three and nine months ended September 30, 2023 and 2022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 in millions)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w:t>
            </w:r>
          </w:p>
        </w:tc>
        <w:tc>
          <w:tcPr>
            <w:tcW w:w="2520" w:type="dxa"/>
            <w:vAlign w:val="bottom"/>
            <w:gridSpan w:val="2"/>
            <w:shd w:val="clear" w:color="auto" w:fill="CFF0FC"/>
          </w:tcPr>
          <w:p>
            <w:pPr>
              <w:jc w:val="right"/>
              <w:ind w:right="5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1"/>
                <w:szCs w:val="2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1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18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1"/>
                <w:szCs w:val="21"/>
                <w:color w:val="auto"/>
              </w:rPr>
            </w:pPr>
          </w:p>
        </w:tc>
      </w:tr>
      <w:tr>
        <w:trPr>
          <w:trHeight w:val="236"/>
        </w:trPr>
        <w:tc>
          <w:tcPr>
            <w:tcW w:w="40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20"/>
                <w:szCs w:val="20"/>
                <w:color w:val="auto"/>
              </w:rPr>
            </w:pPr>
          </w:p>
        </w:tc>
      </w:tr>
      <w:tr>
        <w:trPr>
          <w:trHeight w:val="249"/>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18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1"/>
                <w:szCs w:val="21"/>
                <w:color w:val="auto"/>
              </w:rPr>
            </w:pPr>
          </w:p>
        </w:tc>
      </w:tr>
      <w:tr>
        <w:trPr>
          <w:trHeight w:val="236"/>
        </w:trPr>
        <w:tc>
          <w:tcPr>
            <w:tcW w:w="402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18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0"/>
                <w:szCs w:val="20"/>
                <w:color w:val="auto"/>
              </w:rPr>
            </w:pPr>
          </w:p>
        </w:tc>
      </w:tr>
      <w:tr>
        <w:trPr>
          <w:trHeight w:val="27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operating income</w:t>
            </w:r>
          </w:p>
        </w:tc>
        <w:tc>
          <w:tcPr>
            <w:tcW w:w="18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351</w:t>
            </w:r>
          </w:p>
        </w:tc>
        <w:tc>
          <w:tcPr>
            <w:tcW w:w="1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24"/>
                <w:szCs w:val="24"/>
                <w:color w:val="auto"/>
              </w:rPr>
            </w:pPr>
          </w:p>
        </w:tc>
      </w:tr>
      <w:tr>
        <w:trPr>
          <w:trHeight w:val="513"/>
        </w:trPr>
        <w:tc>
          <w:tcPr>
            <w:tcW w:w="4020" w:type="dxa"/>
            <w:vAlign w:val="bottom"/>
          </w:tcPr>
          <w:p>
            <w:pPr>
              <w:ind w:left="20"/>
              <w:spacing w:after="0"/>
              <w:rPr>
                <w:sz w:val="20"/>
                <w:szCs w:val="20"/>
                <w:color w:val="auto"/>
              </w:rPr>
            </w:pPr>
            <w:r>
              <w:rPr>
                <w:rFonts w:ascii="Arial" w:cs="Arial" w:eastAsia="Arial" w:hAnsi="Arial"/>
                <w:sz w:val="18"/>
                <w:szCs w:val="18"/>
                <w:color w:val="auto"/>
              </w:rPr>
              <w:t>Income from operations margin</w:t>
            </w:r>
          </w:p>
        </w:tc>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7.3 %</w:t>
            </w:r>
          </w:p>
        </w:tc>
        <w:tc>
          <w:tcPr>
            <w:tcW w:w="8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7.9 %</w:t>
            </w:r>
          </w:p>
        </w:tc>
        <w:tc>
          <w:tcPr>
            <w:tcW w:w="32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8.9 %</w:t>
            </w: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Adjusted operating income margin</w:t>
            </w:r>
          </w:p>
        </w:tc>
        <w:tc>
          <w:tcPr>
            <w:tcW w:w="1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16.2 %</w:t>
            </w:r>
          </w:p>
        </w:tc>
        <w:tc>
          <w:tcPr>
            <w:tcW w:w="82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14.5 %</w:t>
            </w:r>
          </w:p>
        </w:tc>
        <w:tc>
          <w:tcPr>
            <w:tcW w:w="32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16.5 %</w:t>
            </w:r>
          </w:p>
        </w:tc>
        <w:tc>
          <w:tcPr>
            <w:tcW w:w="4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15.8 %</w:t>
            </w:r>
          </w:p>
        </w:tc>
      </w:tr>
      <w:tr>
        <w:trPr>
          <w:trHeight w:val="620"/>
        </w:trPr>
        <w:tc>
          <w:tcPr>
            <w:tcW w:w="4020" w:type="dxa"/>
            <w:vAlign w:val="bottom"/>
          </w:tcPr>
          <w:p>
            <w:pPr>
              <w:spacing w:after="0"/>
              <w:rPr>
                <w:sz w:val="24"/>
                <w:szCs w:val="24"/>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-1009650</wp:posOffset>
            </wp:positionV>
            <wp:extent cx="7132320" cy="3683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43" w:name="page44"/>
    <w:bookmarkEnd w:id="43"/>
    <w:p>
      <w:pPr>
        <w:ind w:right="260"/>
        <w:spacing w:after="0" w:line="256" w:lineRule="auto"/>
        <w:rPr>
          <w:sz w:val="20"/>
          <w:szCs w:val="20"/>
          <w:color w:val="auto"/>
        </w:rPr>
      </w:pPr>
      <w:r>
        <w:rPr>
          <w:rFonts w:ascii="Arial" w:cs="Arial" w:eastAsia="Arial" w:hAnsi="Arial"/>
          <w:sz w:val="18"/>
          <w:szCs w:val="18"/>
          <w:color w:val="auto"/>
        </w:rPr>
        <w:t>Adjusted operating income increased for the three months ended September 30, 2023 to $351 million, from $284 million for the three months ended September 30, 2022 and increased for the nine months ended September 30, 2023 to $1.1 billion from $969 million for the nine months ended September 30, 2022. These increases resulted primarily from higher revenue in the current year, partially offset by higher salary expense and incentive and benefit costs, higher professional service and marketing-related expenses, and increased travel and entertainment costs in the current-year periods as compared to the prior-year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EBITDA/Margin</w:t>
      </w:r>
    </w:p>
    <w:p>
      <w:pPr>
        <w:spacing w:after="0" w:line="171" w:lineRule="exact"/>
        <w:rPr>
          <w:sz w:val="20"/>
          <w:szCs w:val="20"/>
          <w:color w:val="auto"/>
        </w:rPr>
      </w:pPr>
    </w:p>
    <w:p>
      <w:pPr>
        <w:ind w:right="800"/>
        <w:spacing w:after="0" w:line="341" w:lineRule="auto"/>
        <w:rPr>
          <w:sz w:val="20"/>
          <w:szCs w:val="20"/>
          <w:color w:val="auto"/>
        </w:rPr>
      </w:pPr>
      <w:r>
        <w:rPr>
          <w:rFonts w:ascii="Arial" w:cs="Arial" w:eastAsia="Arial" w:hAnsi="Arial"/>
          <w:sz w:val="16"/>
          <w:szCs w:val="16"/>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Adjusted EBITDA is defined as net income adjusted for income from discontinued operations, net of tax, provision for income taxes, interest expense, impairment,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net income to adjusted EBITDA for the three and nine months ended September 30, 2023 and 2022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1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9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r>
      <w:tr>
        <w:trPr>
          <w:trHeight w:val="169"/>
        </w:trPr>
        <w:tc>
          <w:tcPr>
            <w:tcW w:w="5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 in millions)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1"/>
                <w:szCs w:val="21"/>
                <w:color w:val="auto"/>
              </w:rPr>
            </w:pPr>
          </w:p>
        </w:tc>
      </w:tr>
      <w:tr>
        <w:trPr>
          <w:trHeight w:val="236"/>
        </w:trPr>
        <w:tc>
          <w:tcPr>
            <w:tcW w:w="5900" w:type="dxa"/>
            <w:vAlign w:val="bottom"/>
          </w:tcPr>
          <w:p>
            <w:pPr>
              <w:ind w:left="200"/>
              <w:spacing w:after="0"/>
              <w:rPr>
                <w:sz w:val="20"/>
                <w:szCs w:val="20"/>
                <w:color w:val="auto"/>
              </w:rPr>
            </w:pPr>
            <w:r>
              <w:rPr>
                <w:rFonts w:ascii="Arial" w:cs="Arial" w:eastAsia="Arial" w:hAnsi="Arial"/>
                <w:sz w:val="18"/>
                <w:szCs w:val="18"/>
                <w:color w:val="auto"/>
              </w:rPr>
              <w:t>(Income)/loss from discontinued operations, net of tax</w:t>
            </w:r>
          </w:p>
        </w:tc>
        <w:tc>
          <w:tcPr>
            <w:tcW w:w="72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r>
      <w:tr>
        <w:trPr>
          <w:trHeight w:val="249"/>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r>
      <w:tr>
        <w:trPr>
          <w:trHeight w:val="236"/>
        </w:trPr>
        <w:tc>
          <w:tcPr>
            <w:tcW w:w="59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20"/>
                <w:szCs w:val="20"/>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r>
      <w:tr>
        <w:trPr>
          <w:trHeight w:val="249"/>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7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r>
      <w:tr>
        <w:trPr>
          <w:trHeight w:val="236"/>
        </w:trPr>
        <w:tc>
          <w:tcPr>
            <w:tcW w:w="59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20"/>
                <w:szCs w:val="20"/>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0"/>
                <w:szCs w:val="20"/>
                <w:color w:val="auto"/>
              </w:rPr>
            </w:pPr>
          </w:p>
        </w:tc>
      </w:tr>
      <w:tr>
        <w:trPr>
          <w:trHeight w:val="249"/>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1"/>
                <w:szCs w:val="21"/>
                <w:color w:val="auto"/>
              </w:rPr>
            </w:pPr>
          </w:p>
        </w:tc>
      </w:tr>
      <w:tr>
        <w:trPr>
          <w:trHeight w:val="236"/>
        </w:trPr>
        <w:tc>
          <w:tcPr>
            <w:tcW w:w="59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tcPr>
          <w:p>
            <w:pPr>
              <w:spacing w:after="0"/>
              <w:rPr>
                <w:sz w:val="20"/>
                <w:szCs w:val="20"/>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r>
      <w:tr>
        <w:trPr>
          <w:trHeight w:val="249"/>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and transformation</w:t>
            </w:r>
          </w:p>
        </w:tc>
        <w:tc>
          <w:tcPr>
            <w:tcW w:w="7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1"/>
                <w:szCs w:val="21"/>
                <w:color w:val="auto"/>
              </w:rPr>
            </w:pPr>
          </w:p>
        </w:tc>
      </w:tr>
      <w:tr>
        <w:trPr>
          <w:trHeight w:val="236"/>
        </w:trPr>
        <w:tc>
          <w:tcPr>
            <w:tcW w:w="5900" w:type="dxa"/>
            <w:vAlign w:val="bottom"/>
          </w:tcPr>
          <w:p>
            <w:pPr>
              <w:ind w:left="200"/>
              <w:spacing w:after="0"/>
              <w:rPr>
                <w:sz w:val="20"/>
                <w:szCs w:val="20"/>
                <w:color w:val="auto"/>
              </w:rPr>
            </w:pPr>
            <w:r>
              <w:rPr>
                <w:rFonts w:ascii="Arial" w:cs="Arial" w:eastAsia="Arial" w:hAnsi="Arial"/>
                <w:sz w:val="18"/>
                <w:szCs w:val="18"/>
                <w:color w:val="auto"/>
              </w:rPr>
              <w:t>(Gain)/loss on disposal of operations</w:t>
            </w:r>
          </w:p>
        </w:tc>
        <w:tc>
          <w:tcPr>
            <w:tcW w:w="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r>
      <w:tr>
        <w:trPr>
          <w:trHeight w:val="276"/>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436</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408</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1,350</w:t>
            </w: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24"/>
                <w:szCs w:val="24"/>
                <w:color w:val="auto"/>
              </w:rPr>
            </w:pPr>
          </w:p>
        </w:tc>
      </w:tr>
      <w:tr>
        <w:trPr>
          <w:trHeight w:val="513"/>
        </w:trPr>
        <w:tc>
          <w:tcPr>
            <w:tcW w:w="5900" w:type="dxa"/>
            <w:vAlign w:val="bottom"/>
          </w:tcPr>
          <w:p>
            <w:pPr>
              <w:ind w:left="20"/>
              <w:spacing w:after="0"/>
              <w:rPr>
                <w:sz w:val="20"/>
                <w:szCs w:val="20"/>
                <w:color w:val="auto"/>
              </w:rPr>
            </w:pPr>
            <w:r>
              <w:rPr>
                <w:rFonts w:ascii="Arial" w:cs="Arial" w:eastAsia="Arial" w:hAnsi="Arial"/>
                <w:sz w:val="18"/>
                <w:szCs w:val="18"/>
                <w:color w:val="auto"/>
              </w:rPr>
              <w:t>Net income margin</w:t>
            </w:r>
          </w:p>
        </w:tc>
        <w:tc>
          <w:tcPr>
            <w:tcW w:w="72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6.4 %</w:t>
            </w:r>
          </w:p>
        </w:tc>
        <w:tc>
          <w:tcPr>
            <w:tcW w:w="80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9.8 %</w:t>
            </w:r>
          </w:p>
        </w:tc>
        <w:tc>
          <w:tcPr>
            <w:tcW w:w="3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6.7 %</w:t>
            </w:r>
          </w:p>
        </w:tc>
        <w:tc>
          <w:tcPr>
            <w:tcW w:w="4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r>
      <w:tr>
        <w:trPr>
          <w:trHeight w:val="274"/>
        </w:trPr>
        <w:tc>
          <w:tcPr>
            <w:tcW w:w="59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72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20.1 %</w:t>
            </w:r>
          </w:p>
        </w:tc>
        <w:tc>
          <w:tcPr>
            <w:tcW w:w="80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20.9 %</w:t>
            </w:r>
          </w:p>
        </w:tc>
        <w:tc>
          <w:tcPr>
            <w:tcW w:w="32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20"/>
                <w:szCs w:val="20"/>
                <w:color w:val="auto"/>
              </w:rPr>
              <w:t>20.6 %</w:t>
            </w:r>
          </w:p>
        </w:tc>
        <w:tc>
          <w:tcPr>
            <w:tcW w:w="4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7132320" cy="3683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23"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Adjusted EBITDA for the three months ended September 30, 2023 was $436 million, compared to $408 million for the three months ended September 30, 2022. This increase resulted primarily from higher revenue, partially offset by higher salary expense and incentive and benefit costs, higher professional service and marketing-related expenses, and lower pension income in the current-year period as compared to the prior-year period.</w:t>
      </w:r>
    </w:p>
    <w:p>
      <w:pPr>
        <w:spacing w:after="0" w:line="1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Adjusted EBITDA was $1.4 billion for both the nine months ended September 30, 2023 and 2022, a decrease of $26 million. This decrease was driven by the performance in the first half of the year in which higher salary expense and incentive and benefit costs, higher professional service and marketing-related expenses, increased travel and entertainment costs, and lower pension income in the current year, was partially offset by higher revenue in the current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Adjusted net income is defined as net income attributable to WTW adjusted for income from discontinued operations, net of tax, impairment, amortization, restructuring costs, transaction and transformation,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16"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41" w:right="259" w:bottom="1440" w:gutter="0" w:footer="0" w:header="0"/>
        </w:sectPr>
      </w:pPr>
    </w:p>
    <w:bookmarkStart w:id="44" w:name="page45"/>
    <w:bookmarkEnd w:id="44"/>
    <w:p>
      <w:pPr>
        <w:ind w:right="380"/>
        <w:spacing w:after="0" w:line="308" w:lineRule="auto"/>
        <w:rPr>
          <w:sz w:val="20"/>
          <w:szCs w:val="20"/>
          <w:color w:val="auto"/>
        </w:rPr>
      </w:pPr>
      <w:r>
        <w:rPr>
          <w:rFonts w:ascii="Arial" w:cs="Arial" w:eastAsia="Arial" w:hAnsi="Arial"/>
          <w:sz w:val="18"/>
          <w:szCs w:val="18"/>
          <w:color w:val="auto"/>
        </w:rPr>
        <w:t>Reconciliations of net income attributable to WTW to adjusted diluted earnings per share for the three and nine months ended September 30, 2023 and 2022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4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w w:val="98"/>
              </w:rPr>
              <w:t>September 30,</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r>
      <w:tr>
        <w:trPr>
          <w:trHeight w:val="169"/>
        </w:trPr>
        <w:tc>
          <w:tcPr>
            <w:tcW w:w="5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b w:val="1"/>
                <w:bCs w:val="1"/>
                <w:color w:val="auto"/>
              </w:rPr>
              <w:t>($ in</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2"/>
              </w:rPr>
              <w:t>millions)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136</w:t>
            </w:r>
          </w:p>
        </w:tc>
        <w:tc>
          <w:tcPr>
            <w:tcW w:w="86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190</w:t>
            </w:r>
          </w:p>
        </w:tc>
        <w:tc>
          <w:tcPr>
            <w:tcW w:w="500" w:type="dxa"/>
            <w:vAlign w:val="bottom"/>
            <w:gridSpan w:val="2"/>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433</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421</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(Income)/loss from discontinued operations, net of tax</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239</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and transformation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(Gain)/loss on disposal of operations</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249"/>
        </w:trPr>
        <w:tc>
          <w:tcPr>
            <w:tcW w:w="584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(116 )</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Tax effect of the CARES Act</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Tax effect of internal reorganizations</w:t>
            </w:r>
          </w:p>
        </w:tc>
        <w:tc>
          <w:tcPr>
            <w:tcW w:w="7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236</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50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761</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818</w:t>
            </w:r>
          </w:p>
        </w:tc>
      </w:tr>
      <w:tr>
        <w:trPr>
          <w:trHeight w:val="20"/>
        </w:trPr>
        <w:tc>
          <w:tcPr>
            <w:tcW w:w="5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5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Weighted-average ordinary shares — diluted</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114</w:t>
            </w:r>
          </w:p>
        </w:tc>
      </w:tr>
      <w:tr>
        <w:trPr>
          <w:trHeight w:val="249"/>
        </w:trPr>
        <w:tc>
          <w:tcPr>
            <w:tcW w:w="58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1.29</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50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3.71</w:t>
            </w:r>
          </w:p>
        </w:tc>
      </w:tr>
      <w:tr>
        <w:trPr>
          <w:trHeight w:val="249"/>
        </w:trPr>
        <w:tc>
          <w:tcPr>
            <w:tcW w:w="584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Adjusted for certain items </w:t>
            </w:r>
            <w:r>
              <w:rPr>
                <w:rFonts w:ascii="Arial" w:cs="Arial" w:eastAsia="Arial" w:hAnsi="Arial"/>
                <w:sz w:val="24"/>
                <w:szCs w:val="24"/>
                <w:color w:val="auto"/>
                <w:vertAlign w:val="superscript"/>
              </w:rPr>
              <w:t>(ii)</w:t>
            </w:r>
            <w:r>
              <w:rPr>
                <w:rFonts w:ascii="Arial" w:cs="Arial" w:eastAsia="Arial" w:hAnsi="Arial"/>
                <w:sz w:val="18"/>
                <w:szCs w:val="18"/>
                <w:color w:val="auto"/>
              </w:rPr>
              <w:t xml:space="preserve"> :</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(Income)/loss from discontinued operations, net of tax</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(0.07 )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0.24</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0.71</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2.10</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0.62</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0.95</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(Gain)/loss on disposal of operations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(0.39 )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(0.19 )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0.10</w:t>
            </w:r>
          </w:p>
        </w:tc>
      </w:tr>
      <w:tr>
        <w:trPr>
          <w:trHeight w:val="243"/>
        </w:trPr>
        <w:tc>
          <w:tcPr>
            <w:tcW w:w="584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8"/>
              </w:rPr>
              <w:t>(0.48 )</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(0.22 )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effect of the CARES Act</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(0.22 )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(0.21 )</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Tax effect of internal reorganizations</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diluted earnings per share</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7.13</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-2533650</wp:posOffset>
            </wp:positionV>
            <wp:extent cx="85725" cy="1885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-2533650</wp:posOffset>
            </wp:positionV>
            <wp:extent cx="85725" cy="1885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-2533650</wp:posOffset>
            </wp:positionV>
            <wp:extent cx="85725" cy="1885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857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857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7"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tax effect was calculated using an effective tax rate for each item.</w:t>
      </w:r>
    </w:p>
    <w:p>
      <w:pPr>
        <w:spacing w:after="0" w:line="27" w:lineRule="exact"/>
        <w:rPr>
          <w:rFonts w:ascii="Arial" w:cs="Arial" w:eastAsia="Arial" w:hAnsi="Arial"/>
          <w:sz w:val="14"/>
          <w:szCs w:val="14"/>
          <w:color w:val="auto"/>
        </w:rPr>
      </w:pPr>
    </w:p>
    <w:p>
      <w:pPr>
        <w:ind w:left="280" w:hanging="272"/>
        <w:spacing w:after="0"/>
        <w:tabs>
          <w:tab w:leader="none" w:pos="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 share values and totals may differ due to rounding.</w:t>
      </w:r>
    </w:p>
    <w:p>
      <w:pPr>
        <w:spacing w:after="0" w:line="154"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Our adjusted diluted earnings per share increased for the three months ended September 30, 2023 as compared to the three months ended September 30, 2022. This increase is primarily due to a lower weighted-average outstanding share count attributable to our share repurchase activity in the current year, and higher revenue, partially offset by higher salary expense and incentive and benefit costs, higher professional service and marketing-related expenses, and lower pension income in the current-year period as compared to the prior-year period.</w:t>
      </w:r>
    </w:p>
    <w:p>
      <w:pPr>
        <w:spacing w:after="0" w:line="116"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Our adjusted diluted earnings per share decreased for the nine months ended September 30, 2023 as compared to the nine months ended September 30, 2022. This decrease was driven by the performance in the first half of the year in which higher salary expense and incentive and benefit costs, higher professional service and marketing-related expenses, higher travel and entertainment costs, and lower pension income in the current year, was partially offset by a lower weighted-average outstanding share count attributable to our share repurchase activity and higher revenue in the current year.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Income Before Taxes and Adjusted Income Taxes/Tax Rate</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Adjusted income before taxes is defined as income from operations before income taxes adjusted for impairment,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Adjusted income taxes/tax rate is defined as the provision for income taxes adjusted for taxes on certain items of impairment, amortization, restructuring costs, transaction and transformation, gains and losses on disposals of operations, the tax effects of internal reorganizations and non-recurring items that, in management’s judgment, significantly affect the period-over-period assessment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operating results, divided by adjusted income before taxes. Adjusted income taxes is used solely for the purpose of calculating the adjusted income tax rate.</w:t>
      </w:r>
    </w:p>
    <w:p>
      <w:pPr>
        <w:spacing w:after="0" w:line="194"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Reconciliations of income from operations before income taxes to adjusted income before taxes and provision for income taxes to adjusted income taxes for the three and nine months ended September 30, 2023 and 2022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1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9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9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7"/>
                <w:szCs w:val="17"/>
                <w:color w:val="auto"/>
              </w:rPr>
            </w:pPr>
          </w:p>
        </w:tc>
      </w:tr>
      <w:tr>
        <w:trPr>
          <w:trHeight w:val="169"/>
        </w:trPr>
        <w:tc>
          <w:tcPr>
            <w:tcW w:w="5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ind w:right="71"/>
              <w:spacing w:after="0"/>
              <w:rPr>
                <w:sz w:val="20"/>
                <w:szCs w:val="20"/>
                <w:color w:val="auto"/>
              </w:rPr>
            </w:pPr>
            <w:r>
              <w:rPr>
                <w:rFonts w:ascii="Arial" w:cs="Arial" w:eastAsia="Arial" w:hAnsi="Arial"/>
                <w:sz w:val="14"/>
                <w:szCs w:val="14"/>
                <w:b w:val="1"/>
                <w:bCs w:val="1"/>
                <w:color w:val="auto"/>
              </w:rPr>
              <w:t>($ in</w:t>
            </w: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2"/>
              </w:rPr>
              <w:t>millions)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INCOME FROM CONTINUING OPERATIONS BEFORE INCOME TAXES</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5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FF0FC"/>
          </w:tcPr>
          <w:p>
            <w:pPr>
              <w:spacing w:after="0"/>
              <w:rPr>
                <w:sz w:val="23"/>
                <w:szCs w:val="23"/>
                <w:color w:val="auto"/>
              </w:rPr>
            </w:pPr>
          </w:p>
        </w:tc>
        <w:tc>
          <w:tcPr>
            <w:tcW w:w="34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FF0FC"/>
          </w:tcPr>
          <w:p>
            <w:pPr>
              <w:spacing w:after="0"/>
              <w:rPr>
                <w:sz w:val="23"/>
                <w:szCs w:val="23"/>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23"/>
                <w:szCs w:val="23"/>
                <w:color w:val="auto"/>
              </w:rPr>
            </w:pPr>
          </w:p>
        </w:tc>
      </w:tr>
      <w:tr>
        <w:trPr>
          <w:trHeight w:val="236"/>
        </w:trPr>
        <w:tc>
          <w:tcPr>
            <w:tcW w:w="590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7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1"/>
                <w:szCs w:val="21"/>
                <w:color w:val="auto"/>
              </w:rPr>
            </w:pPr>
          </w:p>
        </w:tc>
      </w:tr>
      <w:tr>
        <w:trPr>
          <w:trHeight w:val="263"/>
        </w:trPr>
        <w:tc>
          <w:tcPr>
            <w:tcW w:w="59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22"/>
                <w:szCs w:val="22"/>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22"/>
                <w:szCs w:val="22"/>
                <w:color w:val="auto"/>
              </w:rPr>
            </w:pPr>
          </w:p>
        </w:tc>
      </w:tr>
      <w:tr>
        <w:trPr>
          <w:trHeight w:val="27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4"/>
                <w:szCs w:val="24"/>
                <w:color w:val="auto"/>
              </w:rPr>
            </w:pPr>
          </w:p>
        </w:tc>
      </w:tr>
      <w:tr>
        <w:trPr>
          <w:trHeight w:val="263"/>
        </w:trPr>
        <w:tc>
          <w:tcPr>
            <w:tcW w:w="590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720" w:type="dxa"/>
            <w:vAlign w:val="bottom"/>
          </w:tcPr>
          <w:p>
            <w:pPr>
              <w:spacing w:after="0"/>
              <w:rPr>
                <w:sz w:val="22"/>
                <w:szCs w:val="22"/>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2"/>
                <w:szCs w:val="22"/>
                <w:color w:val="auto"/>
              </w:rPr>
            </w:pPr>
          </w:p>
        </w:tc>
      </w:tr>
      <w:tr>
        <w:trPr>
          <w:trHeight w:val="256"/>
        </w:trPr>
        <w:tc>
          <w:tcPr>
            <w:tcW w:w="5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(Gain)/loss on disposal of operations</w:t>
            </w:r>
          </w:p>
        </w:tc>
        <w:tc>
          <w:tcPr>
            <w:tcW w:w="72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1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1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2"/>
                <w:szCs w:val="22"/>
                <w:color w:val="auto"/>
              </w:rPr>
            </w:pPr>
          </w:p>
        </w:tc>
      </w:tr>
      <w:tr>
        <w:trPr>
          <w:trHeight w:val="263"/>
        </w:trPr>
        <w:tc>
          <w:tcPr>
            <w:tcW w:w="5900" w:type="dxa"/>
            <w:vAlign w:val="bottom"/>
          </w:tcPr>
          <w:p>
            <w:pPr>
              <w:ind w:left="20"/>
              <w:spacing w:after="0"/>
              <w:rPr>
                <w:sz w:val="20"/>
                <w:szCs w:val="20"/>
                <w:color w:val="auto"/>
              </w:rPr>
            </w:pPr>
            <w:r>
              <w:rPr>
                <w:rFonts w:ascii="Arial" w:cs="Arial" w:eastAsia="Arial" w:hAnsi="Arial"/>
                <w:sz w:val="18"/>
                <w:szCs w:val="18"/>
                <w:color w:val="auto"/>
              </w:rPr>
              <w:t>Adjusted income before taxes</w:t>
            </w: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22"/>
                <w:szCs w:val="22"/>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22"/>
                <w:szCs w:val="22"/>
                <w:color w:val="auto"/>
              </w:rPr>
            </w:pPr>
          </w:p>
        </w:tc>
        <w:tc>
          <w:tcPr>
            <w:tcW w:w="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2"/>
                <w:szCs w:val="22"/>
                <w:color w:val="auto"/>
              </w:rPr>
            </w:pPr>
          </w:p>
        </w:tc>
      </w:tr>
      <w:tr>
        <w:trPr>
          <w:trHeight w:val="20"/>
        </w:trPr>
        <w:tc>
          <w:tcPr>
            <w:tcW w:w="5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5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2"/>
                <w:szCs w:val="22"/>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340" w:type="dxa"/>
            <w:vAlign w:val="bottom"/>
          </w:tcPr>
          <w:p>
            <w:pPr>
              <w:jc w:val="center"/>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2"/>
                <w:szCs w:val="22"/>
                <w:color w:val="auto"/>
              </w:rPr>
            </w:pPr>
          </w:p>
        </w:tc>
      </w:tr>
      <w:tr>
        <w:trPr>
          <w:trHeight w:val="27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2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4"/>
                <w:szCs w:val="24"/>
                <w:color w:val="auto"/>
              </w:rPr>
            </w:pPr>
          </w:p>
        </w:tc>
      </w:tr>
      <w:tr>
        <w:trPr>
          <w:trHeight w:val="263"/>
        </w:trPr>
        <w:tc>
          <w:tcPr>
            <w:tcW w:w="5900" w:type="dxa"/>
            <w:vAlign w:val="bottom"/>
          </w:tcPr>
          <w:p>
            <w:pPr>
              <w:ind w:left="200"/>
              <w:spacing w:after="0"/>
              <w:rPr>
                <w:sz w:val="20"/>
                <w:szCs w:val="20"/>
                <w:color w:val="auto"/>
              </w:rPr>
            </w:pPr>
            <w:r>
              <w:rPr>
                <w:rFonts w:ascii="Arial" w:cs="Arial" w:eastAsia="Arial" w:hAnsi="Arial"/>
                <w:sz w:val="18"/>
                <w:szCs w:val="18"/>
                <w:color w:val="auto"/>
              </w:rPr>
              <w:t>Tax effect of the CARES Act</w:t>
            </w:r>
          </w:p>
        </w:tc>
        <w:tc>
          <w:tcPr>
            <w:tcW w:w="720" w:type="dxa"/>
            <w:vAlign w:val="bottom"/>
          </w:tcPr>
          <w:p>
            <w:pPr>
              <w:spacing w:after="0"/>
              <w:rPr>
                <w:sz w:val="22"/>
                <w:szCs w:val="22"/>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2"/>
                <w:szCs w:val="22"/>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2"/>
                <w:szCs w:val="22"/>
                <w:color w:val="auto"/>
              </w:rPr>
            </w:pPr>
          </w:p>
        </w:tc>
      </w:tr>
      <w:tr>
        <w:trPr>
          <w:trHeight w:val="25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effect of internal reorganizations</w:t>
            </w:r>
          </w:p>
        </w:tc>
        <w:tc>
          <w:tcPr>
            <w:tcW w:w="72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5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Adjusted income taxes</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225</w:t>
            </w:r>
          </w:p>
        </w:tc>
        <w:tc>
          <w:tcPr>
            <w:tcW w:w="140" w:type="dxa"/>
            <w:vAlign w:val="bottom"/>
            <w:tcBorders>
              <w:top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22"/>
                <w:szCs w:val="22"/>
                <w:color w:val="auto"/>
              </w:rPr>
            </w:pPr>
          </w:p>
        </w:tc>
      </w:tr>
      <w:tr>
        <w:trPr>
          <w:trHeight w:val="20"/>
        </w:trPr>
        <w:tc>
          <w:tcPr>
            <w:tcW w:w="5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56"/>
        </w:trPr>
        <w:tc>
          <w:tcPr>
            <w:tcW w:w="5900" w:type="dxa"/>
            <w:vAlign w:val="bottom"/>
          </w:tcPr>
          <w:p>
            <w:pPr>
              <w:ind w:left="200"/>
              <w:spacing w:after="0"/>
              <w:rPr>
                <w:sz w:val="20"/>
                <w:szCs w:val="20"/>
                <w:color w:val="auto"/>
              </w:rPr>
            </w:pPr>
            <w:r>
              <w:rPr>
                <w:rFonts w:ascii="Arial" w:cs="Arial" w:eastAsia="Arial" w:hAnsi="Arial"/>
                <w:sz w:val="18"/>
                <w:szCs w:val="18"/>
                <w:color w:val="auto"/>
              </w:rPr>
              <w:t>U.S. GAAP tax rate</w:t>
            </w:r>
          </w:p>
        </w:tc>
        <w:tc>
          <w:tcPr>
            <w:tcW w:w="72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15.5 %</w:t>
            </w:r>
          </w:p>
        </w:tc>
        <w:tc>
          <w:tcPr>
            <w:tcW w:w="800" w:type="dxa"/>
            <w:vAlign w:val="bottom"/>
          </w:tcPr>
          <w:p>
            <w:pPr>
              <w:spacing w:after="0"/>
              <w:rPr>
                <w:sz w:val="22"/>
                <w:szCs w:val="22"/>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rPr>
              <w:t>0.7 %</w:t>
            </w:r>
          </w:p>
        </w:tc>
        <w:tc>
          <w:tcPr>
            <w:tcW w:w="34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18.3 %</w:t>
            </w:r>
          </w:p>
        </w:tc>
        <w:tc>
          <w:tcPr>
            <w:tcW w:w="4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12.1 %</w:t>
            </w:r>
          </w:p>
        </w:tc>
      </w:tr>
      <w:tr>
        <w:trPr>
          <w:trHeight w:val="270"/>
        </w:trPr>
        <w:tc>
          <w:tcPr>
            <w:tcW w:w="5900" w:type="dxa"/>
            <w:vAlign w:val="bottom"/>
          </w:tcPr>
          <w:p>
            <w:pPr>
              <w:ind w:left="200"/>
              <w:spacing w:after="0"/>
              <w:rPr>
                <w:sz w:val="20"/>
                <w:szCs w:val="20"/>
                <w:color w:val="auto"/>
              </w:rPr>
            </w:pPr>
            <w:r>
              <w:rPr>
                <w:rFonts w:ascii="Arial" w:cs="Arial" w:eastAsia="Arial" w:hAnsi="Arial"/>
                <w:sz w:val="18"/>
                <w:szCs w:val="18"/>
                <w:color w:val="auto"/>
              </w:rPr>
              <w:t>Adjusted income tax rate</w:t>
            </w:r>
          </w:p>
        </w:tc>
        <w:tc>
          <w:tcPr>
            <w:tcW w:w="72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24.3 %</w:t>
            </w:r>
          </w:p>
        </w:tc>
        <w:tc>
          <w:tcPr>
            <w:tcW w:w="800" w:type="dxa"/>
            <w:vAlign w:val="bottom"/>
          </w:tcPr>
          <w:p>
            <w:pPr>
              <w:spacing w:after="0"/>
              <w:rPr>
                <w:sz w:val="23"/>
                <w:szCs w:val="23"/>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16.8 %</w:t>
            </w:r>
          </w:p>
        </w:tc>
        <w:tc>
          <w:tcPr>
            <w:tcW w:w="34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22.6 %</w:t>
            </w:r>
          </w:p>
        </w:tc>
        <w:tc>
          <w:tcPr>
            <w:tcW w:w="4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-1729105</wp:posOffset>
            </wp:positionV>
            <wp:extent cx="93980" cy="2057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20574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-1729105</wp:posOffset>
            </wp:positionV>
            <wp:extent cx="85725" cy="2057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-1729105</wp:posOffset>
            </wp:positionV>
            <wp:extent cx="85725" cy="2057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-692785</wp:posOffset>
            </wp:positionV>
            <wp:extent cx="93980" cy="2057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3980" cy="20574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-692785</wp:posOffset>
            </wp:positionV>
            <wp:extent cx="85725" cy="2057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-692785</wp:posOffset>
            </wp:positionV>
            <wp:extent cx="85725" cy="2057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90"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3"/>
          <w:szCs w:val="13"/>
          <w:color w:val="auto"/>
        </w:rPr>
        <w:t>The tax effect was calculated using an effective tax rate for each item.</w:t>
      </w:r>
    </w:p>
    <w:p>
      <w:pPr>
        <w:spacing w:after="0" w:line="15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U.S. GAAP tax rates were 15.5% and 0.7% for the three months ended September 30, 2023 and 2022, respectively, and 18.3% and 12.1% for the nine months ended September 30, 2023 and 2022, respectively. The prior-year quarter effective tax rate was lower due to certain discrete tax benefits related to amending the Company’s U.S. federal and state tax returns in order to change certain elections available under the CARES Act, and excess tax benefits on executive share-based compensation.</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adjusted income tax rates were 24.3% and 16.8% for the three months ended September 30, 2023 and 2022, respectively, and 22.6% and 19.7% for the nine months ended September 30, 2023 and 2022, respectively. The prior-year quarter adjusted effective tax rate was lower due to discrete excess tax benefits on executive share-based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free cash flow presents the core operating performance and cash generating capabilities of our business operations.</w:t>
      </w:r>
    </w:p>
    <w:p>
      <w:pPr>
        <w:spacing w:after="0" w:line="19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3" w:right="27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Reconciliations of cash flows from operating activities to free cash flow for the nine months ended September 30, 2023 and 2022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823</w:t>
            </w:r>
          </w:p>
        </w:tc>
        <w:tc>
          <w:tcPr>
            <w:tcW w:w="124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437</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Less: Additions to fixed assets and software for internal use</w:t>
            </w: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707</w:t>
            </w: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 in free cash flow during the current-year period was primarily due to the non-recurrence of prior-year headwinds, including realized losses on foreign currency hedges, payments made in the prior year for certain discretionary compensation and taxes for one-time gains recorded in connection with the Willis Re sale and the income receipt from the termination of the then-proposed Aon transaction. These prior-year cash flows were partially offset by increased Transformation program-related costs in the current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8"/>
          <w:szCs w:val="18"/>
          <w:color w:val="auto"/>
        </w:rPr>
        <w:t>There were no material changes from the Critical Accounting Estimates disclosed in our Annual Report on Form 10-K for the year ended December 31, 2022, filed with the SEC on February 24, 2023.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considered changes in our exposure to market risks during the nine months ended September 30, 2023 and have determined that there have been no material changes to our exposure to market risks from those described in the Company’s Annual Report on Form 10-K for the year ended December 31, 2022, filed with the SEC on February 24, 2023. However, we have provided the following information to supplement or update our disclosures on our Form 10-K.</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on Fiduciary Funds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last year. This has resulted in the Company recognizing higher interest income over the same period in the prior year. Interest income in the future will be a function of the short-term rates we are able to obtain by currency and the cash balances available to invest in these instruments. Interest income was $39 million and $106 million for the three and nine months ended September 30, 2023, respectively, and $17 million and $28 million for the three and nine months ended September 30, 2022, respectively. At September 30, 2023, we held $2.2 billion of fiduciary funds invested in interest-bearing accounts. If short-term interest rates increased or decreased by 25 basis points, interest earned on these invested fiduciary funds, and therefore our interest income recognized, would increase or decrease by approximately $6 million on an annualized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September 30, 2023,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September 30, 2023 that materially affected, or are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September 30,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described below, there are no material changes from risk factors as previously disclosed in our Annual Report on Form 10-K, filed with the SEC on February 24, 2023. We urge you to read the risk factors contained therein.</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Macroeconomic trends, including inflation, increased interest rates and trade policies could continue to adversely affect our business, results of operations or financial condition.</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Global economic events and other factors, such as accommodative monetary and fiscal policy and the impacts of the COVID-19 pandemic, have contributed to significant inflation in many of the markets in which we operate. In particular, inflation in the United States, Europe and other geographies has risen to levels not experienced in recent decades and we are seeing its impact on various aspects of our business, which in some cases have, or could in the future, negatively affect our business and financial condition. In order to combat inflation and restore price stability, a number of central banks around the world have raised interest rates and are expected to keep increasing interest rates in 2023. Increased inflation and interest rates may hinder the economic growth in a number of markets where we do business, and has had, and may continue to have, far reaching effects on the global economy. This weakness in the economy and the possibility of a global recession has had, and may continue to have, a negative effect on our business and financial condition, including on the value of our ordinary shares.</w:t>
      </w:r>
    </w:p>
    <w:p>
      <w:pPr>
        <w:spacing w:after="0" w:line="1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Moreover, U.S. and global economic conditions have created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spacing w:after="0" w:line="10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Further, the continued slowdown in the global economy, including a recession, or in a particular region or industry, inflation or a tightening of the credit markets could negatively impact our business, financial condition and liquidity, including our ability to continue to access preferred sources of liquidity when we would like, and our borrowing costs could increase. In particular, further tightening of the credit markets could limit our ability to obtain external financing to fund our operations and capital expenditures, if and when needed. In addition, although we do not have any direct exposure to any of the banks affected by the recent banking crisis, we could experience losses on our holdings of cash and investments due to failures of other financial institutions and other parties.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substantially and negatively impact our ability to do business as well as our financial condition. Furthermore, a continued deterioration or prolonged period of negative or stagnant macroeconomic conditions in the U.S. and globally could adversely affect our business, results of operations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nine months ended September 30, 2023, no shares were issued by the Company without registration under the Securities Act of 1933, as amended.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on May 25, 2022, approved a $1.0 billion increase to the existing share repurchase program, and on September 20, 2023, approved a $1.0 billion increase to the existing share repurchase program. These increases brought the total approved authorization to $7.5 billion.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ind w:right="160"/>
        <w:spacing w:after="0" w:line="277" w:lineRule="auto"/>
        <w:rPr>
          <w:sz w:val="20"/>
          <w:szCs w:val="20"/>
          <w:color w:val="auto"/>
        </w:rPr>
      </w:pPr>
      <w:r>
        <w:rPr>
          <w:rFonts w:ascii="Arial" w:cs="Arial" w:eastAsia="Arial" w:hAnsi="Arial"/>
          <w:sz w:val="18"/>
          <w:szCs w:val="18"/>
          <w:color w:val="auto"/>
        </w:rPr>
        <w:t>The following table presents specified information about the Company’s repurchases of its ordinary shares in the third quarter of 2023 and the Company’s remaining repurchase authority.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Average price</w:t>
            </w:r>
          </w:p>
        </w:tc>
        <w:tc>
          <w:tcPr>
            <w:tcW w:w="100" w:type="dxa"/>
            <w:vAlign w:val="bottom"/>
          </w:tcPr>
          <w:p>
            <w:pPr>
              <w:spacing w:after="0"/>
              <w:rPr>
                <w:sz w:val="14"/>
                <w:szCs w:val="14"/>
                <w:color w:val="auto"/>
              </w:rPr>
            </w:pPr>
          </w:p>
        </w:tc>
        <w:tc>
          <w:tcPr>
            <w:tcW w:w="202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Total number of shares</w:t>
            </w:r>
          </w:p>
        </w:tc>
        <w:tc>
          <w:tcPr>
            <w:tcW w:w="120" w:type="dxa"/>
            <w:vAlign w:val="bottom"/>
          </w:tcPr>
          <w:p>
            <w:pPr>
              <w:spacing w:after="0"/>
              <w:rPr>
                <w:sz w:val="14"/>
                <w:szCs w:val="14"/>
                <w:color w:val="auto"/>
              </w:rPr>
            </w:pPr>
          </w:p>
        </w:tc>
        <w:tc>
          <w:tcPr>
            <w:tcW w:w="196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Maximum number of shares</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20" w:type="dxa"/>
            <w:vAlign w:val="bottom"/>
          </w:tcPr>
          <w:p>
            <w:pPr>
              <w:spacing w:after="0"/>
              <w:rPr>
                <w:sz w:val="12"/>
                <w:szCs w:val="12"/>
                <w:color w:val="auto"/>
              </w:rPr>
            </w:pPr>
          </w:p>
        </w:tc>
        <w:tc>
          <w:tcPr>
            <w:tcW w:w="19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that may yet be purchased</w:t>
            </w:r>
          </w:p>
        </w:tc>
        <w:tc>
          <w:tcPr>
            <w:tcW w:w="0" w:type="dxa"/>
            <w:vAlign w:val="bottom"/>
          </w:tcPr>
          <w:p>
            <w:pPr>
              <w:spacing w:after="0"/>
              <w:rPr>
                <w:sz w:val="1"/>
                <w:szCs w:val="1"/>
                <w:color w:val="auto"/>
              </w:rPr>
            </w:pPr>
          </w:p>
        </w:tc>
      </w:tr>
      <w:tr>
        <w:trPr>
          <w:trHeight w:val="185"/>
        </w:trPr>
        <w:tc>
          <w:tcPr>
            <w:tcW w:w="3980" w:type="dxa"/>
            <w:vAlign w:val="bottom"/>
          </w:tcPr>
          <w:p>
            <w:pPr>
              <w:ind w:left="20"/>
              <w:spacing w:after="0"/>
              <w:rPr>
                <w:sz w:val="20"/>
                <w:szCs w:val="20"/>
                <w:color w:val="auto"/>
              </w:rPr>
            </w:pPr>
            <w:r>
              <w:rPr>
                <w:rFonts w:ascii="Arial" w:cs="Arial" w:eastAsia="Arial" w:hAnsi="Arial"/>
                <w:sz w:val="14"/>
                <w:szCs w:val="14"/>
                <w:color w:val="auto"/>
              </w:rPr>
              <w:t>Period</w:t>
            </w: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announced plans or programs</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1, 2023 through July 31, 2023</w:t>
            </w:r>
          </w:p>
        </w:tc>
        <w:tc>
          <w:tcPr>
            <w:tcW w:w="15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215,700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231.80</w:t>
            </w:r>
          </w:p>
        </w:tc>
        <w:tc>
          <w:tcPr>
            <w:tcW w:w="100" w:type="dxa"/>
            <w:vAlign w:val="bottom"/>
            <w:shd w:val="clear" w:color="auto" w:fill="CFF0FC"/>
          </w:tcPr>
          <w:p>
            <w:pPr>
              <w:spacing w:after="0"/>
              <w:rPr>
                <w:sz w:val="20"/>
                <w:szCs w:val="20"/>
                <w:color w:val="auto"/>
              </w:rPr>
            </w:pPr>
          </w:p>
        </w:tc>
        <w:tc>
          <w:tcPr>
            <w:tcW w:w="2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215,700</w:t>
            </w:r>
          </w:p>
        </w:tc>
        <w:tc>
          <w:tcPr>
            <w:tcW w:w="120" w:type="dxa"/>
            <w:vAlign w:val="bottom"/>
            <w:shd w:val="clear" w:color="auto" w:fill="CFF0FC"/>
          </w:tcPr>
          <w:p>
            <w:pPr>
              <w:spacing w:after="0"/>
              <w:rPr>
                <w:sz w:val="20"/>
                <w:szCs w:val="20"/>
                <w:color w:val="auto"/>
              </w:rPr>
            </w:pPr>
          </w:p>
        </w:tc>
        <w:tc>
          <w:tcPr>
            <w:tcW w:w="196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8,828,377</w:t>
            </w: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Arial" w:cs="Arial" w:eastAsia="Arial" w:hAnsi="Arial"/>
                <w:sz w:val="16"/>
                <w:szCs w:val="16"/>
                <w:color w:val="auto"/>
              </w:rPr>
              <w:t>August 1, 2023 through August 31, 2023</w:t>
            </w:r>
          </w:p>
        </w:tc>
        <w:tc>
          <w:tcPr>
            <w:tcW w:w="1500" w:type="dxa"/>
            <w:vAlign w:val="bottom"/>
          </w:tcPr>
          <w:p>
            <w:pPr>
              <w:jc w:val="right"/>
              <w:ind w:right="56"/>
              <w:spacing w:after="0"/>
              <w:rPr>
                <w:sz w:val="20"/>
                <w:szCs w:val="20"/>
                <w:color w:val="auto"/>
              </w:rPr>
            </w:pPr>
            <w:r>
              <w:rPr>
                <w:rFonts w:ascii="Arial" w:cs="Arial" w:eastAsia="Arial" w:hAnsi="Arial"/>
                <w:sz w:val="18"/>
                <w:szCs w:val="18"/>
                <w:color w:val="auto"/>
              </w:rPr>
              <w:t>1,314,763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204.34</w:t>
            </w:r>
          </w:p>
        </w:tc>
        <w:tc>
          <w:tcPr>
            <w:tcW w:w="2120" w:type="dxa"/>
            <w:vAlign w:val="bottom"/>
            <w:gridSpan w:val="2"/>
          </w:tcPr>
          <w:p>
            <w:pPr>
              <w:jc w:val="right"/>
              <w:ind w:right="41"/>
              <w:spacing w:after="0"/>
              <w:rPr>
                <w:sz w:val="20"/>
                <w:szCs w:val="20"/>
                <w:color w:val="auto"/>
              </w:rPr>
            </w:pPr>
            <w:r>
              <w:rPr>
                <w:rFonts w:ascii="Arial" w:cs="Arial" w:eastAsia="Arial" w:hAnsi="Arial"/>
                <w:sz w:val="18"/>
                <w:szCs w:val="18"/>
                <w:color w:val="auto"/>
              </w:rPr>
              <w:t>1,314,763</w:t>
            </w:r>
          </w:p>
        </w:tc>
        <w:tc>
          <w:tcPr>
            <w:tcW w:w="2080" w:type="dxa"/>
            <w:vAlign w:val="bottom"/>
            <w:gridSpan w:val="2"/>
          </w:tcPr>
          <w:p>
            <w:pPr>
              <w:jc w:val="right"/>
              <w:ind w:right="44"/>
              <w:spacing w:after="0"/>
              <w:rPr>
                <w:sz w:val="20"/>
                <w:szCs w:val="20"/>
                <w:color w:val="auto"/>
              </w:rPr>
            </w:pPr>
            <w:r>
              <w:rPr>
                <w:rFonts w:ascii="Arial" w:cs="Arial" w:eastAsia="Arial" w:hAnsi="Arial"/>
                <w:sz w:val="18"/>
                <w:szCs w:val="18"/>
                <w:color w:val="auto"/>
              </w:rPr>
              <w:t>7,513,614</w:t>
            </w:r>
          </w:p>
        </w:tc>
        <w:tc>
          <w:tcPr>
            <w:tcW w:w="0" w:type="dxa"/>
            <w:vAlign w:val="bottom"/>
          </w:tcPr>
          <w:p>
            <w:pPr>
              <w:spacing w:after="0"/>
              <w:rPr>
                <w:sz w:val="1"/>
                <w:szCs w:val="1"/>
                <w:color w:val="auto"/>
              </w:rPr>
            </w:pPr>
          </w:p>
        </w:tc>
      </w:tr>
      <w:tr>
        <w:trPr>
          <w:trHeight w:val="249"/>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September 1, 2023 through September 30, 2023</w:t>
            </w:r>
          </w:p>
        </w:tc>
        <w:tc>
          <w:tcPr>
            <w:tcW w:w="15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150,922</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207.65</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150,922</w:t>
            </w:r>
          </w:p>
        </w:tc>
        <w:tc>
          <w:tcPr>
            <w:tcW w:w="2080" w:type="dxa"/>
            <w:vAlign w:val="bottom"/>
            <w:tcBorders>
              <w:bottom w:val="single" w:sz="8" w:color="CFF0FC"/>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7,362,692</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1500" w:type="dxa"/>
            <w:vAlign w:val="bottom"/>
          </w:tcPr>
          <w:p>
            <w:pPr>
              <w:jc w:val="right"/>
              <w:ind w:right="56"/>
              <w:spacing w:after="0"/>
              <w:rPr>
                <w:sz w:val="20"/>
                <w:szCs w:val="20"/>
                <w:color w:val="auto"/>
              </w:rPr>
            </w:pPr>
            <w:r>
              <w:rPr>
                <w:rFonts w:ascii="Arial" w:cs="Arial" w:eastAsia="Arial" w:hAnsi="Arial"/>
                <w:sz w:val="18"/>
                <w:szCs w:val="18"/>
                <w:color w:val="auto"/>
              </w:rPr>
              <w:t>1,681,385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208.16</w:t>
            </w:r>
          </w:p>
        </w:tc>
        <w:tc>
          <w:tcPr>
            <w:tcW w:w="2120" w:type="dxa"/>
            <w:vAlign w:val="bottom"/>
            <w:gridSpan w:val="2"/>
          </w:tcPr>
          <w:p>
            <w:pPr>
              <w:jc w:val="right"/>
              <w:ind w:right="41"/>
              <w:spacing w:after="0"/>
              <w:rPr>
                <w:sz w:val="20"/>
                <w:szCs w:val="20"/>
                <w:color w:val="auto"/>
              </w:rPr>
            </w:pPr>
            <w:r>
              <w:rPr>
                <w:rFonts w:ascii="Arial" w:cs="Arial" w:eastAsia="Arial" w:hAnsi="Arial"/>
                <w:sz w:val="18"/>
                <w:szCs w:val="18"/>
                <w:color w:val="auto"/>
              </w:rPr>
              <w:t>1,681,385</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-187960</wp:posOffset>
            </wp:positionV>
            <wp:extent cx="93980" cy="1885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68580" cy="1885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At September 30, 2023 the maximum number of shares that may yet be purchased under the existing share repurchase plan is 7,362,692, with approximately $1.5 billion remaining on the current open-ended repurchase authority granted by the board. An estimate of the maximum number of shares under the existing authorities was determined using the closing price of our ordinary shares on September 30, 2023 of $208.96.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70" w:lineRule="exact"/>
        <w:rPr>
          <w:rFonts w:ascii="Arial" w:cs="Arial" w:eastAsia="Arial" w:hAnsi="Arial"/>
          <w:sz w:val="18"/>
          <w:szCs w:val="18"/>
          <w:b w:val="1"/>
          <w:bCs w:val="1"/>
          <w:color w:val="auto"/>
        </w:rPr>
      </w:pPr>
    </w:p>
    <w:p>
      <w:pPr>
        <w:ind w:left="280" w:hanging="272"/>
        <w:spacing w:after="0"/>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70" w:lineRule="exact"/>
        <w:rPr>
          <w:rFonts w:ascii="Arial" w:cs="Arial" w:eastAsia="Arial" w:hAnsi="Arial"/>
          <w:sz w:val="18"/>
          <w:szCs w:val="18"/>
          <w:b w:val="1"/>
          <w:bCs w:val="1"/>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Arrangements</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quarter ended September 30, 2023,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gridSpan w:val="6"/>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0" w:type="dxa"/>
            <w:vAlign w:val="bottom"/>
            <w:gridSpan w:val="10"/>
            <w:vMerge w:val="restart"/>
          </w:tcPr>
          <w:p>
            <w:pPr>
              <w:ind w:left="266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Schedul</w:t>
            </w:r>
          </w:p>
        </w:tc>
        <w:tc>
          <w:tcPr>
            <w:tcW w:w="140" w:type="dxa"/>
            <w:vAlign w:val="bottom"/>
          </w:tcPr>
          <w:p>
            <w:pPr>
              <w:spacing w:after="0"/>
              <w:rPr>
                <w:sz w:val="11"/>
                <w:szCs w:val="11"/>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Exhib</w:t>
            </w:r>
          </w:p>
        </w:tc>
        <w:tc>
          <w:tcPr>
            <w:tcW w:w="140" w:type="dxa"/>
            <w:vAlign w:val="bottom"/>
          </w:tcPr>
          <w:p>
            <w:pPr>
              <w:spacing w:after="0"/>
              <w:rPr>
                <w:sz w:val="11"/>
                <w:szCs w:val="11"/>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6800" w:type="dxa"/>
            <w:vAlign w:val="bottom"/>
            <w:gridSpan w:val="10"/>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w:t>
            </w:r>
          </w:p>
        </w:tc>
        <w:tc>
          <w:tcPr>
            <w:tcW w:w="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8"/>
              </w:rPr>
              <w:t>Herewit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vMerge w:val="restart"/>
          </w:tcPr>
          <w:p>
            <w:pPr>
              <w:spacing w:after="0" w:line="20" w:lineRule="exact"/>
              <w:rPr>
                <w:sz w:val="1"/>
                <w:szCs w:val="1"/>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it</w:t>
            </w: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h</w:t>
            </w: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22.1</w:t>
            </w:r>
          </w:p>
        </w:tc>
        <w:tc>
          <w:tcPr>
            <w:tcW w:w="140" w:type="dxa"/>
            <w:vAlign w:val="bottom"/>
            <w:shd w:val="clear" w:color="auto" w:fill="CFF0FC"/>
          </w:tcPr>
          <w:p>
            <w:pPr>
              <w:spacing w:after="0"/>
              <w:rPr>
                <w:sz w:val="16"/>
                <w:szCs w:val="16"/>
                <w:color w:val="auto"/>
              </w:rPr>
            </w:pPr>
          </w:p>
        </w:tc>
        <w:tc>
          <w:tcPr>
            <w:tcW w:w="6800" w:type="dxa"/>
            <w:vAlign w:val="bottom"/>
            <w:gridSpan w:val="10"/>
            <w:shd w:val="clear" w:color="auto" w:fill="CFF0FC"/>
          </w:tcPr>
          <w:p>
            <w:pPr>
              <w:spacing w:after="0" w:line="189" w:lineRule="exact"/>
              <w:rPr>
                <w:sz w:val="20"/>
                <w:szCs w:val="20"/>
                <w:color w:val="auto"/>
              </w:rPr>
            </w:pPr>
            <w:r>
              <w:rPr>
                <w:rFonts w:ascii="Arial" w:cs="Arial" w:eastAsia="Arial" w:hAnsi="Arial"/>
                <w:sz w:val="18"/>
                <w:szCs w:val="18"/>
                <w:color w:val="0000FF"/>
              </w:rPr>
              <w:t>List of Issuers and Guarantor Subsidiaries.</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0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5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6"/>
                <w:szCs w:val="16"/>
                <w:color w:val="auto"/>
              </w:rPr>
            </w:pPr>
          </w:p>
        </w:tc>
        <w:tc>
          <w:tcPr>
            <w:tcW w:w="6380" w:type="dxa"/>
            <w:vAlign w:val="bottom"/>
            <w:tcBorders>
              <w:bottom w:val="single" w:sz="8" w:color="0000FF"/>
            </w:tcBorders>
            <w:gridSpan w:val="7"/>
          </w:tcPr>
          <w:p>
            <w:pPr>
              <w:spacing w:after="0" w:line="189" w:lineRule="exact"/>
              <w:rPr>
                <w:sz w:val="20"/>
                <w:szCs w:val="20"/>
                <w:color w:val="auto"/>
              </w:rPr>
            </w:pPr>
            <w:r>
              <w:rPr>
                <w:rFonts w:ascii="Arial" w:cs="Arial" w:eastAsia="Arial" w:hAnsi="Arial"/>
                <w:sz w:val="18"/>
                <w:szCs w:val="18"/>
                <w:color w:val="0000FF"/>
                <w:w w:val="92"/>
              </w:rPr>
              <w:t>Certification of the Registrant’s Chief Executive Officer, Carl A. Hess, pursuant to Rule</w:t>
            </w:r>
          </w:p>
        </w:tc>
        <w:tc>
          <w:tcPr>
            <w:tcW w:w="42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spacing w:after="0" w:line="189"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940" w:type="dxa"/>
            <w:vAlign w:val="bottom"/>
            <w:gridSpan w:val="11"/>
          </w:tcPr>
          <w:p>
            <w:pPr>
              <w:ind w:left="140"/>
              <w:spacing w:after="0" w:line="195" w:lineRule="exact"/>
              <w:rPr>
                <w:sz w:val="20"/>
                <w:szCs w:val="20"/>
                <w:color w:val="auto"/>
              </w:rPr>
            </w:pPr>
            <w:r>
              <w:rPr>
                <w:rFonts w:ascii="Arial" w:cs="Arial" w:eastAsia="Arial" w:hAnsi="Arial"/>
                <w:sz w:val="18"/>
                <w:szCs w:val="18"/>
                <w:color w:val="0000FF"/>
              </w:rPr>
              <w:t>13a-14 of the Securities Exchange Act of 1934.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8"/>
                <w:szCs w:val="18"/>
                <w:color w:val="auto"/>
              </w:rPr>
              <w:t>31.2</w:t>
            </w:r>
          </w:p>
        </w:tc>
        <w:tc>
          <w:tcPr>
            <w:tcW w:w="140" w:type="dxa"/>
            <w:vAlign w:val="bottom"/>
            <w:tcBorders>
              <w:bottom w:val="single" w:sz="8" w:color="CFF0FC"/>
            </w:tcBorders>
            <w:shd w:val="clear" w:color="auto" w:fill="CFF0FC"/>
          </w:tcPr>
          <w:p>
            <w:pPr>
              <w:spacing w:after="0"/>
              <w:rPr>
                <w:sz w:val="16"/>
                <w:szCs w:val="16"/>
                <w:color w:val="auto"/>
              </w:rPr>
            </w:pPr>
          </w:p>
        </w:tc>
        <w:tc>
          <w:tcPr>
            <w:tcW w:w="6360" w:type="dxa"/>
            <w:vAlign w:val="bottom"/>
            <w:tcBorders>
              <w:bottom w:val="single" w:sz="8" w:color="0000FF"/>
            </w:tcBorders>
            <w:gridSpan w:val="6"/>
            <w:shd w:val="clear" w:color="auto" w:fill="CFF0FC"/>
          </w:tcPr>
          <w:p>
            <w:pPr>
              <w:spacing w:after="0" w:line="189" w:lineRule="exact"/>
              <w:rPr>
                <w:sz w:val="20"/>
                <w:szCs w:val="20"/>
                <w:color w:val="auto"/>
              </w:rPr>
            </w:pPr>
            <w:r>
              <w:rPr>
                <w:rFonts w:ascii="Arial" w:cs="Arial" w:eastAsia="Arial" w:hAnsi="Arial"/>
                <w:sz w:val="18"/>
                <w:szCs w:val="18"/>
                <w:color w:val="0000FF"/>
                <w:w w:val="92"/>
              </w:rPr>
              <w:t>Certification of the Registrant’s Chief Financial Officer, Andrew J. Krasner, pursuant to</w:t>
            </w:r>
          </w:p>
        </w:tc>
        <w:tc>
          <w:tcPr>
            <w:tcW w:w="440" w:type="dxa"/>
            <w:vAlign w:val="bottom"/>
            <w:tcBorders>
              <w:bottom w:val="single" w:sz="8" w:color="CFF0FC"/>
            </w:tcBorders>
            <w:gridSpan w:val="4"/>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rPr>
              <w:t>X</w:t>
            </w: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0" w:type="dxa"/>
            <w:vAlign w:val="bottom"/>
            <w:tcBorders>
              <w:bottom w:val="single" w:sz="8" w:color="0000FF"/>
            </w:tcBorders>
            <w:gridSpan w:val="4"/>
            <w:shd w:val="clear" w:color="auto" w:fill="CFF0FC"/>
          </w:tcPr>
          <w:p>
            <w:pPr>
              <w:spacing w:after="0" w:line="195" w:lineRule="exact"/>
              <w:rPr>
                <w:sz w:val="20"/>
                <w:szCs w:val="20"/>
                <w:color w:val="auto"/>
              </w:rPr>
            </w:pPr>
            <w:r>
              <w:rPr>
                <w:rFonts w:ascii="Arial" w:cs="Arial" w:eastAsia="Arial" w:hAnsi="Arial"/>
                <w:sz w:val="18"/>
                <w:szCs w:val="18"/>
                <w:color w:val="0000FF"/>
                <w:w w:val="90"/>
              </w:rPr>
              <w:t>Rule 13a-14 of the Securities Exchange Act of 1934.</w:t>
            </w:r>
          </w:p>
        </w:tc>
        <w:tc>
          <w:tcPr>
            <w:tcW w:w="3000" w:type="dxa"/>
            <w:vAlign w:val="bottom"/>
            <w:tcBorders>
              <w:bottom w:val="single" w:sz="8" w:color="CFF0FC"/>
            </w:tcBorders>
            <w:gridSpan w:val="6"/>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6"/>
                <w:szCs w:val="16"/>
                <w:color w:val="auto"/>
              </w:rPr>
            </w:pPr>
          </w:p>
        </w:tc>
        <w:tc>
          <w:tcPr>
            <w:tcW w:w="660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color w:val="0000FF"/>
                <w:w w:val="92"/>
              </w:rPr>
              <w:t>Certification of the Registrant’s Chief Executive Officer, Carl A. Hess, and Chief Financial</w:t>
            </w:r>
          </w:p>
        </w:tc>
        <w:tc>
          <w:tcPr>
            <w:tcW w:w="2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90"/>
              </w:rPr>
              <w:t>Officer, Andrew J. Krasner, pursuant to 18 U.S.C. Section 1350, as adopted pursuant to</w:t>
            </w:r>
          </w:p>
        </w:tc>
        <w:tc>
          <w:tcPr>
            <w:tcW w:w="4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940" w:type="dxa"/>
            <w:vAlign w:val="bottom"/>
            <w:gridSpan w:val="11"/>
          </w:tcPr>
          <w:p>
            <w:pPr>
              <w:ind w:left="140"/>
              <w:spacing w:after="0" w:line="195" w:lineRule="exact"/>
              <w:rPr>
                <w:sz w:val="20"/>
                <w:szCs w:val="20"/>
                <w:color w:val="auto"/>
              </w:rPr>
            </w:pPr>
            <w:r>
              <w:rPr>
                <w:rFonts w:ascii="Arial" w:cs="Arial" w:eastAsia="Arial" w:hAnsi="Arial"/>
                <w:sz w:val="18"/>
                <w:szCs w:val="18"/>
                <w:color w:val="0000FF"/>
              </w:rPr>
              <w:t>Section 906 of the Sarbanes-Oxley Act of 2002.</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w w:val="98"/>
              </w:rPr>
              <w:t>101.INS</w:t>
            </w:r>
          </w:p>
        </w:tc>
        <w:tc>
          <w:tcPr>
            <w:tcW w:w="6940" w:type="dxa"/>
            <w:vAlign w:val="bottom"/>
            <w:gridSpan w:val="11"/>
            <w:shd w:val="clear" w:color="auto" w:fill="CFF0FC"/>
          </w:tcPr>
          <w:p>
            <w:pPr>
              <w:ind w:left="140"/>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w:t>
            </w: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FF0FC"/>
          </w:tcPr>
          <w:p>
            <w:pPr>
              <w:spacing w:after="0"/>
              <w:rPr>
                <w:sz w:val="21"/>
                <w:szCs w:val="21"/>
                <w:color w:val="auto"/>
              </w:rPr>
            </w:pPr>
          </w:p>
        </w:tc>
        <w:tc>
          <w:tcPr>
            <w:tcW w:w="6940" w:type="dxa"/>
            <w:vAlign w:val="bottom"/>
            <w:gridSpan w:val="11"/>
            <w:shd w:val="clear" w:color="auto" w:fill="CFF0FC"/>
          </w:tcPr>
          <w:p>
            <w:pPr>
              <w:ind w:left="140"/>
              <w:spacing w:after="0"/>
              <w:rPr>
                <w:sz w:val="20"/>
                <w:szCs w:val="20"/>
                <w:color w:val="auto"/>
              </w:rPr>
            </w:pPr>
            <w:r>
              <w:rPr>
                <w:rFonts w:ascii="Arial" w:cs="Arial" w:eastAsia="Arial" w:hAnsi="Arial"/>
                <w:sz w:val="18"/>
                <w:szCs w:val="18"/>
                <w:color w:val="auto"/>
              </w:rPr>
              <w:t>Data File because XBRL tags are embedded within the Inline XBRL document.</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101.SC</w:t>
            </w:r>
          </w:p>
        </w:tc>
        <w:tc>
          <w:tcPr>
            <w:tcW w:w="6940" w:type="dxa"/>
            <w:vAlign w:val="bottom"/>
            <w:gridSpan w:val="11"/>
          </w:tcPr>
          <w:p>
            <w:pPr>
              <w:ind w:left="140"/>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101.CA</w:t>
            </w:r>
          </w:p>
        </w:tc>
        <w:tc>
          <w:tcPr>
            <w:tcW w:w="6940" w:type="dxa"/>
            <w:vAlign w:val="bottom"/>
            <w:gridSpan w:val="11"/>
            <w:shd w:val="clear" w:color="auto" w:fill="CFF0FC"/>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L</w:t>
            </w:r>
          </w:p>
        </w:tc>
        <w:tc>
          <w:tcPr>
            <w:tcW w:w="14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5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101.DE</w:t>
            </w:r>
          </w:p>
        </w:tc>
        <w:tc>
          <w:tcPr>
            <w:tcW w:w="6940" w:type="dxa"/>
            <w:vAlign w:val="bottom"/>
            <w:gridSpan w:val="11"/>
          </w:tcPr>
          <w:p>
            <w:pPr>
              <w:ind w:left="140"/>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F</w:t>
            </w:r>
          </w:p>
        </w:tc>
        <w:tc>
          <w:tcPr>
            <w:tcW w:w="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101.LA</w:t>
            </w:r>
          </w:p>
        </w:tc>
        <w:tc>
          <w:tcPr>
            <w:tcW w:w="6940" w:type="dxa"/>
            <w:vAlign w:val="bottom"/>
            <w:gridSpan w:val="11"/>
            <w:shd w:val="clear" w:color="auto" w:fill="CFF0FC"/>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B</w:t>
            </w:r>
          </w:p>
        </w:tc>
        <w:tc>
          <w:tcPr>
            <w:tcW w:w="14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5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r>
              <w:rPr>
                <w:rFonts w:ascii="Arial" w:cs="Arial" w:eastAsia="Arial" w:hAnsi="Arial"/>
                <w:sz w:val="18"/>
                <w:szCs w:val="18"/>
                <w:color w:val="auto"/>
                <w:w w:val="88"/>
              </w:rPr>
              <w:t>101.PRE</w:t>
            </w:r>
          </w:p>
        </w:tc>
        <w:tc>
          <w:tcPr>
            <w:tcW w:w="6940" w:type="dxa"/>
            <w:vAlign w:val="bottom"/>
            <w:gridSpan w:val="11"/>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104</w:t>
            </w:r>
          </w:p>
        </w:tc>
        <w:tc>
          <w:tcPr>
            <w:tcW w:w="6940" w:type="dxa"/>
            <w:vAlign w:val="bottom"/>
            <w:gridSpan w:val="11"/>
            <w:shd w:val="clear" w:color="auto" w:fill="CFF0FC"/>
          </w:tcPr>
          <w:p>
            <w:pPr>
              <w:ind w:left="140"/>
              <w:spacing w:after="0"/>
              <w:rPr>
                <w:sz w:val="20"/>
                <w:szCs w:val="20"/>
                <w:color w:val="auto"/>
              </w:rPr>
            </w:pPr>
            <w:r>
              <w:rPr>
                <w:rFonts w:ascii="Arial" w:cs="Arial" w:eastAsia="Arial" w:hAnsi="Arial"/>
                <w:sz w:val="18"/>
                <w:szCs w:val="18"/>
                <w:color w:val="auto"/>
                <w:w w:val="95"/>
              </w:rPr>
              <w:t>Cover Page Interactive Data File (formatted as inline XBRL and contained in Exhibit 101)</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059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62" w:lineRule="exact"/>
        <w:rPr>
          <w:sz w:val="20"/>
          <w:szCs w:val="20"/>
          <w:color w:val="auto"/>
        </w:rPr>
      </w:pPr>
    </w:p>
    <w:p>
      <w:pPr>
        <w:ind w:firstLine="8"/>
        <w:spacing w:after="0" w:line="256" w:lineRule="auto"/>
        <w:tabs>
          <w:tab w:leader="none" w:pos="2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Willis Towers Watson Public Limited Company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Carl A. Hess</w:t>
            </w:r>
          </w:p>
        </w:tc>
        <w:tc>
          <w:tcPr>
            <w:tcW w:w="60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October 26, 2023</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40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800" w:type="dxa"/>
            <w:vAlign w:val="bottom"/>
          </w:tcPr>
          <w:p>
            <w:pPr>
              <w:ind w:left="40"/>
              <w:spacing w:after="0"/>
              <w:rPr>
                <w:sz w:val="20"/>
                <w:szCs w:val="20"/>
                <w:color w:val="auto"/>
              </w:rPr>
            </w:pPr>
            <w:r>
              <w:rPr>
                <w:rFonts w:ascii="Arial" w:cs="Arial" w:eastAsia="Arial" w:hAnsi="Arial"/>
                <w:sz w:val="18"/>
                <w:szCs w:val="18"/>
                <w:color w:val="auto"/>
              </w:rPr>
              <w:t>Name:</w:t>
            </w:r>
          </w:p>
        </w:tc>
        <w:tc>
          <w:tcPr>
            <w:tcW w:w="4560" w:type="dxa"/>
            <w:vAlign w:val="bottom"/>
          </w:tcPr>
          <w:p>
            <w:pPr>
              <w:ind w:left="280"/>
              <w:spacing w:after="0"/>
              <w:rPr>
                <w:sz w:val="20"/>
                <w:szCs w:val="20"/>
                <w:color w:val="auto"/>
              </w:rPr>
            </w:pPr>
            <w:r>
              <w:rPr>
                <w:rFonts w:ascii="Arial" w:cs="Arial" w:eastAsia="Arial" w:hAnsi="Arial"/>
                <w:sz w:val="18"/>
                <w:szCs w:val="18"/>
                <w:color w:val="auto"/>
              </w:rPr>
              <w:t>Carl A. Hess</w:t>
            </w:r>
          </w:p>
        </w:tc>
        <w:tc>
          <w:tcPr>
            <w:tcW w:w="6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00" w:type="dxa"/>
            <w:vAlign w:val="bottom"/>
          </w:tcPr>
          <w:p>
            <w:pPr>
              <w:ind w:left="40"/>
              <w:spacing w:after="0"/>
              <w:rPr>
                <w:sz w:val="20"/>
                <w:szCs w:val="20"/>
                <w:color w:val="auto"/>
              </w:rPr>
            </w:pPr>
            <w:r>
              <w:rPr>
                <w:rFonts w:ascii="Arial" w:cs="Arial" w:eastAsia="Arial" w:hAnsi="Arial"/>
                <w:sz w:val="18"/>
                <w:szCs w:val="18"/>
                <w:color w:val="auto"/>
              </w:rPr>
              <w:t>Title:</w:t>
            </w:r>
          </w:p>
        </w:tc>
        <w:tc>
          <w:tcPr>
            <w:tcW w:w="456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Andrew J. Krasner</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October 26, 2023</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40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800" w:type="dxa"/>
            <w:vAlign w:val="bottom"/>
          </w:tcPr>
          <w:p>
            <w:pPr>
              <w:ind w:left="40"/>
              <w:spacing w:after="0"/>
              <w:rPr>
                <w:sz w:val="20"/>
                <w:szCs w:val="20"/>
                <w:color w:val="auto"/>
              </w:rPr>
            </w:pPr>
            <w:r>
              <w:rPr>
                <w:rFonts w:ascii="Arial" w:cs="Arial" w:eastAsia="Arial" w:hAnsi="Arial"/>
                <w:sz w:val="18"/>
                <w:szCs w:val="18"/>
                <w:color w:val="auto"/>
              </w:rPr>
              <w:t>Name:</w:t>
            </w:r>
          </w:p>
        </w:tc>
        <w:tc>
          <w:tcPr>
            <w:tcW w:w="4560" w:type="dxa"/>
            <w:vAlign w:val="bottom"/>
          </w:tcPr>
          <w:p>
            <w:pPr>
              <w:ind w:left="280"/>
              <w:spacing w:after="0"/>
              <w:rPr>
                <w:sz w:val="20"/>
                <w:szCs w:val="20"/>
                <w:color w:val="auto"/>
              </w:rPr>
            </w:pPr>
            <w:r>
              <w:rPr>
                <w:rFonts w:ascii="Arial" w:cs="Arial" w:eastAsia="Arial" w:hAnsi="Arial"/>
                <w:sz w:val="18"/>
                <w:szCs w:val="18"/>
                <w:color w:val="auto"/>
              </w:rPr>
              <w:t>Andrew J. Krasner</w:t>
            </w:r>
          </w:p>
        </w:tc>
        <w:tc>
          <w:tcPr>
            <w:tcW w:w="6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00" w:type="dxa"/>
            <w:vAlign w:val="bottom"/>
          </w:tcPr>
          <w:p>
            <w:pPr>
              <w:ind w:left="40"/>
              <w:spacing w:after="0"/>
              <w:rPr>
                <w:sz w:val="20"/>
                <w:szCs w:val="20"/>
                <w:color w:val="auto"/>
              </w:rPr>
            </w:pPr>
            <w:r>
              <w:rPr>
                <w:rFonts w:ascii="Arial" w:cs="Arial" w:eastAsia="Arial" w:hAnsi="Arial"/>
                <w:sz w:val="18"/>
                <w:szCs w:val="18"/>
                <w:color w:val="auto"/>
              </w:rPr>
              <w:t>Title:</w:t>
            </w:r>
          </w:p>
        </w:tc>
        <w:tc>
          <w:tcPr>
            <w:tcW w:w="456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Joseph S. Kurpis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October 26, 2023</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40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800" w:type="dxa"/>
            <w:vAlign w:val="bottom"/>
          </w:tcPr>
          <w:p>
            <w:pPr>
              <w:ind w:left="40"/>
              <w:spacing w:after="0"/>
              <w:rPr>
                <w:sz w:val="20"/>
                <w:szCs w:val="20"/>
                <w:color w:val="auto"/>
              </w:rPr>
            </w:pPr>
            <w:r>
              <w:rPr>
                <w:rFonts w:ascii="Arial" w:cs="Arial" w:eastAsia="Arial" w:hAnsi="Arial"/>
                <w:sz w:val="18"/>
                <w:szCs w:val="18"/>
                <w:color w:val="auto"/>
              </w:rPr>
              <w:t>Name:</w:t>
            </w:r>
          </w:p>
        </w:tc>
        <w:tc>
          <w:tcPr>
            <w:tcW w:w="4560" w:type="dxa"/>
            <w:vAlign w:val="bottom"/>
          </w:tcPr>
          <w:p>
            <w:pPr>
              <w:ind w:left="280"/>
              <w:spacing w:after="0"/>
              <w:rPr>
                <w:sz w:val="20"/>
                <w:szCs w:val="20"/>
                <w:color w:val="auto"/>
              </w:rPr>
            </w:pPr>
            <w:r>
              <w:rPr>
                <w:rFonts w:ascii="Arial" w:cs="Arial" w:eastAsia="Arial" w:hAnsi="Arial"/>
                <w:sz w:val="18"/>
                <w:szCs w:val="18"/>
                <w:color w:val="auto"/>
              </w:rPr>
              <w:t>Joseph S. Kurpis</w:t>
            </w:r>
          </w:p>
        </w:tc>
        <w:tc>
          <w:tcPr>
            <w:tcW w:w="6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00" w:type="dxa"/>
            <w:vAlign w:val="bottom"/>
          </w:tcPr>
          <w:p>
            <w:pPr>
              <w:ind w:left="40"/>
              <w:spacing w:after="0"/>
              <w:rPr>
                <w:sz w:val="20"/>
                <w:szCs w:val="20"/>
                <w:color w:val="auto"/>
              </w:rPr>
            </w:pPr>
            <w:r>
              <w:rPr>
                <w:rFonts w:ascii="Arial" w:cs="Arial" w:eastAsia="Arial" w:hAnsi="Arial"/>
                <w:sz w:val="18"/>
                <w:szCs w:val="18"/>
                <w:color w:val="auto"/>
              </w:rPr>
              <w:t>Title:</w:t>
            </w:r>
          </w:p>
        </w:tc>
        <w:tc>
          <w:tcPr>
            <w:tcW w:w="4560" w:type="dxa"/>
            <w:vAlign w:val="bottom"/>
          </w:tcPr>
          <w:p>
            <w:pPr>
              <w:ind w:left="280"/>
              <w:spacing w:after="0"/>
              <w:rPr>
                <w:sz w:val="20"/>
                <w:szCs w:val="20"/>
                <w:color w:val="auto"/>
              </w:rPr>
            </w:pPr>
            <w:r>
              <w:rPr>
                <w:rFonts w:ascii="Arial" w:cs="Arial" w:eastAsia="Arial" w:hAnsi="Arial"/>
                <w:sz w:val="18"/>
                <w:szCs w:val="18"/>
                <w:color w:val="auto"/>
              </w:rPr>
              <w:t>Principal Accounting Officer and Controller</w:t>
            </w: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0"/>
        </w:trPr>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Issuers and Guarantor Subsidiaries</w:t>
      </w:r>
    </w:p>
    <w:p>
      <w:pPr>
        <w:spacing w:after="0" w:line="200" w:lineRule="exact"/>
        <w:rPr>
          <w:sz w:val="20"/>
          <w:szCs w:val="20"/>
          <w:color w:val="auto"/>
        </w:rPr>
      </w:pPr>
    </w:p>
    <w:p>
      <w:pPr>
        <w:spacing w:after="0" w:line="312" w:lineRule="exact"/>
        <w:rPr>
          <w:sz w:val="20"/>
          <w:szCs w:val="20"/>
          <w:color w:val="auto"/>
        </w:rPr>
      </w:pPr>
    </w:p>
    <w:p>
      <w:pPr>
        <w:ind w:right="540"/>
        <w:spacing w:after="0" w:line="307" w:lineRule="auto"/>
        <w:rPr>
          <w:sz w:val="20"/>
          <w:szCs w:val="20"/>
          <w:color w:val="auto"/>
        </w:rPr>
      </w:pPr>
      <w:r>
        <w:rPr>
          <w:rFonts w:ascii="Arial" w:cs="Arial" w:eastAsia="Arial" w:hAnsi="Arial"/>
          <w:sz w:val="17"/>
          <w:szCs w:val="17"/>
          <w:color w:val="auto"/>
        </w:rPr>
        <w:t>The below table sets forth the respective issuers and guarantors of the notes issued or guaranteed by Willis Towers Watson Public Limited Company, Trinity Acquisition plc and Willis North America Inc. and the jurisdiction of incorporation or organization for each such entity.</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58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820" w:type="dxa"/>
            <w:vAlign w:val="bottom"/>
            <w:tcBorders>
              <w:top w:val="single" w:sz="8" w:color="auto"/>
              <w:bottom w:val="single" w:sz="8" w:color="auto"/>
              <w:right w:val="single" w:sz="8" w:color="auto"/>
            </w:tcBorders>
          </w:tcPr>
          <w:p>
            <w:pPr>
              <w:spacing w:after="0"/>
              <w:rPr>
                <w:sz w:val="18"/>
                <w:szCs w:val="18"/>
                <w:color w:val="auto"/>
              </w:rPr>
            </w:pP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Trinity Acquisition plc</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Willis North America Inc.</w:t>
            </w:r>
          </w:p>
        </w:tc>
      </w:tr>
      <w:tr>
        <w:trPr>
          <w:trHeight w:val="126"/>
        </w:trPr>
        <w:tc>
          <w:tcPr>
            <w:tcW w:w="358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29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2"/>
              </w:rPr>
              <w:t>3.600% senior notes due 2024</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92"/>
              </w:rPr>
              <w:t>4.650% senior notes due 2027</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92"/>
              </w:rPr>
              <w:t>4.500% senior notes due 2028</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92"/>
              </w:rPr>
              <w:t>2.950% senior notes due 2029</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93"/>
              </w:rPr>
              <w:t>Jurisdiction of</w:t>
            </w: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92"/>
              </w:rPr>
              <w:t>5.350% senior notes due 2033</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3"/>
                <w:szCs w:val="13"/>
                <w:b w:val="1"/>
                <w:bCs w:val="1"/>
                <w:color w:val="auto"/>
                <w:w w:val="97"/>
              </w:rPr>
              <w:t>Incorporation or</w:t>
            </w:r>
          </w:p>
        </w:tc>
        <w:tc>
          <w:tcPr>
            <w:tcW w:w="2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92"/>
              </w:rPr>
              <w:t>4.400% senior notes due 2026</w:t>
            </w:r>
          </w:p>
        </w:tc>
        <w:tc>
          <w:tcPr>
            <w:tcW w:w="2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92"/>
              </w:rPr>
              <w:t>5.050% senior notes due 2048</w:t>
            </w:r>
          </w:p>
        </w:tc>
      </w:tr>
      <w:tr>
        <w:trPr>
          <w:trHeight w:val="174"/>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Entity</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Organization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6.125% senior notes due 2043</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3.875% senior notes due 2049</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Towers Watson Public Limited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Trinity Acquisition plc</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Issuer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North America Inc.</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Delaware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Issuer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Netherlands Holdings B.V.</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Netherlands</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Investment UK Holdings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TA I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Group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Towers Watson Sub Holdings Unlimited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Towers Watson UK Holdings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Guarantor</w:t>
            </w:r>
          </w:p>
        </w:tc>
      </w:tr>
      <w:tr>
        <w:trPr>
          <w:trHeight w:val="324"/>
        </w:trPr>
        <w:tc>
          <w:tcPr>
            <w:tcW w:w="35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Willis Towers Watson Public Limited Company;</w:t>
      </w:r>
    </w:p>
    <w:p>
      <w:pPr>
        <w:spacing w:after="0" w:line="116"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80" w:right="260" w:hanging="472"/>
        <w:spacing w:after="0" w:line="307"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480" w:right="300" w:hanging="472"/>
        <w:spacing w:after="0" w:line="263"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73"/>
        <w:spacing w:after="0" w:line="263"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400" w:hanging="473"/>
        <w:spacing w:after="0" w:line="263"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73"/>
        <w:spacing w:after="0" w:line="341" w:lineRule="auto"/>
        <w:tabs>
          <w:tab w:leader="none" w:pos="9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80" w:hanging="473"/>
        <w:spacing w:after="0" w:line="263"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80" w:right="180" w:hanging="472"/>
        <w:spacing w:after="0" w:line="307"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73"/>
        <w:spacing w:after="0" w:line="341" w:lineRule="auto"/>
        <w:tabs>
          <w:tab w:leader="none" w:pos="9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500" w:hanging="473"/>
        <w:spacing w:after="0" w:line="277"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26, 2023</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706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Willis Towers Watson Public Limited Company;</w:t>
      </w:r>
    </w:p>
    <w:p>
      <w:pPr>
        <w:spacing w:after="0" w:line="116"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80" w:right="260" w:hanging="472"/>
        <w:spacing w:after="0" w:line="307" w:lineRule="auto"/>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480" w:right="300" w:hanging="472"/>
        <w:spacing w:after="0" w:line="263"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73"/>
        <w:spacing w:after="0" w:line="263"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400" w:hanging="473"/>
        <w:spacing w:after="0" w:line="263"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73"/>
        <w:spacing w:after="0" w:line="341" w:lineRule="auto"/>
        <w:tabs>
          <w:tab w:leader="none" w:pos="9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80" w:hanging="473"/>
        <w:spacing w:after="0" w:line="263"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80" w:right="180" w:hanging="472"/>
        <w:spacing w:after="0" w:line="307" w:lineRule="auto"/>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73"/>
        <w:spacing w:after="0" w:line="341" w:lineRule="auto"/>
        <w:tabs>
          <w:tab w:leader="none" w:pos="9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500" w:hanging="473"/>
        <w:spacing w:after="0" w:line="277"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26, 2023</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7060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188" w:lineRule="exact"/>
        <w:rPr>
          <w:sz w:val="20"/>
          <w:szCs w:val="20"/>
          <w:color w:val="auto"/>
        </w:rPr>
      </w:pPr>
    </w:p>
    <w:p>
      <w:pPr>
        <w:ind w:left="1040" w:right="640" w:hanging="567"/>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September 30, 2023 (the ‘Report’) fully complies with the requirements of Section 13(a) or Section 15(d), as applicable, of the Exchange Act; and</w:t>
      </w:r>
    </w:p>
    <w:p>
      <w:pPr>
        <w:spacing w:after="0" w:line="61" w:lineRule="exact"/>
        <w:rPr>
          <w:rFonts w:ascii="Arial" w:cs="Arial" w:eastAsia="Arial" w:hAnsi="Arial"/>
          <w:sz w:val="18"/>
          <w:szCs w:val="18"/>
          <w:color w:val="auto"/>
        </w:rPr>
      </w:pPr>
    </w:p>
    <w:p>
      <w:pPr>
        <w:ind w:left="1040" w:right="540" w:hanging="567"/>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26, 2023</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7060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7060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Roman"/>
      <w:start w:val="1"/>
    </w:lvl>
  </w:abstractNum>
  <w:abstractNum w:abstractNumId="6">
    <w:nsid w:val="333AB105"/>
    <w:multiLevelType w:val="hybridMultilevel"/>
    <w:lvl w:ilvl="0">
      <w:lvlJc w:val="left"/>
      <w:lvlText w:val="(%1)"/>
      <w:numFmt w:val="lowerRoman"/>
      <w:start w:val="1"/>
    </w:lvl>
  </w:abstractNum>
  <w:abstractNum w:abstractNumId="7">
    <w:nsid w:val="721DA317"/>
    <w:multiLevelType w:val="hybridMultilevel"/>
    <w:lvl w:ilvl="0">
      <w:lvlJc w:val="left"/>
      <w:lvlText w:val="(%1)"/>
      <w:numFmt w:val="lowerRoman"/>
      <w:start w:val="1"/>
    </w:lvl>
  </w:abstractNum>
  <w:abstractNum w:abstractNumId="8">
    <w:nsid w:val="2443A858"/>
    <w:multiLevelType w:val="hybridMultilevel"/>
    <w:lvl w:ilvl="0">
      <w:lvlJc w:val="left"/>
      <w:lvlText w:val="(%1)"/>
      <w:numFmt w:val="lowerRoman"/>
      <w:start w:val="1"/>
    </w:lvl>
  </w:abstractNum>
  <w:abstractNum w:abstractNumId="9">
    <w:nsid w:val="2D1D5AE9"/>
    <w:multiLevelType w:val="hybridMultilevel"/>
    <w:lvl w:ilvl="0">
      <w:lvlJc w:val="left"/>
      <w:lvlText w:val="(%1)"/>
      <w:numFmt w:val="lowerRoman"/>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lowerRoman"/>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lowerRoman"/>
      <w:start w:val="1"/>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1)"/>
      <w:numFmt w:val="lowerRoman"/>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lowerRoman"/>
      <w:start w:val="1"/>
    </w:lvl>
  </w:abstractNum>
  <w:abstractNum w:abstractNumId="23">
    <w:nsid w:val="8138641"/>
    <w:multiLevelType w:val="hybridMultilevel"/>
    <w:lvl w:ilvl="0">
      <w:lvlJc w:val="left"/>
      <w:lvlText w:val="(%1)"/>
      <w:numFmt w:val="lowerRoman"/>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Roman"/>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2023-10-26T12:00:18Z</dcterms:created>
  <dcterms:modified xsi:type="dcterms:W3CDTF">2023-10-26T12:00:18Z</dcterms:modified>
</cp:coreProperties>
</file>