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654050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-228600</wp:posOffset>
            </wp:positionV>
            <wp:extent cx="28600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60040" cy="8255"/>
                    </a:xfrm>
                    <a:prstGeom prst="rect">
                      <a:avLst/>
                    </a:prstGeom>
                    <a:noFill/>
                  </pic:spPr>
                </pic:pic>
              </a:graphicData>
            </a:graphic>
          </wp:anchor>
        </w:drawing>
      </w:r>
    </w:p>
    <w:p>
      <w:pPr>
        <w:spacing w:after="0" w:line="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36" w:lineRule="exact"/>
        <w:rPr>
          <w:sz w:val="24"/>
          <w:szCs w:val="24"/>
          <w:color w:val="auto"/>
        </w:rPr>
      </w:pPr>
    </w:p>
    <w:p>
      <w:pPr>
        <w:ind w:left="520" w:hanging="499"/>
        <w:spacing w:after="0"/>
        <w:tabs>
          <w:tab w:leader="none" w:pos="5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2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38" w:lineRule="exact"/>
        <w:rPr>
          <w:sz w:val="24"/>
          <w:szCs w:val="24"/>
          <w:color w:val="auto"/>
        </w:rPr>
      </w:pPr>
    </w:p>
    <w:p>
      <w:pPr>
        <w:ind w:left="520" w:hanging="499"/>
        <w:spacing w:after="0"/>
        <w:tabs>
          <w:tab w:leader="none" w:pos="5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79" w:lineRule="exact"/>
        <w:rPr>
          <w:sz w:val="24"/>
          <w:szCs w:val="24"/>
          <w:color w:val="auto"/>
        </w:rPr>
      </w:pPr>
    </w:p>
    <w:p>
      <w:pPr>
        <w:ind w:left="2900"/>
        <w:spacing w:after="0"/>
        <w:tabs>
          <w:tab w:leader="none" w:pos="62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-20320</wp:posOffset>
            </wp:positionV>
            <wp:extent cx="57086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865" cy="8255"/>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001-16503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113665</wp:posOffset>
            </wp:positionV>
            <wp:extent cx="28511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5115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259715</wp:posOffset>
            </wp:positionV>
            <wp:extent cx="1198880" cy="38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98880" cy="3854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WILLIS TOWERS WATSON PUBLIC LIMITED COMPANY</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2145665</wp:posOffset>
            </wp:positionH>
            <wp:positionV relativeFrom="paragraph">
              <wp:posOffset>94615</wp:posOffset>
            </wp:positionV>
            <wp:extent cx="2851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851150" cy="8255"/>
                    </a:xfrm>
                    <a:prstGeom prst="rect">
                      <a:avLst/>
                    </a:prstGeom>
                    <a:noFill/>
                  </pic:spPr>
                </pic:pic>
              </a:graphicData>
            </a:graphic>
          </wp:anchor>
        </w:drawing>
      </w:r>
    </w:p>
    <w:p>
      <w:pPr>
        <w:spacing w:after="0" w:line="383" w:lineRule="exact"/>
        <w:rPr>
          <w:sz w:val="24"/>
          <w:szCs w:val="24"/>
          <w:color w:val="auto"/>
        </w:rPr>
      </w:pPr>
    </w:p>
    <w:tbl>
      <w:tblPr>
        <w:tblLayout w:type="fixed"/>
        <w:tblInd w:w="0" w:type="dxa"/>
        <w:tblCellMar>
          <w:top w:w="0" w:type="dxa"/>
          <w:left w:w="0" w:type="dxa"/>
          <w:bottom w:w="0" w:type="dxa"/>
          <w:right w:w="0" w:type="dxa"/>
        </w:tblCellMar>
      </w:tblPr>
      <w:tr>
        <w:trPr>
          <w:trHeight w:val="193"/>
        </w:trPr>
        <w:tc>
          <w:tcPr>
            <w:tcW w:w="4400" w:type="dxa"/>
            <w:vAlign w:val="bottom"/>
            <w:gridSpan w:val="2"/>
            <w:vMerge w:val="restart"/>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Ireland</w:t>
            </w:r>
          </w:p>
        </w:tc>
        <w:tc>
          <w:tcPr>
            <w:tcW w:w="1680" w:type="dxa"/>
            <w:vAlign w:val="bottom"/>
          </w:tcPr>
          <w:p>
            <w:pPr>
              <w:spacing w:after="0"/>
              <w:rPr>
                <w:sz w:val="16"/>
                <w:szCs w:val="16"/>
                <w:color w:val="auto"/>
              </w:rPr>
            </w:pPr>
          </w:p>
        </w:tc>
        <w:tc>
          <w:tcPr>
            <w:tcW w:w="5160" w:type="dxa"/>
            <w:vAlign w:val="bottom"/>
            <w:gridSpan w:val="2"/>
          </w:tcPr>
          <w:p>
            <w:pPr>
              <w:jc w:val="right"/>
              <w:ind w:right="2228"/>
              <w:spacing w:after="0"/>
              <w:rPr>
                <w:sz w:val="20"/>
                <w:szCs w:val="20"/>
                <w:color w:val="auto"/>
              </w:rPr>
            </w:pPr>
            <w:r>
              <w:rPr>
                <w:rFonts w:ascii="Times New Roman" w:cs="Times New Roman" w:eastAsia="Times New Roman" w:hAnsi="Times New Roman"/>
                <w:sz w:val="16"/>
                <w:szCs w:val="16"/>
                <w:b w:val="1"/>
                <w:bCs w:val="1"/>
                <w:color w:val="auto"/>
              </w:rPr>
              <w:t>98-0352587</w:t>
            </w:r>
          </w:p>
        </w:tc>
        <w:tc>
          <w:tcPr>
            <w:tcW w:w="0" w:type="dxa"/>
            <w:vAlign w:val="bottom"/>
          </w:tcPr>
          <w:p>
            <w:pPr>
              <w:spacing w:after="0"/>
              <w:rPr>
                <w:sz w:val="1"/>
                <w:szCs w:val="1"/>
                <w:color w:val="auto"/>
              </w:rPr>
            </w:pPr>
          </w:p>
        </w:tc>
      </w:tr>
      <w:tr>
        <w:trPr>
          <w:trHeight w:val="67"/>
        </w:trPr>
        <w:tc>
          <w:tcPr>
            <w:tcW w:w="4400" w:type="dxa"/>
            <w:vAlign w:val="bottom"/>
            <w:gridSpan w:val="2"/>
            <w:vMerge w:val="continue"/>
          </w:tcPr>
          <w:p>
            <w:pPr>
              <w:spacing w:after="0"/>
              <w:rPr>
                <w:sz w:val="5"/>
                <w:szCs w:val="5"/>
                <w:color w:val="auto"/>
              </w:rPr>
            </w:pPr>
          </w:p>
        </w:tc>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5040" w:type="dxa"/>
            <w:vAlign w:val="bottom"/>
            <w:vMerge w:val="restart"/>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(I.R.S. Employer</w:t>
            </w:r>
          </w:p>
        </w:tc>
        <w:tc>
          <w:tcPr>
            <w:tcW w:w="0" w:type="dxa"/>
            <w:vAlign w:val="bottom"/>
          </w:tcPr>
          <w:p>
            <w:pPr>
              <w:spacing w:after="0"/>
              <w:rPr>
                <w:sz w:val="1"/>
                <w:szCs w:val="1"/>
                <w:color w:val="auto"/>
              </w:rPr>
            </w:pPr>
          </w:p>
        </w:tc>
      </w:tr>
      <w:tr>
        <w:trPr>
          <w:trHeight w:val="121"/>
        </w:trPr>
        <w:tc>
          <w:tcPr>
            <w:tcW w:w="4400" w:type="dxa"/>
            <w:vAlign w:val="bottom"/>
            <w:gridSpan w:val="2"/>
            <w:vMerge w:val="restart"/>
          </w:tcPr>
          <w:p>
            <w:pPr>
              <w:jc w:val="center"/>
              <w:ind w:left="1045"/>
              <w:spacing w:after="0" w:line="149" w:lineRule="exact"/>
              <w:rPr>
                <w:sz w:val="20"/>
                <w:szCs w:val="20"/>
                <w:color w:val="auto"/>
              </w:rPr>
            </w:pPr>
            <w:r>
              <w:rPr>
                <w:rFonts w:ascii="Times New Roman" w:cs="Times New Roman" w:eastAsia="Times New Roman" w:hAnsi="Times New Roman"/>
                <w:sz w:val="14"/>
                <w:szCs w:val="14"/>
                <w:i w:val="1"/>
                <w:iCs w:val="1"/>
                <w:color w:val="auto"/>
              </w:rPr>
              <w:t>(Jurisdiction of</w:t>
            </w: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0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4400" w:type="dxa"/>
            <w:vAlign w:val="bottom"/>
            <w:gridSpan w:val="2"/>
            <w:vMerge w:val="continue"/>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4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i w:val="1"/>
                <w:iCs w:val="1"/>
                <w:color w:val="auto"/>
              </w:rPr>
              <w:t>Identification No.)</w:t>
            </w:r>
          </w:p>
        </w:tc>
        <w:tc>
          <w:tcPr>
            <w:tcW w:w="0" w:type="dxa"/>
            <w:vAlign w:val="bottom"/>
          </w:tcPr>
          <w:p>
            <w:pPr>
              <w:spacing w:after="0" w:line="20" w:lineRule="exact"/>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incorporation or organization)</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47"/>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c/o Willis Group Limited</w:t>
            </w: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6"/>
                <w:szCs w:val="16"/>
                <w:b w:val="1"/>
                <w:bCs w:val="1"/>
                <w:color w:val="auto"/>
              </w:rPr>
              <w:t>51 Lime Street, London EC3M 7DQ, England</w:t>
            </w:r>
          </w:p>
        </w:tc>
        <w:tc>
          <w:tcPr>
            <w:tcW w:w="1680" w:type="dxa"/>
            <w:vAlign w:val="bottom"/>
          </w:tcPr>
          <w:p>
            <w:pPr>
              <w:spacing w:after="0"/>
              <w:rPr>
                <w:sz w:val="16"/>
                <w:szCs w:val="16"/>
                <w:color w:val="auto"/>
              </w:rPr>
            </w:pPr>
          </w:p>
        </w:tc>
        <w:tc>
          <w:tcPr>
            <w:tcW w:w="5160" w:type="dxa"/>
            <w:vAlign w:val="bottom"/>
            <w:gridSpan w:val="2"/>
          </w:tcPr>
          <w:p>
            <w:pPr>
              <w:jc w:val="right"/>
              <w:ind w:right="1868"/>
              <w:spacing w:after="0"/>
              <w:rPr>
                <w:sz w:val="20"/>
                <w:szCs w:val="20"/>
                <w:color w:val="auto"/>
              </w:rPr>
            </w:pPr>
            <w:r>
              <w:rPr>
                <w:rFonts w:ascii="Times New Roman" w:cs="Times New Roman" w:eastAsia="Times New Roman" w:hAnsi="Times New Roman"/>
                <w:sz w:val="16"/>
                <w:szCs w:val="16"/>
                <w:b w:val="1"/>
                <w:bCs w:val="1"/>
                <w:color w:val="auto"/>
              </w:rPr>
              <w:t>(011) 44-20-3124-6000</w:t>
            </w:r>
          </w:p>
        </w:tc>
        <w:tc>
          <w:tcPr>
            <w:tcW w:w="0" w:type="dxa"/>
            <w:vAlign w:val="bottom"/>
          </w:tcPr>
          <w:p>
            <w:pPr>
              <w:spacing w:after="0"/>
              <w:rPr>
                <w:sz w:val="1"/>
                <w:szCs w:val="1"/>
                <w:color w:val="auto"/>
              </w:rPr>
            </w:pPr>
          </w:p>
        </w:tc>
      </w:tr>
      <w:tr>
        <w:trPr>
          <w:trHeight w:val="188"/>
        </w:trPr>
        <w:tc>
          <w:tcPr>
            <w:tcW w:w="4400" w:type="dxa"/>
            <w:vAlign w:val="bottom"/>
            <w:gridSpan w:val="2"/>
          </w:tcPr>
          <w:p>
            <w:pPr>
              <w:jc w:val="center"/>
              <w:ind w:left="104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40" w:type="dxa"/>
            <w:vAlign w:val="bottom"/>
          </w:tcPr>
          <w:p>
            <w:pPr>
              <w:jc w:val="center"/>
              <w:ind w:right="268"/>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c>
          <w:tcPr>
            <w:tcW w:w="0" w:type="dxa"/>
            <w:vAlign w:val="bottom"/>
          </w:tcPr>
          <w:p>
            <w:pPr>
              <w:spacing w:after="0"/>
              <w:rPr>
                <w:sz w:val="1"/>
                <w:szCs w:val="1"/>
                <w:color w:val="auto"/>
              </w:rPr>
            </w:pPr>
          </w:p>
        </w:tc>
      </w:tr>
      <w:tr>
        <w:trPr>
          <w:trHeight w:val="270"/>
        </w:trPr>
        <w:tc>
          <w:tcPr>
            <w:tcW w:w="4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1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400" w:type="dxa"/>
            <w:vAlign w:val="bottom"/>
            <w:gridSpan w:val="2"/>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23"/>
                <w:szCs w:val="23"/>
                <w:color w:val="auto"/>
              </w:rPr>
            </w:pPr>
          </w:p>
        </w:tc>
        <w:tc>
          <w:tcPr>
            <w:tcW w:w="5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gridSpan w:val="2"/>
            <w:vMerge w:val="continue"/>
          </w:tcPr>
          <w:p>
            <w:pPr>
              <w:spacing w:after="0"/>
              <w:rPr>
                <w:sz w:val="16"/>
                <w:szCs w:val="16"/>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Ordinary Shares, nominal value $0.000304635 per share</w:t>
            </w:r>
          </w:p>
        </w:tc>
        <w:tc>
          <w:tcPr>
            <w:tcW w:w="120" w:type="dxa"/>
            <w:vAlign w:val="bottom"/>
          </w:tcPr>
          <w:p>
            <w:pPr>
              <w:spacing w:after="0"/>
              <w:rPr>
                <w:sz w:val="15"/>
                <w:szCs w:val="15"/>
                <w:color w:val="auto"/>
              </w:rPr>
            </w:pPr>
          </w:p>
        </w:tc>
        <w:tc>
          <w:tcPr>
            <w:tcW w:w="16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WTW</w:t>
            </w:r>
          </w:p>
        </w:tc>
        <w:tc>
          <w:tcPr>
            <w:tcW w:w="120" w:type="dxa"/>
            <w:vAlign w:val="bottom"/>
          </w:tcPr>
          <w:p>
            <w:pPr>
              <w:spacing w:after="0"/>
              <w:rPr>
                <w:sz w:val="15"/>
                <w:szCs w:val="15"/>
                <w:color w:val="auto"/>
              </w:rPr>
            </w:pPr>
          </w:p>
        </w:tc>
        <w:tc>
          <w:tcPr>
            <w:tcW w:w="50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NASDAQ Global Select Market</w:t>
            </w:r>
          </w:p>
        </w:tc>
        <w:tc>
          <w:tcPr>
            <w:tcW w:w="0" w:type="dxa"/>
            <w:vAlign w:val="bottom"/>
          </w:tcPr>
          <w:p>
            <w:pPr>
              <w:spacing w:after="0"/>
              <w:rPr>
                <w:sz w:val="1"/>
                <w:szCs w:val="1"/>
                <w:color w:val="auto"/>
              </w:rPr>
            </w:pPr>
          </w:p>
        </w:tc>
      </w:tr>
      <w:tr>
        <w:trPr>
          <w:trHeight w:val="43"/>
        </w:trPr>
        <w:tc>
          <w:tcPr>
            <w:tcW w:w="4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8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50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138" w:lineRule="exact"/>
        <w:rPr>
          <w:sz w:val="24"/>
          <w:szCs w:val="24"/>
          <w:color w:val="auto"/>
        </w:rPr>
      </w:pPr>
    </w:p>
    <w:p>
      <w:pPr>
        <w:ind w:right="22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60"/>
        <w:spacing w:after="0" w:line="18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60" w:lineRule="exact"/>
        <w:rPr>
          <w:sz w:val="24"/>
          <w:szCs w:val="24"/>
          <w:color w:val="auto"/>
        </w:rPr>
      </w:pPr>
    </w:p>
    <w:p>
      <w:pPr>
        <w:ind w:right="540"/>
        <w:spacing w:after="0" w:line="258"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29" w:right="339" w:bottom="1440" w:gutter="0" w:footer="0" w:header="0"/>
        </w:sectPr>
      </w:pPr>
    </w:p>
    <w:p>
      <w:pPr>
        <w:spacing w:after="0" w:line="139"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Wingdings" w:cs="Wingdings" w:eastAsia="Wingdings" w:hAnsi="Wingdings"/>
          <w:sz w:val="14"/>
          <w:szCs w:val="14"/>
          <w:b w:val="1"/>
          <w:bCs w:val="1"/>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34" w:lineRule="exact"/>
        <w:rPr>
          <w:sz w:val="20"/>
          <w:szCs w:val="20"/>
          <w:color w:val="auto"/>
        </w:rPr>
      </w:pPr>
      <w:r>
        <w:rPr>
          <w:rFonts w:ascii="Wingdings" w:cs="Wingdings" w:eastAsia="Wingdings" w:hAnsi="Wingdings"/>
          <w:sz w:val="12"/>
          <w:szCs w:val="12"/>
          <w:b w:val="1"/>
          <w:bCs w:val="1"/>
          <w:color w:val="auto"/>
        </w:rPr>
        <w: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5" w:lineRule="exact"/>
        <w:rPr>
          <w:sz w:val="20"/>
          <w:szCs w:val="20"/>
          <w:color w:val="auto"/>
        </w:rPr>
      </w:pPr>
      <w:r>
        <w:rPr>
          <w:rFonts w:ascii="Wingdings" w:cs="Wingdings" w:eastAsia="Wingdings" w:hAnsi="Wingdings"/>
          <w:sz w:val="13"/>
          <w:szCs w:val="13"/>
          <w:b w:val="1"/>
          <w:bCs w:val="1"/>
          <w:color w:val="auto"/>
        </w:rPr>
        <w:t></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19"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30" w:lineRule="exact"/>
        <w:rPr>
          <w:sz w:val="24"/>
          <w:szCs w:val="24"/>
          <w:color w:val="auto"/>
        </w:rPr>
      </w:pPr>
    </w:p>
    <w:p>
      <w:pPr>
        <w:sectPr>
          <w:pgSz w:w="11900" w:h="16838" w:orient="portrait"/>
          <w:cols w:equalWidth="0" w:num="8">
            <w:col w:w="1640" w:space="720"/>
            <w:col w:w="200" w:space="720"/>
            <w:col w:w="960" w:space="480"/>
            <w:col w:w="260" w:space="700"/>
            <w:col w:w="1220" w:space="620"/>
            <w:col w:w="400" w:space="720"/>
            <w:col w:w="1620" w:space="720"/>
            <w:col w:w="260"/>
          </w:cols>
          <w:pgMar w:left="320" w:top="1029" w:right="339" w:bottom="1440" w:gutter="0" w:footer="0" w:header="0"/>
          <w:type w:val="continuous"/>
        </w:sectPr>
      </w:pPr>
    </w:p>
    <w:p>
      <w:pPr>
        <w:spacing w:after="0" w:line="44"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174" w:lineRule="exact"/>
        <w:rPr>
          <w:sz w:val="24"/>
          <w:szCs w:val="24"/>
          <w:color w:val="auto"/>
        </w:rPr>
      </w:pPr>
    </w:p>
    <w:p>
      <w:pPr>
        <w:sectPr>
          <w:pgSz w:w="11900" w:h="16838" w:orient="portrait"/>
          <w:cols w:equalWidth="0" w:num="2">
            <w:col w:w="1640" w:space="720"/>
            <w:col w:w="8880"/>
          </w:cols>
          <w:pgMar w:left="320" w:top="1029" w:right="339" w:bottom="1440" w:gutter="0" w:footer="0" w:header="0"/>
          <w:type w:val="continuous"/>
        </w:sectPr>
      </w:pPr>
    </w:p>
    <w:p>
      <w:pPr>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2" w:lineRule="exact"/>
        <w:rPr>
          <w:sz w:val="24"/>
          <w:szCs w:val="24"/>
          <w:color w:val="auto"/>
        </w:rPr>
      </w:pPr>
    </w:p>
    <w:p>
      <w:pPr>
        <w:ind w:right="3380"/>
        <w:spacing w:after="0" w:line="257"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w:t>
      </w:r>
      <w:r>
        <w:rPr>
          <w:rFonts w:ascii="Times New Roman" w:cs="Times New Roman" w:eastAsia="Times New Roman" w:hAnsi="Times New Roman"/>
          <w:sz w:val="14"/>
          <w:szCs w:val="14"/>
          <w:color w:val="auto"/>
        </w:rPr>
        <w:t xml:space="preserve"> As of April 22, 2024, there were outstanding 102,235,963 ordinary shares, nominal value $0.000304635 per share, of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620395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960" w:type="dxa"/>
            <w:vAlign w:val="bottom"/>
            <w:gridSpan w:val="11"/>
          </w:tcPr>
          <w:p>
            <w:pPr>
              <w:ind w:left="200"/>
              <w:spacing w:after="0"/>
              <w:rPr>
                <w:sz w:val="20"/>
                <w:szCs w:val="20"/>
                <w:color w:val="auto"/>
              </w:rPr>
            </w:pPr>
            <w:r>
              <w:rPr>
                <w:rFonts w:ascii="Times New Roman" w:cs="Times New Roman" w:eastAsia="Times New Roman" w:hAnsi="Times New Roman"/>
                <w:sz w:val="18"/>
                <w:szCs w:val="18"/>
                <w:color w:val="auto"/>
              </w:rPr>
              <w:t>For the Three Months Ended March 31, 2024</w:t>
            </w:r>
          </w:p>
        </w:tc>
        <w:tc>
          <w:tcPr>
            <w:tcW w:w="560" w:type="dxa"/>
            <w:vAlign w:val="bottom"/>
          </w:tcPr>
          <w:p>
            <w:pPr>
              <w:spacing w:after="0"/>
              <w:rPr>
                <w:sz w:val="20"/>
                <w:szCs w:val="20"/>
                <w:color w:val="auto"/>
              </w:rPr>
            </w:pPr>
          </w:p>
        </w:tc>
      </w:tr>
      <w:tr>
        <w:trPr>
          <w:trHeight w:val="418"/>
        </w:trPr>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Page</w:t>
            </w:r>
          </w:p>
        </w:tc>
      </w:tr>
      <w:tr>
        <w:trPr>
          <w:trHeight w:val="182"/>
        </w:trPr>
        <w:tc>
          <w:tcPr>
            <w:tcW w:w="40" w:type="dxa"/>
            <w:vAlign w:val="bottom"/>
          </w:tcPr>
          <w:p>
            <w:pPr>
              <w:spacing w:after="0"/>
              <w:rPr>
                <w:sz w:val="15"/>
                <w:szCs w:val="15"/>
                <w:color w:val="auto"/>
              </w:rPr>
            </w:pPr>
          </w:p>
        </w:tc>
        <w:tc>
          <w:tcPr>
            <w:tcW w:w="1400" w:type="dxa"/>
            <w:vAlign w:val="bottom"/>
            <w:tcBorders>
              <w:bottom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w w:val="99"/>
              </w:rPr>
              <w:t>Certain Definitions</w:t>
            </w:r>
          </w:p>
        </w:tc>
        <w:tc>
          <w:tcPr>
            <w:tcW w:w="9240" w:type="dxa"/>
            <w:vAlign w:val="bottom"/>
            <w:gridSpan w:val="22"/>
          </w:tcPr>
          <w:p>
            <w:pPr>
              <w:spacing w:after="0"/>
              <w:rPr>
                <w:sz w:val="15"/>
                <w:szCs w:val="15"/>
                <w:color w:val="auto"/>
              </w:rPr>
            </w:pPr>
          </w:p>
        </w:tc>
        <w:tc>
          <w:tcPr>
            <w:tcW w:w="56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88"/>
              </w:rPr>
              <w:t>3</w:t>
            </w:r>
          </w:p>
        </w:tc>
      </w:tr>
      <w:tr>
        <w:trPr>
          <w:trHeight w:val="223"/>
        </w:trPr>
        <w:tc>
          <w:tcPr>
            <w:tcW w:w="40" w:type="dxa"/>
            <w:vAlign w:val="bottom"/>
          </w:tcPr>
          <w:p>
            <w:pPr>
              <w:spacing w:after="0"/>
              <w:rPr>
                <w:sz w:val="19"/>
                <w:szCs w:val="19"/>
                <w:color w:val="auto"/>
              </w:rPr>
            </w:pPr>
          </w:p>
        </w:tc>
        <w:tc>
          <w:tcPr>
            <w:tcW w:w="10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Disclaimer Regarding Forward-looking Statements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465"/>
        </w:trPr>
        <w:tc>
          <w:tcPr>
            <w:tcW w:w="40" w:type="dxa"/>
            <w:vAlign w:val="bottom"/>
          </w:tcPr>
          <w:p>
            <w:pPr>
              <w:spacing w:after="0"/>
              <w:rPr>
                <w:sz w:val="24"/>
                <w:szCs w:val="24"/>
                <w:color w:val="auto"/>
              </w:rPr>
            </w:pPr>
          </w:p>
        </w:tc>
        <w:tc>
          <w:tcPr>
            <w:tcW w:w="368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960" w:type="dxa"/>
            <w:vAlign w:val="bottom"/>
            <w:gridSpan w:val="11"/>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0"/>
        </w:trPr>
        <w:tc>
          <w:tcPr>
            <w:tcW w:w="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Item 1. Financial Statements (Unaudited)</w:t>
            </w:r>
          </w:p>
        </w:tc>
        <w:tc>
          <w:tcPr>
            <w:tcW w:w="20" w:type="dxa"/>
            <w:vAlign w:val="bottom"/>
            <w:tcBorders>
              <w:bottom w:val="single" w:sz="8" w:color="0000EE"/>
            </w:tcBorders>
          </w:tcPr>
          <w:p>
            <w:pPr>
              <w:spacing w:after="0"/>
              <w:rPr>
                <w:sz w:val="19"/>
                <w:szCs w:val="19"/>
                <w:color w:val="auto"/>
              </w:rPr>
            </w:pPr>
          </w:p>
        </w:tc>
        <w:tc>
          <w:tcPr>
            <w:tcW w:w="7480" w:type="dxa"/>
            <w:vAlign w:val="bottom"/>
            <w:gridSpan w:val="12"/>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1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 Three Months Ended March 31, 2024 and 2023</w:t>
            </w:r>
          </w:p>
        </w:tc>
        <w:tc>
          <w:tcPr>
            <w:tcW w:w="214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8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Condensed Consolidated Balance Sheets - March 31, 2024 and December 31, 2023</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80" w:type="dxa"/>
            <w:vAlign w:val="bottom"/>
            <w:tcBorders>
              <w:right w:val="single" w:sz="8" w:color="0000EE"/>
            </w:tcBorders>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 Three Months Ended March 31, 2024 and 2023</w:t>
            </w:r>
          </w:p>
        </w:tc>
        <w:tc>
          <w:tcPr>
            <w:tcW w:w="20" w:type="dxa"/>
            <w:vAlign w:val="bottom"/>
            <w:tcBorders>
              <w:bottom w:val="single" w:sz="8" w:color="0000EE"/>
            </w:tcBorders>
          </w:tcPr>
          <w:p>
            <w:pPr>
              <w:spacing w:after="0"/>
              <w:rPr>
                <w:sz w:val="19"/>
                <w:szCs w:val="19"/>
                <w:color w:val="auto"/>
              </w:rPr>
            </w:pPr>
          </w:p>
        </w:tc>
        <w:tc>
          <w:tcPr>
            <w:tcW w:w="2980" w:type="dxa"/>
            <w:vAlign w:val="bottom"/>
            <w:gridSpan w:val="3"/>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 Three Months Ended March 31, 2024 and 2023</w:t>
            </w:r>
          </w:p>
        </w:tc>
        <w:tc>
          <w:tcPr>
            <w:tcW w:w="2520" w:type="dxa"/>
            <w:vAlign w:val="bottom"/>
            <w:gridSpan w:val="2"/>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9"/>
                <w:szCs w:val="19"/>
                <w:color w:val="auto"/>
              </w:rPr>
            </w:pPr>
          </w:p>
        </w:tc>
        <w:tc>
          <w:tcPr>
            <w:tcW w:w="6000" w:type="dxa"/>
            <w:vAlign w:val="bottom"/>
            <w:gridSpan w:val="9"/>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Item 2. Management’s Discussion and Analysis of Financial Condition and Results of Operations</w:t>
            </w:r>
          </w:p>
        </w:tc>
        <w:tc>
          <w:tcPr>
            <w:tcW w:w="3460" w:type="dxa"/>
            <w:vAlign w:val="bottom"/>
            <w:gridSpan w:val="5"/>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Item 3. Quantitative and Qualitative Disclosures About Market Risk</w:t>
            </w:r>
          </w:p>
        </w:tc>
        <w:tc>
          <w:tcPr>
            <w:tcW w:w="5560" w:type="dxa"/>
            <w:vAlign w:val="bottom"/>
            <w:gridSpan w:val="7"/>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Controls and Procedures</w:t>
            </w:r>
          </w:p>
        </w:tc>
        <w:tc>
          <w:tcPr>
            <w:tcW w:w="20" w:type="dxa"/>
            <w:vAlign w:val="bottom"/>
            <w:tcBorders>
              <w:bottom w:val="single" w:sz="8" w:color="0000EE"/>
            </w:tcBorders>
          </w:tcPr>
          <w:p>
            <w:pPr>
              <w:spacing w:after="0"/>
              <w:rPr>
                <w:sz w:val="19"/>
                <w:szCs w:val="19"/>
                <w:color w:val="auto"/>
              </w:rPr>
            </w:pPr>
          </w:p>
        </w:tc>
        <w:tc>
          <w:tcPr>
            <w:tcW w:w="8120" w:type="dxa"/>
            <w:vAlign w:val="bottom"/>
            <w:gridSpan w:val="17"/>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w:t>
            </w:r>
          </w:p>
        </w:tc>
      </w:tr>
      <w:tr>
        <w:trPr>
          <w:trHeight w:val="465"/>
        </w:trPr>
        <w:tc>
          <w:tcPr>
            <w:tcW w:w="40" w:type="dxa"/>
            <w:vAlign w:val="bottom"/>
          </w:tcPr>
          <w:p>
            <w:pPr>
              <w:spacing w:after="0"/>
              <w:rPr>
                <w:sz w:val="24"/>
                <w:szCs w:val="24"/>
                <w:color w:val="auto"/>
              </w:rPr>
            </w:pPr>
          </w:p>
        </w:tc>
        <w:tc>
          <w:tcPr>
            <w:tcW w:w="258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7"/>
              </w:rPr>
              <w:t>PART II. OTHER INFORMATION</w:t>
            </w:r>
          </w:p>
        </w:tc>
        <w:tc>
          <w:tcPr>
            <w:tcW w:w="8060" w:type="dxa"/>
            <w:vAlign w:val="bottom"/>
            <w:gridSpan w:val="16"/>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8"/>
              </w:rPr>
              <w:t>Item 1. Legal Proceedings</w:t>
            </w:r>
          </w:p>
        </w:tc>
        <w:tc>
          <w:tcPr>
            <w:tcW w:w="8580" w:type="dxa"/>
            <w:vAlign w:val="bottom"/>
            <w:gridSpan w:val="19"/>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Item 1A. Risk Factors</w:t>
            </w:r>
          </w:p>
        </w:tc>
        <w:tc>
          <w:tcPr>
            <w:tcW w:w="8880" w:type="dxa"/>
            <w:vAlign w:val="bottom"/>
            <w:gridSpan w:val="21"/>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88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Item 3. Defaults Upon Senior Securities</w:t>
            </w:r>
          </w:p>
        </w:tc>
        <w:tc>
          <w:tcPr>
            <w:tcW w:w="5580" w:type="dxa"/>
            <w:vAlign w:val="bottom"/>
            <w:gridSpan w:val="8"/>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Item 4. Mine Safety Disclosures</w:t>
            </w:r>
          </w:p>
        </w:tc>
        <w:tc>
          <w:tcPr>
            <w:tcW w:w="540" w:type="dxa"/>
            <w:vAlign w:val="bottom"/>
            <w:tcBorders>
              <w:top w:val="single" w:sz="8" w:color="0000FF"/>
            </w:tcBorders>
            <w:gridSpan w:val="4"/>
          </w:tcPr>
          <w:p>
            <w:pPr>
              <w:spacing w:after="0"/>
              <w:rPr>
                <w:sz w:val="19"/>
                <w:szCs w:val="19"/>
                <w:color w:val="auto"/>
              </w:rPr>
            </w:pPr>
          </w:p>
        </w:tc>
        <w:tc>
          <w:tcPr>
            <w:tcW w:w="7600" w:type="dxa"/>
            <w:vAlign w:val="bottom"/>
            <w:gridSpan w:val="14"/>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Item 5. Other Information</w:t>
            </w:r>
          </w:p>
        </w:tc>
        <w:tc>
          <w:tcPr>
            <w:tcW w:w="8600" w:type="dxa"/>
            <w:vAlign w:val="bottom"/>
            <w:gridSpan w:val="20"/>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44</w:t>
            </w:r>
          </w:p>
        </w:tc>
      </w:tr>
      <w:tr>
        <w:trPr>
          <w:trHeight w:val="223"/>
        </w:trPr>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6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Item 6. Exhibits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45</w:t>
            </w:r>
          </w:p>
        </w:tc>
      </w:tr>
      <w:tr>
        <w:trPr>
          <w:trHeight w:val="20"/>
        </w:trPr>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9320" w:type="dxa"/>
            <w:vAlign w:val="bottom"/>
            <w:gridSpan w:val="2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3"/>
        </w:trPr>
        <w:tc>
          <w:tcPr>
            <w:tcW w:w="40" w:type="dxa"/>
            <w:vAlign w:val="bottom"/>
          </w:tcPr>
          <w:p>
            <w:pPr>
              <w:spacing w:after="0"/>
              <w:rPr>
                <w:sz w:val="19"/>
                <w:szCs w:val="19"/>
                <w:color w:val="auto"/>
              </w:rPr>
            </w:pPr>
          </w:p>
        </w:tc>
        <w:tc>
          <w:tcPr>
            <w:tcW w:w="10640" w:type="dxa"/>
            <w:vAlign w:val="bottom"/>
            <w:gridSpan w:val="2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r>
      <w:tr>
        <w:trPr>
          <w:trHeight w:val="897"/>
        </w:trPr>
        <w:tc>
          <w:tcPr>
            <w:tcW w:w="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5600" w:type="dxa"/>
            <w:vAlign w:val="bottom"/>
            <w:gridSpan w:val="18"/>
          </w:tcPr>
          <w:p>
            <w:pPr>
              <w:jc w:val="right"/>
              <w:ind w:right="740"/>
              <w:spacing w:after="0"/>
              <w:rPr>
                <w:sz w:val="20"/>
                <w:szCs w:val="20"/>
                <w:color w:val="auto"/>
              </w:rPr>
            </w:pPr>
            <w:r>
              <w:rPr>
                <w:rFonts w:ascii="Times New Roman" w:cs="Times New Roman" w:eastAsia="Times New Roman" w:hAnsi="Times New Roman"/>
                <w:sz w:val="18"/>
                <w:szCs w:val="18"/>
                <w:color w:val="auto"/>
              </w:rPr>
              <w:t>2</w:t>
            </w: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14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Certain Definitions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definitions apply throughout this quarterly report unless the context requires otherwise:</w:t>
      </w:r>
    </w:p>
    <w:p>
      <w:pPr>
        <w:sectPr>
          <w:pgSz w:w="11900" w:h="16838" w:orient="portrait"/>
          <w:cols w:equalWidth="0" w:num="1">
            <w:col w:w="10900"/>
          </w:cols>
          <w:pgMar w:left="320" w:top="764" w:right="679" w:bottom="1440" w:gutter="0" w:footer="0" w:header="0"/>
        </w:sectPr>
      </w:pPr>
    </w:p>
    <w:p>
      <w:pPr>
        <w:spacing w:after="0" w:line="276" w:lineRule="exact"/>
        <w:rPr>
          <w:sz w:val="20"/>
          <w:szCs w:val="20"/>
          <w:color w:val="auto"/>
        </w:rPr>
      </w:pPr>
    </w:p>
    <w:p>
      <w:pPr>
        <w:ind w:left="560"/>
        <w:spacing w:after="0" w:line="312" w:lineRule="auto"/>
        <w:rPr>
          <w:sz w:val="20"/>
          <w:szCs w:val="20"/>
          <w:color w:val="auto"/>
        </w:rPr>
      </w:pPr>
      <w:r>
        <w:rPr>
          <w:rFonts w:ascii="Times New Roman" w:cs="Times New Roman" w:eastAsia="Times New Roman" w:hAnsi="Times New Roman"/>
          <w:sz w:val="17"/>
          <w:szCs w:val="17"/>
          <w:color w:val="auto"/>
        </w:rPr>
        <w:t>‘We’, ‘Us’, ‘Company’, ‘Willis Towers Watson’, ‘Our’, ‘Willis Towers Watson plc’ or ‘WTW’</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a company organized under the laws of Ireland, and its subsidiaries</w:t>
      </w:r>
    </w:p>
    <w:p>
      <w:pPr>
        <w:spacing w:after="0" w:line="122" w:lineRule="exact"/>
        <w:rPr>
          <w:sz w:val="20"/>
          <w:szCs w:val="20"/>
          <w:color w:val="auto"/>
        </w:rPr>
      </w:pPr>
    </w:p>
    <w:p>
      <w:pPr>
        <w:sectPr>
          <w:pgSz w:w="11900" w:h="16838" w:orient="portrait"/>
          <w:cols w:equalWidth="0" w:num="2">
            <w:col w:w="4060" w:space="500"/>
            <w:col w:w="6340"/>
          </w:cols>
          <w:pgMar w:left="320" w:top="764" w:right="6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‘shares’</w:t>
      </w:r>
    </w:p>
    <w:p>
      <w:pPr>
        <w:spacing w:after="0" w:line="20" w:lineRule="exact"/>
        <w:rPr>
          <w:sz w:val="20"/>
          <w:szCs w:val="20"/>
          <w:color w:val="auto"/>
        </w:rPr>
      </w:pPr>
      <w:r>
        <w:rPr>
          <w:sz w:val="20"/>
          <w:szCs w:val="20"/>
          <w:color w:val="auto"/>
        </w:rPr>
        <w:br w:type="column"/>
      </w:r>
    </w:p>
    <w:p>
      <w:pPr>
        <w:ind w:right="120"/>
        <w:spacing w:after="0" w:line="281" w:lineRule="auto"/>
        <w:rPr>
          <w:sz w:val="20"/>
          <w:szCs w:val="20"/>
          <w:color w:val="auto"/>
        </w:rPr>
      </w:pPr>
      <w:r>
        <w:rPr>
          <w:rFonts w:ascii="Times New Roman" w:cs="Times New Roman" w:eastAsia="Times New Roman" w:hAnsi="Times New Roman"/>
          <w:sz w:val="18"/>
          <w:szCs w:val="18"/>
          <w:color w:val="auto"/>
        </w:rPr>
        <w:t>The ordinary shares of Willis Towers Watson Public Limited Company, nominal value $0.000304635 per share</w:t>
      </w:r>
    </w:p>
    <w:p>
      <w:pPr>
        <w:spacing w:after="0" w:line="122"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‘TRANZACT’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TZ Holdings, Inc. and its subsidiaries, doing business as TRANZACT</w:t>
      </w:r>
    </w:p>
    <w:p>
      <w:pPr>
        <w:spacing w:after="0" w:line="195"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8"/>
          <w:szCs w:val="18"/>
          <w:color w:val="auto"/>
        </w:rPr>
        <w:t>‘U.S.’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195" w:lineRule="exact"/>
        <w:rPr>
          <w:sz w:val="20"/>
          <w:szCs w:val="20"/>
          <w:color w:val="auto"/>
        </w:rPr>
      </w:pPr>
    </w:p>
    <w:p>
      <w:pPr>
        <w:sectPr>
          <w:pgSz w:w="11900" w:h="16838" w:orient="portrait"/>
          <w:cols w:equalWidth="0" w:num="2">
            <w:col w:w="3820" w:space="720"/>
            <w:col w:w="6360"/>
          </w:cols>
          <w:pgMar w:left="320" w:top="764" w:right="6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7"/>
          <w:szCs w:val="17"/>
          <w:color w:val="auto"/>
        </w:rPr>
        <w:t>‘U.K.’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Kingdom</w:t>
      </w:r>
    </w:p>
    <w:p>
      <w:pPr>
        <w:spacing w:after="0" w:line="200"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‘Brexit’</w:t>
      </w:r>
    </w:p>
    <w:p>
      <w:pPr>
        <w:spacing w:after="0" w:line="20" w:lineRule="exact"/>
        <w:rPr>
          <w:sz w:val="20"/>
          <w:szCs w:val="20"/>
          <w:color w:val="auto"/>
        </w:rPr>
      </w:pPr>
      <w:r>
        <w:rPr>
          <w:sz w:val="20"/>
          <w:szCs w:val="20"/>
          <w:color w:val="auto"/>
        </w:rPr>
        <w:br w:type="column"/>
      </w:r>
    </w:p>
    <w:p>
      <w:pPr>
        <w:ind w:right="180"/>
        <w:spacing w:after="0" w:line="281" w:lineRule="auto"/>
        <w:rPr>
          <w:sz w:val="20"/>
          <w:szCs w:val="20"/>
          <w:color w:val="auto"/>
        </w:rPr>
      </w:pPr>
      <w:r>
        <w:rPr>
          <w:rFonts w:ascii="Times New Roman" w:cs="Times New Roman" w:eastAsia="Times New Roman" w:hAnsi="Times New Roman"/>
          <w:sz w:val="18"/>
          <w:szCs w:val="18"/>
          <w:color w:val="auto"/>
        </w:rPr>
        <w:t>The United Kingdom’s exit from the European Union, which occurred on January 31, 2020.</w:t>
      </w:r>
    </w:p>
    <w:p>
      <w:pPr>
        <w:spacing w:after="0" w:line="122"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7"/>
          <w:szCs w:val="17"/>
          <w:color w:val="auto"/>
        </w:rPr>
        <w:t>‘E.U.’</w:t>
      </w:r>
    </w:p>
    <w:p>
      <w:pPr>
        <w:spacing w:after="0" w:line="20" w:lineRule="exact"/>
        <w:rPr>
          <w:sz w:val="20"/>
          <w:szCs w:val="20"/>
          <w:color w:val="auto"/>
        </w:rPr>
      </w:pPr>
      <w:r>
        <w:rPr>
          <w:sz w:val="20"/>
          <w:szCs w:val="20"/>
          <w:color w:val="auto"/>
        </w:rPr>
        <w:br w:type="column"/>
      </w:r>
    </w:p>
    <w:p>
      <w:pPr>
        <w:ind w:right="80"/>
        <w:spacing w:after="0" w:line="281" w:lineRule="auto"/>
        <w:rPr>
          <w:sz w:val="20"/>
          <w:szCs w:val="20"/>
          <w:color w:val="auto"/>
        </w:rPr>
      </w:pPr>
      <w:r>
        <w:rPr>
          <w:rFonts w:ascii="Times New Roman" w:cs="Times New Roman" w:eastAsia="Times New Roman" w:hAnsi="Times New Roman"/>
          <w:sz w:val="18"/>
          <w:szCs w:val="18"/>
          <w:color w:val="auto"/>
        </w:rPr>
        <w:t>European Union or European Union 27 (the number of member countries following the United Kingdom’s exit)</w:t>
      </w:r>
    </w:p>
    <w:p>
      <w:pPr>
        <w:spacing w:after="0" w:line="122" w:lineRule="exact"/>
        <w:rPr>
          <w:sz w:val="20"/>
          <w:szCs w:val="20"/>
          <w:color w:val="auto"/>
        </w:rPr>
      </w:pPr>
    </w:p>
    <w:p>
      <w:pPr>
        <w:sectPr>
          <w:pgSz w:w="11900" w:h="16838" w:orient="portrait"/>
          <w:cols w:equalWidth="0" w:num="2">
            <w:col w:w="3820" w:space="720"/>
            <w:col w:w="6360"/>
          </w:cols>
          <w:pgMar w:left="320" w:top="764" w:right="67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8"/>
          <w:szCs w:val="18"/>
          <w:color w:val="auto"/>
        </w:rPr>
        <w:t>‘U.S.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United States Generally Accepted Accounting Principles</w:t>
      </w:r>
    </w:p>
    <w:p>
      <w:pPr>
        <w:spacing w:after="0" w:line="211"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‘FASB’</w:t>
      </w:r>
    </w:p>
    <w:p>
      <w:pPr>
        <w:spacing w:after="0" w:line="20" w:lineRule="exact"/>
        <w:rPr>
          <w:sz w:val="20"/>
          <w:szCs w:val="20"/>
          <w:color w:val="auto"/>
        </w:rPr>
      </w:pPr>
      <w:r>
        <w:rPr>
          <w:sz w:val="20"/>
          <w:szCs w:val="20"/>
          <w:color w:val="auto"/>
        </w:rPr>
        <w:br w:type="column"/>
      </w:r>
    </w:p>
    <w:p>
      <w:pPr>
        <w:jc w:val="center"/>
        <w:ind w:right="3540"/>
        <w:spacing w:after="0"/>
        <w:rPr>
          <w:sz w:val="20"/>
          <w:szCs w:val="20"/>
          <w:color w:val="auto"/>
        </w:rPr>
      </w:pPr>
      <w:r>
        <w:rPr>
          <w:rFonts w:ascii="Times New Roman" w:cs="Times New Roman" w:eastAsia="Times New Roman" w:hAnsi="Times New Roman"/>
          <w:sz w:val="18"/>
          <w:szCs w:val="18"/>
          <w:color w:val="auto"/>
        </w:rPr>
        <w:t>Financial Accounting Standards Board</w:t>
      </w:r>
    </w:p>
    <w:p>
      <w:pPr>
        <w:spacing w:after="0" w:line="200"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‘ASC’</w:t>
      </w:r>
    </w:p>
    <w:p>
      <w:pPr>
        <w:spacing w:after="0" w:line="20" w:lineRule="exact"/>
        <w:rPr>
          <w:sz w:val="20"/>
          <w:szCs w:val="20"/>
          <w:color w:val="auto"/>
        </w:rPr>
      </w:pPr>
      <w:r>
        <w:rPr>
          <w:sz w:val="20"/>
          <w:szCs w:val="20"/>
          <w:color w:val="auto"/>
        </w:rPr>
        <w:br w:type="column"/>
      </w:r>
    </w:p>
    <w:p>
      <w:pPr>
        <w:jc w:val="center"/>
        <w:ind w:right="3800"/>
        <w:spacing w:after="0"/>
        <w:rPr>
          <w:sz w:val="20"/>
          <w:szCs w:val="20"/>
          <w:color w:val="auto"/>
        </w:rPr>
      </w:pPr>
      <w:r>
        <w:rPr>
          <w:rFonts w:ascii="Times New Roman" w:cs="Times New Roman" w:eastAsia="Times New Roman" w:hAnsi="Times New Roman"/>
          <w:sz w:val="17"/>
          <w:szCs w:val="17"/>
          <w:color w:val="auto"/>
        </w:rPr>
        <w:t>Accounting Standards Codification</w:t>
      </w:r>
    </w:p>
    <w:p>
      <w:pPr>
        <w:spacing w:after="0" w:line="200"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2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‘ASU’</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Accounting Standards Update</w:t>
      </w:r>
    </w:p>
    <w:p>
      <w:pPr>
        <w:spacing w:after="0" w:line="211"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‘SEC’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United States Securities and Exchange Commission</w:t>
      </w:r>
    </w:p>
    <w:p>
      <w:pPr>
        <w:spacing w:after="0" w:line="200" w:lineRule="exact"/>
        <w:rPr>
          <w:sz w:val="20"/>
          <w:szCs w:val="20"/>
          <w:color w:val="auto"/>
        </w:rPr>
      </w:pPr>
    </w:p>
    <w:p>
      <w:pPr>
        <w:sectPr>
          <w:pgSz w:w="11900" w:h="16838" w:orient="portrait"/>
          <w:cols w:equalWidth="0" w:num="2">
            <w:col w:w="3840" w:space="720"/>
            <w:col w:w="6340"/>
          </w:cols>
          <w:pgMar w:left="320" w:top="764" w:right="679" w:bottom="1440" w:gutter="0" w:footer="0" w:header="0"/>
          <w:type w:val="continuous"/>
        </w:sectPr>
      </w:pPr>
    </w:p>
    <w:p>
      <w:pPr>
        <w:spacing w:after="0" w:line="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‘EBITDA’</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Earnings before Interest, Taxes, Depreciation and Amortization</w:t>
      </w:r>
    </w:p>
    <w:p>
      <w:pPr>
        <w:spacing w:after="0" w:line="200" w:lineRule="exact"/>
        <w:rPr>
          <w:sz w:val="20"/>
          <w:szCs w:val="20"/>
          <w:color w:val="auto"/>
        </w:rPr>
      </w:pPr>
    </w:p>
    <w:p>
      <w:pPr>
        <w:sectPr>
          <w:pgSz w:w="11900" w:h="16838" w:orient="portrait"/>
          <w:cols w:equalWidth="0" w:num="2">
            <w:col w:w="3820" w:space="720"/>
            <w:col w:w="6360"/>
          </w:cols>
          <w:pgMar w:left="320" w:top="764" w:right="6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320" w:top="764" w:right="67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Disclaimer Regarding Forward-looking Statements</w:t>
      </w:r>
    </w:p>
    <w:p>
      <w:pPr>
        <w:spacing w:after="0" w:line="175"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We have included in this document ‘forward-looking statements’ within the meaning of Section 27A of the Securities Act of 1933, and Section 21E of the Securities Exchange Act of 1934, which are intended to be covered by the safe harbors created by those laws. These forward-looking statements include information about possible or assumed future results of our operations. All statements, other than statements of historical facts, that address activities, events or developments that we expect or anticipate may occur in the future, including such things as: our outlook; the potential impact of natural or man-made disasters like health pandemics and other world health crises; future capital expenditures; ongoing working capital efforts; future share repurchases; financial results (including our revenue, costs or margins) and the impact of changes to tax laws on our financial results; existing and evolving business strategies including those related to acquisition and disposition activity such as our completed sale of Willis Re to Arthur J. Gallagher &amp; Co. (‘Gallagher’) and transitional arrangements related thereto; demand for our services and competitive strengths; strategic goals; the benefits of new initiatives; growth of our business and operations; the sustained health of our product, service, transaction, client, and talent assessment and management pipelines, our ability to successfully manage ongoing leadership, organizational and technology changes, including investments in improving systems and processes; our ability to implement and realize anticipated benefits of any cost-savings initiatives including our multi-year operational transformation program; our recognition of future impairment charges; and plans and references to future successes, including our future financial and operating results, short-term and long-term financial goals, plans, objectives, expectations and intentions, including with respect to free cash flow generation, adjusted net revenue, adjusted operating margin and adjusted earnings per share, are forward-looking statements. Also, when we use words such as ‘may’, ‘will’, ‘would’, ‘anticipate’, ‘believe’, ‘estimate’, ‘expect’, ‘intend’, ‘plan’, ‘continues’, ‘seek’, ‘target’, ‘goal’, ‘focus’, ‘probably’, or similar expressions, we are making forward-looking statements. Such statements are based upon the current beliefs and expectations of the Company’s management and are subject to significant risks and uncertainties. Actual results may differ from those set forth in the forward-looking statements. All forward-looking disclosure is speculative by its nature.</w:t>
      </w:r>
    </w:p>
    <w:p>
      <w:pPr>
        <w:spacing w:after="0" w:line="13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There are important risks, uncertainties, events and factors that could cause our actual results or performance to differ materially from those in the forward-looking statements contained in this document, including the following:</w:t>
      </w:r>
    </w:p>
    <w:p>
      <w:pPr>
        <w:spacing w:after="0" w:line="55"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establish, execute and achieve our global business strategy as it evolves;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fully realize the anticipated benefits of our growth strategy, including inorganic growth through acquisitions;</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short-term and long-term financial goals, such as with respect to our cash flow generation, and the timing with respect to such achievement;</w:t>
      </w:r>
    </w:p>
    <w:p>
      <w:pPr>
        <w:spacing w:after="0" w:line="54"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related to changes in general economic conditions, business and political conditions, changes in the financial markets, inflation, credit availability, increased interest rates and changes in trade policies;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to our short-term and long-term financial goals from any of the risks or uncertainties set forth herein;</w:t>
      </w:r>
    </w:p>
    <w:p>
      <w:pPr>
        <w:spacing w:after="0" w:line="116" w:lineRule="exact"/>
        <w:rPr>
          <w:rFonts w:ascii="Times New Roman" w:cs="Times New Roman" w:eastAsia="Times New Roman" w:hAnsi="Times New Roman"/>
          <w:sz w:val="18"/>
          <w:szCs w:val="18"/>
          <w:color w:val="auto"/>
        </w:rPr>
      </w:pPr>
    </w:p>
    <w:p>
      <w:pPr>
        <w:jc w:val="both"/>
        <w:ind w:left="760" w:right="360" w:hanging="378"/>
        <w:spacing w:after="0" w:line="260"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macroeconomic trends, including inflation, changes in interest rates and trade policies, as well as political events, war, such as the Russia-Ukraine and Israel-Hamas wars, and other international disputes, terrorism, natural disasters, public health issues and other business interruptions on the global economy and capital markets, which could have a material adverse effect on our business, financial condition, results of operations and long-term goals;</w:t>
      </w:r>
    </w:p>
    <w:p>
      <w:pPr>
        <w:spacing w:after="0" w:line="7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hedge against fluctuations in foreign currency rates;</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adverse impacts of natural or man-made disasters such as health pandemics and other world health crises on the demand for our products and services, our cash flows and our business operations;</w:t>
      </w:r>
    </w:p>
    <w:p>
      <w:pPr>
        <w:spacing w:after="0" w:line="54" w:lineRule="exact"/>
        <w:rPr>
          <w:rFonts w:ascii="Times New Roman" w:cs="Times New Roman" w:eastAsia="Times New Roman" w:hAnsi="Times New Roman"/>
          <w:sz w:val="18"/>
          <w:szCs w:val="18"/>
          <w:color w:val="auto"/>
        </w:rPr>
      </w:pPr>
    </w:p>
    <w:p>
      <w:pPr>
        <w:ind w:left="760" w:right="60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material interruptions to or loss of our information processing capabilities, or failure to effectively maintain and upgrade our information technology resources and systems and related risks of cybersecurity breaches or incidents;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complex and evolving regulations related to data privacy, cybersecurity and artificial intelligence;</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relating to the transitional arrangements in effect subsequent to our now-completed sale of Willis Re to Gallagher;</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competition that we face and the potential for loss of market share and/or profitability;</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seasonality and differences in timing of renewals and non-recurring revenue increases from disposals and book-of-business sales;</w:t>
      </w:r>
    </w:p>
    <w:p>
      <w:pPr>
        <w:spacing w:after="0" w:line="116" w:lineRule="exact"/>
        <w:rPr>
          <w:rFonts w:ascii="Times New Roman" w:cs="Times New Roman" w:eastAsia="Times New Roman" w:hAnsi="Times New Roman"/>
          <w:sz w:val="18"/>
          <w:szCs w:val="18"/>
          <w:color w:val="auto"/>
        </w:rPr>
      </w:pPr>
    </w:p>
    <w:p>
      <w:pPr>
        <w:ind w:left="760" w:right="8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insufficiency of client data protection, potential breaches of information systems or insufficient safeguards against cybersecurity breaches or incidents;</w:t>
      </w:r>
    </w:p>
    <w:p>
      <w:pPr>
        <w:spacing w:after="0" w:line="54" w:lineRule="exact"/>
        <w:rPr>
          <w:rFonts w:ascii="Times New Roman" w:cs="Times New Roman" w:eastAsia="Times New Roman" w:hAnsi="Times New Roman"/>
          <w:sz w:val="18"/>
          <w:szCs w:val="18"/>
          <w:color w:val="auto"/>
        </w:rPr>
      </w:pPr>
    </w:p>
    <w:p>
      <w:pPr>
        <w:ind w:left="760" w:right="460" w:hanging="378"/>
        <w:spacing w:after="0" w:line="28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increased liability or new legal claims arising from our new and existing products and services, and expectations, intentions and outcomes relating to outstanding litigation;</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4" w:right="399" w:bottom="1440" w:gutter="0" w:footer="0" w:header="0"/>
        </w:sectPr>
      </w:pPr>
    </w:p>
    <w:bookmarkStart w:id="4" w:name="page5"/>
    <w:bookmarkEnd w:id="4"/>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substantial negative outcomes on existing litigation or investigation matters;</w:t>
      </w:r>
    </w:p>
    <w:p>
      <w:pPr>
        <w:spacing w:after="0" w:line="116" w:lineRule="exact"/>
        <w:rPr>
          <w:rFonts w:ascii="Times New Roman" w:cs="Times New Roman" w:eastAsia="Times New Roman" w:hAnsi="Times New Roman"/>
          <w:sz w:val="18"/>
          <w:szCs w:val="18"/>
          <w:color w:val="auto"/>
        </w:rPr>
      </w:pPr>
    </w:p>
    <w:p>
      <w:pPr>
        <w:ind w:left="380" w:right="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regulatory environment in which we operate, including, among other risks, the impacts of pending competition law and regulatory investigations;</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claims, government inquiries or investigations or the potential for regulatory action;</w:t>
      </w:r>
    </w:p>
    <w:p>
      <w:pPr>
        <w:spacing w:after="0" w:line="116" w:lineRule="exact"/>
        <w:rPr>
          <w:rFonts w:ascii="Times New Roman" w:cs="Times New Roman" w:eastAsia="Times New Roman" w:hAnsi="Times New Roman"/>
          <w:sz w:val="18"/>
          <w:szCs w:val="18"/>
          <w:color w:val="auto"/>
        </w:rPr>
      </w:pPr>
    </w:p>
    <w:p>
      <w:pPr>
        <w:ind w:left="380" w:right="14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divestitures or acquisitions, including our ability to integrate or manage acquired businesses or de-integrate businesses to be disposed, as well as our ability to identify and successfully execute on opportunities for strategic collaboration;</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direct-to-consumer sales and marketing solutions with our existing offerings and solutions;</w:t>
      </w:r>
    </w:p>
    <w:p>
      <w:pPr>
        <w:spacing w:after="0" w:line="116" w:lineRule="exact"/>
        <w:rPr>
          <w:rFonts w:ascii="Times New Roman" w:cs="Times New Roman" w:eastAsia="Times New Roman" w:hAnsi="Times New Roman"/>
          <w:sz w:val="18"/>
          <w:szCs w:val="18"/>
          <w:color w:val="auto"/>
        </w:rPr>
      </w:pPr>
    </w:p>
    <w:p>
      <w:pPr>
        <w:ind w:left="380" w:right="46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manage ongoing organizational changes, including as part of our multi-year operational transformation program, investments in improving systems and processes, and in connection with our acquisition and divestiture activities;</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disasters or business continuity problems;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enhance our billing, collection and other working capital efforts, and thereby increase our free cash flow;</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impact of Brexit on our business and operations;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identify and manage conflicts of interest;</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damage, including from association with third parties;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third-party service providers and suppliers;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changes in our management structures and in senior leadership;</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key employees or a large number of employees and rehiring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corporate culture;</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doing business internationally, including the impact of foreign currency exchange rates;</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extensive government regulation;</w:t>
      </w:r>
    </w:p>
    <w:p>
      <w:pPr>
        <w:spacing w:after="0" w:line="116" w:lineRule="exact"/>
        <w:rPr>
          <w:rFonts w:ascii="Times New Roman" w:cs="Times New Roman" w:eastAsia="Times New Roman" w:hAnsi="Times New Roman"/>
          <w:sz w:val="18"/>
          <w:szCs w:val="18"/>
          <w:color w:val="auto"/>
        </w:rPr>
      </w:pPr>
    </w:p>
    <w:p>
      <w:pPr>
        <w:ind w:left="380" w:right="2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sanctions imposed by governments, or changes to associated sanction regulations (such as sanctions imposed on Russia) and related counter-sanctions;</w:t>
      </w:r>
    </w:p>
    <w:p>
      <w:pPr>
        <w:spacing w:after="0" w:line="54" w:lineRule="exact"/>
        <w:rPr>
          <w:rFonts w:ascii="Times New Roman" w:cs="Times New Roman" w:eastAsia="Times New Roman" w:hAnsi="Times New Roman"/>
          <w:sz w:val="18"/>
          <w:szCs w:val="18"/>
          <w:color w:val="auto"/>
        </w:rPr>
      </w:pPr>
    </w:p>
    <w:p>
      <w:pPr>
        <w:ind w:left="380" w:right="12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apply technology, data and analytics changes for internal operations, maintaining industry standards and meeting client preferences;</w:t>
      </w:r>
    </w:p>
    <w:p>
      <w:pPr>
        <w:spacing w:after="0" w:line="54" w:lineRule="exact"/>
        <w:rPr>
          <w:rFonts w:ascii="Times New Roman" w:cs="Times New Roman" w:eastAsia="Times New Roman" w:hAnsi="Times New Roman"/>
          <w:sz w:val="18"/>
          <w:szCs w:val="18"/>
          <w:color w:val="auto"/>
        </w:rPr>
      </w:pPr>
    </w:p>
    <w:p>
      <w:pPr>
        <w:ind w:left="380" w:right="180" w:hanging="378"/>
        <w:spacing w:after="0" w:line="260"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and developments in the insurance industry or the U.S. healthcare system, including those related to Medicare, any legislative actions from the current U.S. Congress, the recent Final Rule from the Centers for Medicare &amp; Medicaid Services (‘CMS’) for contract year 2025, and any other changes and developments in legal, regulatory, economic, business or operational conditions that could impact our Medicare benefits businesses such as TRANZACT;</w:t>
      </w:r>
    </w:p>
    <w:p>
      <w:pPr>
        <w:spacing w:after="0" w:line="7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protect our intellectual property rights, or the potential infringement upon the intellectual property rights of others;</w:t>
      </w:r>
    </w:p>
    <w:p>
      <w:pPr>
        <w:spacing w:after="0" w:line="116" w:lineRule="exact"/>
        <w:rPr>
          <w:rFonts w:ascii="Times New Roman" w:cs="Times New Roman" w:eastAsia="Times New Roman" w:hAnsi="Times New Roman"/>
          <w:sz w:val="18"/>
          <w:szCs w:val="18"/>
          <w:color w:val="auto"/>
        </w:rPr>
      </w:pPr>
    </w:p>
    <w:p>
      <w:pPr>
        <w:ind w:left="380" w:right="220" w:hanging="378"/>
        <w:spacing w:after="0" w:line="26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pension assets and liabilities and related changes in pension income, including as a result of, related to, or derived from movements in the interest rate environment, investment returns, inflation, or changes in other assumptions that are used to estimate our benefit obligations and their effect on adjusted earnings per share;</w:t>
      </w:r>
    </w:p>
    <w:p>
      <w:pPr>
        <w:spacing w:after="0" w:line="69" w:lineRule="exact"/>
        <w:rPr>
          <w:rFonts w:ascii="Times New Roman" w:cs="Times New Roman" w:eastAsia="Times New Roman" w:hAnsi="Times New Roman"/>
          <w:sz w:val="18"/>
          <w:szCs w:val="18"/>
          <w:color w:val="auto"/>
        </w:rPr>
      </w:pPr>
    </w:p>
    <w:p>
      <w:pPr>
        <w:ind w:left="380" w:right="200" w:hanging="378"/>
        <w:spacing w:after="0" w:line="281"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capital structure, including indebtedness amounts, the limitations imposed by the covenants in the documents governing such indebtedness and the maintenance of the financial and disclosure controls and procedures of each;</w:t>
      </w:r>
    </w:p>
    <w:p>
      <w:pPr>
        <w:spacing w:after="0" w:line="54"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financing on favorable terms or at all;</w:t>
      </w:r>
    </w:p>
    <w:p>
      <w:pPr>
        <w:spacing w:after="0" w:line="116"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changes in our credit ratings;</w:t>
      </w:r>
    </w:p>
    <w:p>
      <w:pPr>
        <w:spacing w:after="0" w:line="116" w:lineRule="exact"/>
        <w:rPr>
          <w:rFonts w:ascii="Times New Roman" w:cs="Times New Roman" w:eastAsia="Times New Roman" w:hAnsi="Times New Roman"/>
          <w:sz w:val="18"/>
          <w:szCs w:val="18"/>
          <w:color w:val="auto"/>
        </w:rPr>
      </w:pPr>
    </w:p>
    <w:p>
      <w:pPr>
        <w:ind w:left="380" w:hanging="378"/>
        <w:spacing w:after="0" w:line="265" w:lineRule="auto"/>
        <w:tabs>
          <w:tab w:leader="none" w:pos="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recent or potential changes to U.S. or foreign laws, and the enactment of additional, or the revision of existing, state, federal, and/or foreign laws and regulations, recent judicial decisions and development of case law, other regulations and any policy changes and legislative actions, including those that may impose additional excise taxes or impact our effective tax rate;</w:t>
      </w:r>
    </w:p>
    <w:p>
      <w:pPr>
        <w:spacing w:after="0" w:line="393"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700" w:top="876" w:right="359" w:bottom="1440" w:gutter="0" w:footer="0" w:header="0"/>
        </w:sectPr>
      </w:pPr>
    </w:p>
    <w:bookmarkStart w:id="5" w:name="page6"/>
    <w:bookmarkEnd w:id="5"/>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federal income tax consequences to U.S. persons owning at least 10% of our shares;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estimates or assumptions;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recognition of future impairment charges;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or arising from environmental, social and governance (‘ESG’) practices;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revenue against our relatively fixed or higher-than-expected expenses;</w:t>
      </w:r>
    </w:p>
    <w:p>
      <w:pPr>
        <w:spacing w:after="0" w:line="116"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that investment levels, including cash spending to achieve additional expected savings under our multi-year operational transformation program, increase;</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laws of Ireland being different from the laws of the U.S. and potentially affording less protections to the holders of our securities; and</w:t>
      </w:r>
    </w:p>
    <w:p>
      <w:pPr>
        <w:spacing w:after="0" w:line="116" w:lineRule="exact"/>
        <w:rPr>
          <w:rFonts w:ascii="Times New Roman" w:cs="Times New Roman" w:eastAsia="Times New Roman" w:hAnsi="Times New Roman"/>
          <w:sz w:val="18"/>
          <w:szCs w:val="18"/>
          <w:color w:val="auto"/>
        </w:rPr>
      </w:pPr>
    </w:p>
    <w:p>
      <w:pPr>
        <w:ind w:left="760" w:right="140" w:hanging="378"/>
        <w:spacing w:after="0" w:line="281"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holding company structure potentially preventing us from being able to receive dividends or other distributions in needed amounts from our subsidiaries.</w:t>
      </w:r>
    </w:p>
    <w:p>
      <w:pPr>
        <w:spacing w:after="0" w:line="10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The foregoing list of factors is not exhaustive and new factors may emerge from time to time that could also affect actual performance and results. For more information, please see Part I, Item 1A in our Annual Report on Form 10-K, and our subsequent filings with the SEC. Copies are available online at http://www.sec.gov or www.wtwco.com.</w:t>
      </w:r>
    </w:p>
    <w:p>
      <w:pPr>
        <w:spacing w:after="0" w:line="12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Although we believe that the assumptions underlying our forward-looking statements are reasonable, any of these assumptions, and therefore also the forward-looking statements based on these assumptions, could themselves prove to be inaccurate. Given the significant uncertainties inherent in the forward-looking statements included in this Quarterly Report on Form 10-Q, our inclusion of this information is not a representation or guarantee by us that our objectives and plans will be achieved.</w:t>
      </w:r>
    </w:p>
    <w:p>
      <w:pPr>
        <w:spacing w:after="0" w:line="12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8"/>
          <w:szCs w:val="18"/>
          <w:color w:val="auto"/>
        </w:rPr>
        <w:t>Our forward-looking statements speak only as of the date made and we will not update these forward-looking statements unless the securities laws require us to do so. With regard to these risks, uncertainties and assumptions, the forward-looking events discussed in this document may not occur, and we caution you against unduly relying on these forward-looking statements.</w:t>
      </w: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0" w:lineRule="exact"/>
        <w:rPr>
          <w:sz w:val="20"/>
          <w:szCs w:val="20"/>
          <w:color w:val="auto"/>
        </w:rPr>
      </w:pPr>
    </w:p>
    <w:p>
      <w:pPr>
        <w:ind w:left="87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ind w:left="91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40" w:type="dxa"/>
            <w:vAlign w:val="bottom"/>
          </w:tcPr>
          <w:p>
            <w:pPr>
              <w:spacing w:after="0"/>
              <w:rPr>
                <w:sz w:val="14"/>
                <w:szCs w:val="1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300" w:type="dxa"/>
            <w:vAlign w:val="bottom"/>
            <w:tcBorders>
              <w:top w:val="single" w:sz="8" w:color="auto"/>
              <w:bottom w:val="single" w:sz="8" w:color="auto"/>
            </w:tcBorders>
          </w:tcPr>
          <w:p>
            <w:pPr>
              <w:jc w:val="right"/>
              <w:ind w:right="6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2,341</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2,244</w:t>
            </w:r>
          </w:p>
        </w:tc>
      </w:tr>
      <w:tr>
        <w:trPr>
          <w:trHeight w:val="232"/>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10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1,342</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457</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r>
      <w:tr>
        <w:trPr>
          <w:trHeight w:val="23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2,061</w:t>
            </w:r>
          </w:p>
        </w:tc>
        <w:tc>
          <w:tcPr>
            <w:tcW w:w="1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1,959</w:t>
            </w:r>
          </w:p>
        </w:tc>
      </w:tr>
      <w:tr>
        <w:trPr>
          <w:trHeight w:val="232"/>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(50 )</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shd w:val="clear" w:color="auto" w:fill="CFF0FC"/>
          </w:tcPr>
          <w:p>
            <w:pPr>
              <w:spacing w:after="0"/>
              <w:rPr>
                <w:sz w:val="20"/>
                <w:szCs w:val="20"/>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7740" w:type="dxa"/>
            <w:vAlign w:val="bottom"/>
            <w:tcBorders>
              <w:top w:val="single" w:sz="8" w:color="CFF0F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5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26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r>
      <w:tr>
        <w:trPr>
          <w:trHeight w:val="223"/>
        </w:trPr>
        <w:tc>
          <w:tcPr>
            <w:tcW w:w="7740" w:type="dxa"/>
            <w:vAlign w:val="bottom"/>
            <w:tcBorders>
              <w:top w:val="single" w:sz="8" w:color="CFF0FC"/>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before non-controlling interests</w:t>
            </w:r>
          </w:p>
        </w:tc>
        <w:tc>
          <w:tcPr>
            <w:tcW w:w="104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w:t>
            </w:r>
          </w:p>
        </w:tc>
        <w:tc>
          <w:tcPr>
            <w:tcW w:w="540" w:type="dxa"/>
            <w:vAlign w:val="bottom"/>
            <w:gridSpan w:val="2"/>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259</w:t>
            </w:r>
          </w:p>
        </w:tc>
      </w:tr>
      <w:tr>
        <w:trPr>
          <w:trHeight w:val="24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0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WTW</w:t>
            </w:r>
          </w:p>
        </w:tc>
        <w:tc>
          <w:tcPr>
            <w:tcW w:w="1040" w:type="dxa"/>
            <w:vAlign w:val="bottom"/>
            <w:tcBorders>
              <w:bottom w:val="single" w:sz="8" w:color="auto"/>
            </w:tcBorders>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-3860800</wp:posOffset>
            </wp:positionV>
            <wp:extent cx="1111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-2611120</wp:posOffset>
            </wp:positionV>
            <wp:extent cx="1111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-1343660</wp:posOffset>
            </wp:positionV>
            <wp:extent cx="1111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-1326515</wp:posOffset>
            </wp:positionV>
            <wp:extent cx="1111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-675640</wp:posOffset>
            </wp:positionV>
            <wp:extent cx="11112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-658495</wp:posOffset>
            </wp:positionV>
            <wp:extent cx="111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 except share data)</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1,893</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1,424</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assets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9,940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2,572</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379</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364</w:t>
            </w:r>
          </w:p>
        </w:tc>
      </w:tr>
      <w:tr>
        <w:trPr>
          <w:trHeight w:val="232"/>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13,433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Fixed assets,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703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10,186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10,195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1,960</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2,016</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Right-of-use assets</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565</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Pension benefits assets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588</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1,606</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1,573</w:t>
            </w:r>
          </w:p>
        </w:tc>
      </w:tr>
      <w:tr>
        <w:trPr>
          <w:trHeight w:val="236"/>
        </w:trPr>
        <w:tc>
          <w:tcPr>
            <w:tcW w:w="77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non-current assets</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15,595</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15,657</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30,237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 AND EQUITY</w:t>
            </w:r>
          </w:p>
        </w:tc>
        <w:tc>
          <w:tcPr>
            <w:tcW w:w="28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Fiduciary liabilities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9,940</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9,073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and accrued expenses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1,638</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lease liabilities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678</w:t>
            </w:r>
          </w:p>
        </w:tc>
      </w:tr>
      <w:tr>
        <w:trPr>
          <w:trHeight w:val="236"/>
        </w:trPr>
        <w:tc>
          <w:tcPr>
            <w:tcW w:w="77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13,118</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12,630</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Liability for pension benefits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526</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563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550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Provision for liabilities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365</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570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592</w:t>
            </w:r>
          </w:p>
        </w:tc>
      </w:tr>
      <w:tr>
        <w:trPr>
          <w:trHeight w:val="247"/>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221</w:t>
            </w:r>
          </w:p>
        </w:tc>
        <w:tc>
          <w:tcPr>
            <w:tcW w:w="1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238</w:t>
            </w:r>
          </w:p>
        </w:tc>
      </w:tr>
      <w:tr>
        <w:trPr>
          <w:trHeight w:val="236"/>
        </w:trPr>
        <w:tc>
          <w:tcPr>
            <w:tcW w:w="77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7,551</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6,867</w:t>
            </w: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20,669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19,497</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EQUITY </w:t>
            </w:r>
            <w:r>
              <w:rPr>
                <w:rFonts w:ascii="Times New Roman" w:cs="Times New Roman" w:eastAsia="Times New Roman" w:hAnsi="Times New Roman"/>
                <w:sz w:val="24"/>
                <w:szCs w:val="24"/>
                <w:color w:val="auto"/>
                <w:vertAlign w:val="superscript"/>
              </w:rPr>
              <w:t>(i)</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20"/>
                <w:szCs w:val="20"/>
                <w:color w:val="auto"/>
              </w:rPr>
            </w:pP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10,930</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10,910</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shd w:val="clear" w:color="auto" w:fill="CFF0FC"/>
          </w:tcPr>
          <w:p>
            <w:pPr>
              <w:spacing w:after="0"/>
              <w:rPr>
                <w:sz w:val="21"/>
                <w:szCs w:val="21"/>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1,464</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1,466</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net of tax</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(2,905 )</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(2,856 )</w:t>
            </w:r>
          </w:p>
        </w:tc>
      </w:tr>
      <w:tr>
        <w:trPr>
          <w:trHeight w:val="23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280" w:type="dxa"/>
            <w:vAlign w:val="bottom"/>
            <w:shd w:val="clear" w:color="auto" w:fill="CFF0FC"/>
          </w:tcPr>
          <w:p>
            <w:pPr>
              <w:spacing w:after="0"/>
              <w:rPr>
                <w:sz w:val="20"/>
                <w:szCs w:val="20"/>
                <w:color w:val="auto"/>
              </w:rPr>
            </w:pPr>
          </w:p>
        </w:tc>
        <w:tc>
          <w:tcPr>
            <w:tcW w:w="13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9,489</w:t>
            </w:r>
          </w:p>
        </w:tc>
        <w:tc>
          <w:tcPr>
            <w:tcW w:w="1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9,520</w:t>
            </w:r>
          </w:p>
        </w:tc>
      </w:tr>
      <w:tr>
        <w:trPr>
          <w:trHeight w:val="24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r>
      <w:tr>
        <w:trPr>
          <w:trHeight w:val="23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equity</w:t>
            </w:r>
          </w:p>
        </w:tc>
        <w:tc>
          <w:tcPr>
            <w:tcW w:w="28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9,568</w:t>
            </w:r>
          </w:p>
        </w:tc>
        <w:tc>
          <w:tcPr>
            <w:tcW w:w="1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9,593</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30,237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29,090</w:t>
            </w:r>
          </w:p>
        </w:tc>
      </w:tr>
      <w:tr>
        <w:trPr>
          <w:trHeight w:val="20"/>
        </w:trPr>
        <w:tc>
          <w:tcPr>
            <w:tcW w:w="7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-5213985</wp:posOffset>
            </wp:positionV>
            <wp:extent cx="111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-3963670</wp:posOffset>
            </wp:positionV>
            <wp:extent cx="1111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-1763395</wp:posOffset>
            </wp:positionV>
            <wp:extent cx="1111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-187960</wp:posOffset>
            </wp:positionV>
            <wp:extent cx="1111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400" w:hanging="272"/>
        <w:spacing w:after="0" w:line="258" w:lineRule="auto"/>
        <w:tabs>
          <w:tab w:leader="none" w:pos="2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Equity includes (a) Ordinary shares $0.000304635 nominal value; Authorized 1,510,003,775; Issued 102,213,184 (2024) and 102,538,072 (2023); Outstanding 102,213,184 (2024) and 102,538,072 (2023) and (b) Preference shares, $0.000115 nominal value; Authorized 1,000,000,000 and Issued none in 2024 and 2023.</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of U.S. dollars)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60" w:type="dxa"/>
            <w:vAlign w:val="bottom"/>
          </w:tcPr>
          <w:p>
            <w:pPr>
              <w:spacing w:after="0"/>
              <w:rPr>
                <w:sz w:val="16"/>
                <w:szCs w:val="16"/>
                <w:color w:val="auto"/>
              </w:rPr>
            </w:pPr>
          </w:p>
        </w:tc>
        <w:tc>
          <w:tcPr>
            <w:tcW w:w="2680" w:type="dxa"/>
            <w:vAlign w:val="bottom"/>
            <w:tcBorders>
              <w:bottom w:val="single" w:sz="8" w:color="auto"/>
            </w:tcBorders>
            <w:gridSpan w:val="5"/>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5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8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total net cash from operating activities: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restructuring charges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lease expense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Net periodic benefit of defined benefit pension plans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doubtful receivables from clients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Benefit from deferred income taxes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(15 )</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Non-cash foreign exchange (gain)/loss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r>
      <w:tr>
        <w:trPr>
          <w:trHeight w:val="211"/>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 net of effects from purchase of</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41"/>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subsidiaries: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9"/>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129</w:t>
            </w:r>
          </w:p>
        </w:tc>
      </w:tr>
      <w:tr>
        <w:trPr>
          <w:trHeight w:val="238"/>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r>
      <w:tr>
        <w:trPr>
          <w:trHeight w:val="247"/>
        </w:trPr>
        <w:tc>
          <w:tcPr>
            <w:tcW w:w="8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Other liabilities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(411 )</w:t>
            </w:r>
          </w:p>
        </w:tc>
      </w:tr>
      <w:tr>
        <w:trPr>
          <w:trHeight w:val="243"/>
        </w:trPr>
        <w:tc>
          <w:tcPr>
            <w:tcW w:w="8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Provisions</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7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134</w:t>
            </w:r>
          </w:p>
        </w:tc>
      </w:tr>
      <w:tr>
        <w:trPr>
          <w:trHeight w:val="23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Additions to fixed assets and software for internal use</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Capitalized software costs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operations, net of cash acquired</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investments</w:t>
            </w:r>
          </w:p>
        </w:tc>
        <w:tc>
          <w:tcPr>
            <w:tcW w:w="7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856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2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8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(61 )</w:t>
            </w:r>
          </w:p>
        </w:tc>
      </w:tr>
      <w:tr>
        <w:trPr>
          <w:trHeight w:val="232"/>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FROM/(USED IN) FINANCING ACTIVITIES</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Senior notes issued</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Debt issuance costs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Repayments of debt</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Repurchase of shares</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proceeds/(payments) from fiduciary funds held for clients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1,011</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Payments of deferred and contingent consideration related to acquisitions</w:t>
            </w:r>
          </w:p>
        </w:tc>
        <w:tc>
          <w:tcPr>
            <w:tcW w:w="720" w:type="dxa"/>
            <w:vAlign w:val="bottom"/>
          </w:tcPr>
          <w:p>
            <w:pPr>
              <w:spacing w:after="0"/>
              <w:rPr>
                <w:sz w:val="20"/>
                <w:szCs w:val="20"/>
                <w:color w:val="auto"/>
              </w:rPr>
            </w:pP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r>
      <w:tr>
        <w:trPr>
          <w:trHeight w:val="247"/>
        </w:trPr>
        <w:tc>
          <w:tcPr>
            <w:tcW w:w="85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paid for employee taxes on withholding shares</w:t>
            </w:r>
          </w:p>
        </w:tc>
        <w:tc>
          <w:tcPr>
            <w:tcW w:w="720" w:type="dxa"/>
            <w:vAlign w:val="bottom"/>
            <w:shd w:val="clear" w:color="auto" w:fill="CFF0FC"/>
          </w:tcPr>
          <w:p>
            <w:pPr>
              <w:spacing w:after="0"/>
              <w:rPr>
                <w:sz w:val="21"/>
                <w:szCs w:val="21"/>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8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Dividends paid</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(87 )</w:t>
            </w:r>
          </w:p>
        </w:tc>
      </w:tr>
      <w:tr>
        <w:trPr>
          <w:trHeight w:val="247"/>
        </w:trPr>
        <w:tc>
          <w:tcPr>
            <w:tcW w:w="85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Acquisitions of and dividends paid to non-controlling interests</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8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Net cash from/(used in) financing activities</w:t>
            </w:r>
          </w:p>
        </w:tc>
        <w:tc>
          <w:tcPr>
            <w:tcW w:w="7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8"/>
              </w:rPr>
              <w:t>1,556</w:t>
            </w:r>
          </w:p>
        </w:tc>
        <w:tc>
          <w:tcPr>
            <w:tcW w:w="1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(453 )</w:t>
            </w:r>
          </w:p>
        </w:tc>
      </w:tr>
      <w:tr>
        <w:trPr>
          <w:trHeight w:val="236"/>
        </w:trPr>
        <w:tc>
          <w:tcPr>
            <w:tcW w:w="856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INCREASE/(DECREASE) IN CASH, CASH EQUIVALENTS AND RESTRICTED CASH </w:t>
            </w:r>
            <w:r>
              <w:rPr>
                <w:rFonts w:ascii="Times New Roman" w:cs="Times New Roman" w:eastAsia="Times New Roman" w:hAnsi="Times New Roman"/>
                <w:sz w:val="24"/>
                <w:szCs w:val="24"/>
                <w:color w:val="auto"/>
                <w:vertAlign w:val="superscript"/>
              </w:rPr>
              <w:t>(i)</w:t>
            </w:r>
          </w:p>
        </w:tc>
        <w:tc>
          <w:tcPr>
            <w:tcW w:w="7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1,506</w:t>
            </w:r>
          </w:p>
        </w:tc>
        <w:tc>
          <w:tcPr>
            <w:tcW w:w="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(380 )</w:t>
            </w:r>
          </w:p>
        </w:tc>
      </w:tr>
      <w:tr>
        <w:trPr>
          <w:trHeight w:val="238"/>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w:t>
            </w:r>
          </w:p>
        </w:tc>
      </w:tr>
      <w:tr>
        <w:trPr>
          <w:trHeight w:val="247"/>
        </w:trPr>
        <w:tc>
          <w:tcPr>
            <w:tcW w:w="8560" w:type="dxa"/>
            <w:vAlign w:val="bottom"/>
            <w:tcBorders>
              <w:bottom w:val="single" w:sz="8" w:color="CFF0FC"/>
            </w:tcBorders>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720" w:type="dxa"/>
            <w:vAlign w:val="bottom"/>
            <w:tcBorders>
              <w:bottom w:val="single" w:sz="8" w:color="auto"/>
            </w:tcBorders>
            <w:shd w:val="clear" w:color="auto" w:fill="CFF0FC"/>
          </w:tcPr>
          <w:p>
            <w:pPr>
              <w:spacing w:after="0"/>
              <w:rPr>
                <w:sz w:val="21"/>
                <w:szCs w:val="21"/>
                <w:color w:val="auto"/>
              </w:rPr>
            </w:pP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8"/>
              </w:rPr>
              <w:t>3,792</w:t>
            </w:r>
          </w:p>
        </w:tc>
        <w:tc>
          <w:tcPr>
            <w:tcW w:w="18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4,721</w:t>
            </w:r>
          </w:p>
        </w:tc>
      </w:tr>
      <w:tr>
        <w:trPr>
          <w:trHeight w:val="236"/>
        </w:trPr>
        <w:tc>
          <w:tcPr>
            <w:tcW w:w="8560" w:type="dxa"/>
            <w:vAlign w:val="bottom"/>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720" w:type="dxa"/>
            <w:vAlign w:val="bottom"/>
          </w:tcPr>
          <w:p>
            <w:pPr>
              <w:jc w:val="right"/>
              <w:ind w:right="53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8"/>
              </w:rPr>
              <w:t>5,251</w:t>
            </w:r>
          </w:p>
        </w:tc>
        <w:tc>
          <w:tcPr>
            <w:tcW w:w="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4,362</w:t>
            </w:r>
          </w:p>
        </w:tc>
      </w:tr>
      <w:tr>
        <w:trPr>
          <w:trHeight w:val="20"/>
        </w:trPr>
        <w:tc>
          <w:tcPr>
            <w:tcW w:w="85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6238240</wp:posOffset>
            </wp:positionH>
            <wp:positionV relativeFrom="paragraph">
              <wp:posOffset>-3312795</wp:posOffset>
            </wp:positionV>
            <wp:extent cx="1111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-2371090</wp:posOffset>
            </wp:positionV>
            <wp:extent cx="1111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-821055</wp:posOffset>
            </wp:positionV>
            <wp:extent cx="1111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-187960</wp:posOffset>
            </wp:positionV>
            <wp:extent cx="1111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200" w:hanging="272"/>
        <w:spacing w:after="0" w:line="243" w:lineRule="auto"/>
        <w:tabs>
          <w:tab w:leader="none" w:pos="2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millions of U.S. dollars and number of shares 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2"/>
              </w:rPr>
              <w:t>Total WTW</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4"/>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000" w:type="dxa"/>
            <w:vAlign w:val="bottom"/>
          </w:tcPr>
          <w:p>
            <w:pPr>
              <w:spacing w:after="0"/>
              <w:rPr>
                <w:sz w:val="11"/>
                <w:szCs w:val="11"/>
                <w:color w:val="auto"/>
              </w:rPr>
            </w:pPr>
          </w:p>
        </w:tc>
        <w:tc>
          <w:tcPr>
            <w:tcW w:w="1000" w:type="dxa"/>
            <w:vAlign w:val="bottom"/>
          </w:tcPr>
          <w:p>
            <w:pPr>
              <w:jc w:val="right"/>
              <w:ind w:right="338"/>
              <w:spacing w:after="0" w:line="135" w:lineRule="exact"/>
              <w:rPr>
                <w:sz w:val="20"/>
                <w:szCs w:val="20"/>
                <w:color w:val="auto"/>
              </w:rPr>
            </w:pPr>
            <w:r>
              <w:rPr>
                <w:rFonts w:ascii="Times New Roman" w:cs="Times New Roman" w:eastAsia="Times New Roman" w:hAnsi="Times New Roman"/>
                <w:sz w:val="12"/>
                <w:szCs w:val="12"/>
                <w:b w:val="1"/>
                <w:bCs w:val="1"/>
                <w:color w:val="auto"/>
              </w:rPr>
              <w:t>Shares</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jc w:val="right"/>
              <w:ind w:right="217"/>
              <w:spacing w:after="0" w:line="135" w:lineRule="exact"/>
              <w:rPr>
                <w:sz w:val="20"/>
                <w:szCs w:val="20"/>
                <w:color w:val="auto"/>
              </w:rPr>
            </w:pPr>
            <w:r>
              <w:rPr>
                <w:rFonts w:ascii="Times New Roman" w:cs="Times New Roman" w:eastAsia="Times New Roman" w:hAnsi="Times New Roman"/>
                <w:sz w:val="12"/>
                <w:szCs w:val="12"/>
                <w:b w:val="1"/>
                <w:bCs w:val="1"/>
                <w:color w:val="auto"/>
                <w:w w:val="98"/>
              </w:rPr>
              <w:t>Additional</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258"/>
              <w:spacing w:after="0" w:line="135" w:lineRule="exact"/>
              <w:rPr>
                <w:sz w:val="20"/>
                <w:szCs w:val="20"/>
                <w:color w:val="auto"/>
              </w:rPr>
            </w:pPr>
            <w:r>
              <w:rPr>
                <w:rFonts w:ascii="Times New Roman" w:cs="Times New Roman" w:eastAsia="Times New Roman" w:hAnsi="Times New Roman"/>
                <w:sz w:val="12"/>
                <w:szCs w:val="12"/>
                <w:b w:val="1"/>
                <w:bCs w:val="1"/>
                <w:color w:val="auto"/>
                <w:w w:val="99"/>
              </w:rPr>
              <w:t>Retained</w:t>
            </w:r>
          </w:p>
        </w:tc>
        <w:tc>
          <w:tcPr>
            <w:tcW w:w="14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b w:val="1"/>
                <w:bCs w:val="1"/>
                <w:color w:val="auto"/>
              </w:rPr>
              <w:t>Treasury</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vMerge w:val="restart"/>
          </w:tcPr>
          <w:p>
            <w:pPr>
              <w:jc w:val="right"/>
              <w:ind w:right="217"/>
              <w:spacing w:after="0"/>
              <w:rPr>
                <w:sz w:val="20"/>
                <w:szCs w:val="20"/>
                <w:color w:val="auto"/>
              </w:rPr>
            </w:pPr>
            <w:r>
              <w:rPr>
                <w:rFonts w:ascii="Times New Roman" w:cs="Times New Roman" w:eastAsia="Times New Roman" w:hAnsi="Times New Roman"/>
                <w:sz w:val="12"/>
                <w:szCs w:val="12"/>
                <w:b w:val="1"/>
                <w:bCs w:val="1"/>
                <w:color w:val="auto"/>
              </w:rPr>
              <w:t xml:space="preserve">AOCL </w:t>
            </w:r>
            <w:r>
              <w:rPr>
                <w:rFonts w:ascii="Times New Roman" w:cs="Times New Roman" w:eastAsia="Times New Roman" w:hAnsi="Times New Roman"/>
                <w:sz w:val="15"/>
                <w:szCs w:val="15"/>
                <w:b w:val="1"/>
                <w:bCs w:val="1"/>
                <w:color w:val="auto"/>
                <w:vertAlign w:val="superscript"/>
              </w:rPr>
              <w:t>(i)</w:t>
            </w:r>
          </w:p>
        </w:tc>
        <w:tc>
          <w:tcPr>
            <w:tcW w:w="100" w:type="dxa"/>
            <w:vAlign w:val="bottom"/>
          </w:tcPr>
          <w:p>
            <w:pPr>
              <w:spacing w:after="0"/>
              <w:rPr>
                <w:sz w:val="11"/>
                <w:szCs w:val="11"/>
                <w:color w:val="auto"/>
              </w:rPr>
            </w:pPr>
          </w:p>
        </w:tc>
        <w:tc>
          <w:tcPr>
            <w:tcW w:w="920" w:type="dxa"/>
            <w:vAlign w:val="bottom"/>
            <w:gridSpan w:val="2"/>
          </w:tcPr>
          <w:p>
            <w:pPr>
              <w:jc w:val="center"/>
              <w:ind w:right="78"/>
              <w:spacing w:after="0" w:line="135" w:lineRule="exact"/>
              <w:rPr>
                <w:sz w:val="20"/>
                <w:szCs w:val="20"/>
                <w:color w:val="auto"/>
              </w:rPr>
            </w:pPr>
            <w:r>
              <w:rPr>
                <w:rFonts w:ascii="Times New Roman" w:cs="Times New Roman" w:eastAsia="Times New Roman" w:hAnsi="Times New Roman"/>
                <w:sz w:val="12"/>
                <w:szCs w:val="12"/>
                <w:b w:val="1"/>
                <w:bCs w:val="1"/>
                <w:color w:val="auto"/>
                <w:w w:val="94"/>
              </w:rPr>
              <w:t>shareholders’</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jc w:val="center"/>
              <w:ind w:right="158"/>
              <w:spacing w:after="0" w:line="135" w:lineRule="exact"/>
              <w:rPr>
                <w:sz w:val="20"/>
                <w:szCs w:val="20"/>
                <w:color w:val="auto"/>
              </w:rPr>
            </w:pPr>
            <w:r>
              <w:rPr>
                <w:rFonts w:ascii="Times New Roman" w:cs="Times New Roman" w:eastAsia="Times New Roman" w:hAnsi="Times New Roman"/>
                <w:sz w:val="12"/>
                <w:szCs w:val="12"/>
                <w:b w:val="1"/>
                <w:bCs w:val="1"/>
                <w:color w:val="auto"/>
                <w:w w:val="96"/>
              </w:rPr>
              <w:t>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000" w:type="dxa"/>
            <w:vAlign w:val="bottom"/>
          </w:tcPr>
          <w:p>
            <w:pPr>
              <w:spacing w:after="0"/>
              <w:rPr>
                <w:sz w:val="13"/>
                <w:szCs w:val="13"/>
                <w:color w:val="auto"/>
              </w:rPr>
            </w:pPr>
          </w:p>
        </w:tc>
        <w:tc>
          <w:tcPr>
            <w:tcW w:w="100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20" w:type="dxa"/>
            <w:vAlign w:val="bottom"/>
          </w:tcPr>
          <w:p>
            <w:pPr>
              <w:spacing w:after="0"/>
              <w:rPr>
                <w:sz w:val="13"/>
                <w:szCs w:val="13"/>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Times New Roman" w:cs="Times New Roman" w:eastAsia="Times New Roman" w:hAnsi="Times New Roman"/>
                <w:sz w:val="12"/>
                <w:szCs w:val="12"/>
                <w:b w:val="1"/>
                <w:bCs w:val="1"/>
                <w:color w:val="auto"/>
              </w:rPr>
              <w:t>paid-in capital</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38"/>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3"/>
                <w:szCs w:val="13"/>
                <w:color w:val="auto"/>
              </w:rPr>
            </w:pPr>
          </w:p>
        </w:tc>
        <w:tc>
          <w:tcPr>
            <w:tcW w:w="64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2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2"/>
                <w:szCs w:val="12"/>
                <w:b w:val="1"/>
                <w:bCs w:val="1"/>
                <w:color w:val="auto"/>
                <w:w w:val="96"/>
              </w:rPr>
              <w:t>interests</w:t>
            </w: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2"/>
                <w:szCs w:val="12"/>
                <w:b w:val="1"/>
                <w:bCs w:val="1"/>
                <w:color w:val="auto"/>
                <w:w w:val="96"/>
              </w:rPr>
              <w:t>Total equity</w:t>
            </w:r>
          </w:p>
        </w:tc>
        <w:tc>
          <w:tcPr>
            <w:tcW w:w="0" w:type="dxa"/>
            <w:vAlign w:val="bottom"/>
          </w:tcPr>
          <w:p>
            <w:pPr>
              <w:spacing w:after="0"/>
              <w:rPr>
                <w:sz w:val="1"/>
                <w:szCs w:val="1"/>
                <w:color w:val="auto"/>
              </w:rPr>
            </w:pPr>
          </w:p>
        </w:tc>
      </w:tr>
      <w:tr>
        <w:trPr>
          <w:trHeight w:val="15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2022</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106,756</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10,876</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1,764</w:t>
            </w:r>
          </w:p>
        </w:tc>
        <w:tc>
          <w:tcPr>
            <w:tcW w:w="78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(2,621 )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10,016</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77</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10,093</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(3 )</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203</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203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206</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($0.84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Other comprehensive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53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53</w:t>
            </w:r>
          </w:p>
        </w:tc>
        <w:tc>
          <w:tcPr>
            <w:tcW w:w="0" w:type="dxa"/>
            <w:vAlign w:val="bottom"/>
          </w:tcPr>
          <w:p>
            <w:pPr>
              <w:spacing w:after="0"/>
              <w:rPr>
                <w:sz w:val="1"/>
                <w:szCs w:val="1"/>
                <w:color w:val="auto"/>
              </w:rPr>
            </w:pPr>
          </w:p>
        </w:tc>
      </w:tr>
      <w:tr>
        <w:trPr>
          <w:trHeight w:val="130"/>
        </w:trPr>
        <w:tc>
          <w:tcPr>
            <w:tcW w:w="3000" w:type="dxa"/>
            <w:vAlign w:val="bottom"/>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18</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18</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95"/>
        </w:trPr>
        <w:tc>
          <w:tcPr>
            <w:tcW w:w="300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2023</w:t>
            </w:r>
          </w:p>
        </w:tc>
        <w:tc>
          <w:tcPr>
            <w:tcW w:w="1000" w:type="dxa"/>
            <w:vAlign w:val="bottom"/>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106,383</w:t>
            </w:r>
          </w:p>
        </w:tc>
        <w:tc>
          <w:tcPr>
            <w:tcW w:w="2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10,890</w:t>
            </w:r>
          </w:p>
        </w:tc>
        <w:tc>
          <w:tcPr>
            <w:tcW w:w="2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1,774</w:t>
            </w:r>
          </w:p>
        </w:tc>
        <w:tc>
          <w:tcPr>
            <w:tcW w:w="780" w:type="dxa"/>
            <w:vAlign w:val="bottom"/>
            <w:gridSpan w:val="2"/>
            <w:shd w:val="clear" w:color="auto" w:fill="CFF0FC"/>
          </w:tcPr>
          <w:p>
            <w:pPr>
              <w:jc w:val="right"/>
              <w:ind w:right="524"/>
              <w:spacing w:after="0" w:line="142" w:lineRule="exact"/>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(2,568 )</w:t>
            </w:r>
          </w:p>
        </w:tc>
        <w:tc>
          <w:tcPr>
            <w:tcW w:w="1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10,096</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80</w:t>
            </w:r>
          </w:p>
        </w:tc>
        <w:tc>
          <w:tcPr>
            <w:tcW w:w="20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10,176</w:t>
            </w:r>
          </w:p>
        </w:tc>
        <w:tc>
          <w:tcPr>
            <w:tcW w:w="0" w:type="dxa"/>
            <w:vAlign w:val="bottom"/>
          </w:tcPr>
          <w:p>
            <w:pPr>
              <w:spacing w:after="0"/>
              <w:rPr>
                <w:sz w:val="1"/>
                <w:szCs w:val="1"/>
                <w:color w:val="auto"/>
              </w:rPr>
            </w:pPr>
          </w:p>
        </w:tc>
      </w:tr>
      <w:tr>
        <w:trPr>
          <w:trHeight w:val="142"/>
        </w:trPr>
        <w:tc>
          <w:tcPr>
            <w:tcW w:w="3000" w:type="dxa"/>
            <w:vAlign w:val="bottom"/>
            <w:tcBorders>
              <w:top w:val="single" w:sz="8" w:color="CFF0FC"/>
            </w:tcBorders>
          </w:tcPr>
          <w:p>
            <w:pPr>
              <w:spacing w:after="0"/>
              <w:rPr>
                <w:sz w:val="12"/>
                <w:szCs w:val="12"/>
                <w:color w:val="auto"/>
              </w:rPr>
            </w:pPr>
          </w:p>
        </w:tc>
        <w:tc>
          <w:tcPr>
            <w:tcW w:w="100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CFF0FC"/>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CFF0FC"/>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CFF0FC"/>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Balance as of December 31, 2023</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102,538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10,910</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1,466</w:t>
            </w:r>
          </w:p>
        </w:tc>
        <w:tc>
          <w:tcPr>
            <w:tcW w:w="780" w:type="dxa"/>
            <w:vAlign w:val="bottom"/>
            <w:gridSpan w:val="2"/>
            <w:shd w:val="clear" w:color="auto" w:fill="CFF0FC"/>
          </w:tcPr>
          <w:p>
            <w:pPr>
              <w:jc w:val="right"/>
              <w:ind w:right="524"/>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(2,856 )</w:t>
            </w:r>
          </w:p>
        </w:tc>
        <w:tc>
          <w:tcPr>
            <w:tcW w:w="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9,520</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73</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9,593</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Shares repurchased</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(374 )</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190</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190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194</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($0.88 per share)</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(91 )</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Dividends attributable to non-controlling interests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(1 )</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 loss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(49 )</w:t>
            </w:r>
          </w:p>
        </w:tc>
        <w:tc>
          <w:tcPr>
            <w:tcW w:w="0" w:type="dxa"/>
            <w:vAlign w:val="bottom"/>
          </w:tcPr>
          <w:p>
            <w:pPr>
              <w:spacing w:after="0"/>
              <w:rPr>
                <w:sz w:val="1"/>
                <w:szCs w:val="1"/>
                <w:color w:val="auto"/>
              </w:rPr>
            </w:pPr>
          </w:p>
        </w:tc>
      </w:tr>
      <w:tr>
        <w:trPr>
          <w:trHeight w:val="130"/>
        </w:trPr>
        <w:tc>
          <w:tcPr>
            <w:tcW w:w="3000" w:type="dxa"/>
            <w:vAlign w:val="bottom"/>
            <w:shd w:val="clear" w:color="auto" w:fill="CFF0FC"/>
          </w:tcPr>
          <w:p>
            <w:pPr>
              <w:ind w:left="20"/>
              <w:spacing w:after="0" w:line="130" w:lineRule="exact"/>
              <w:rPr>
                <w:sz w:val="20"/>
                <w:szCs w:val="20"/>
                <w:color w:val="auto"/>
              </w:rPr>
            </w:pPr>
            <w:r>
              <w:rPr>
                <w:rFonts w:ascii="Times New Roman" w:cs="Times New Roman" w:eastAsia="Times New Roman" w:hAnsi="Times New Roman"/>
                <w:sz w:val="13"/>
                <w:szCs w:val="13"/>
                <w:color w:val="auto"/>
              </w:rPr>
              <w:t>Issuance of shares under employee stock</w:t>
            </w: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8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compensation plans</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49</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 and net settlements</w:t>
            </w:r>
          </w:p>
        </w:tc>
        <w:tc>
          <w:tcPr>
            <w:tcW w:w="100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78"/>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162"/>
        </w:trPr>
        <w:tc>
          <w:tcPr>
            <w:tcW w:w="3000" w:type="dxa"/>
            <w:vAlign w:val="bottom"/>
            <w:shd w:val="clear" w:color="auto" w:fill="CFF0FC"/>
          </w:tcPr>
          <w:p>
            <w:pPr>
              <w:ind w:left="20"/>
              <w:spacing w:after="0" w:line="162" w:lineRule="exact"/>
              <w:rPr>
                <w:sz w:val="20"/>
                <w:szCs w:val="20"/>
                <w:color w:val="auto"/>
              </w:rPr>
            </w:pPr>
            <w:r>
              <w:rPr>
                <w:rFonts w:ascii="Times New Roman" w:cs="Times New Roman" w:eastAsia="Times New Roman" w:hAnsi="Times New Roman"/>
                <w:sz w:val="13"/>
                <w:szCs w:val="13"/>
                <w:color w:val="auto"/>
              </w:rPr>
              <w:t xml:space="preserve">Additional non-controlling interests </w:t>
            </w:r>
            <w:r>
              <w:rPr>
                <w:rFonts w:ascii="Times New Roman" w:cs="Times New Roman" w:eastAsia="Times New Roman" w:hAnsi="Times New Roman"/>
                <w:sz w:val="16"/>
                <w:szCs w:val="16"/>
                <w:color w:val="auto"/>
                <w:vertAlign w:val="superscript"/>
              </w:rPr>
              <w:t>(ii)</w:t>
            </w:r>
          </w:p>
        </w:tc>
        <w:tc>
          <w:tcPr>
            <w:tcW w:w="100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w:t>
            </w:r>
          </w:p>
        </w:tc>
        <w:tc>
          <w:tcPr>
            <w:tcW w:w="0" w:type="dxa"/>
            <w:vAlign w:val="bottom"/>
          </w:tcPr>
          <w:p>
            <w:pPr>
              <w:spacing w:after="0"/>
              <w:rPr>
                <w:sz w:val="1"/>
                <w:szCs w:val="1"/>
                <w:color w:val="auto"/>
              </w:rPr>
            </w:pPr>
          </w:p>
        </w:tc>
      </w:tr>
      <w:tr>
        <w:trPr>
          <w:trHeight w:val="162"/>
        </w:trPr>
        <w:tc>
          <w:tcPr>
            <w:tcW w:w="30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100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color w:val="auto"/>
              </w:rPr>
              <w:t>4</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color w:val="auto"/>
              </w:rPr>
              <w:t>4</w:t>
            </w:r>
          </w:p>
        </w:tc>
        <w:tc>
          <w:tcPr>
            <w:tcW w:w="0" w:type="dxa"/>
            <w:vAlign w:val="bottom"/>
          </w:tcPr>
          <w:p>
            <w:pPr>
              <w:spacing w:after="0"/>
              <w:rPr>
                <w:sz w:val="1"/>
                <w:szCs w:val="1"/>
                <w:color w:val="auto"/>
              </w:rPr>
            </w:pPr>
          </w:p>
        </w:tc>
      </w:tr>
      <w:tr>
        <w:trPr>
          <w:trHeight w:val="195"/>
        </w:trPr>
        <w:tc>
          <w:tcPr>
            <w:tcW w:w="300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Balance as of March 31, 2024</w:t>
            </w:r>
          </w:p>
        </w:tc>
        <w:tc>
          <w:tcPr>
            <w:tcW w:w="1000" w:type="dxa"/>
            <w:vAlign w:val="bottom"/>
            <w:tcBorders>
              <w:bottom w:val="single" w:sz="8" w:color="auto"/>
            </w:tcBorders>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102,213</w:t>
            </w:r>
          </w:p>
        </w:tc>
        <w:tc>
          <w:tcPr>
            <w:tcW w:w="1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3"/>
                <w:szCs w:val="13"/>
                <w:color w:val="auto"/>
              </w:rPr>
              <w:t>10,930</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1,464</w:t>
            </w:r>
          </w:p>
        </w:tc>
        <w:tc>
          <w:tcPr>
            <w:tcW w:w="14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ind w:right="524"/>
              <w:spacing w:after="0"/>
              <w:rPr>
                <w:sz w:val="20"/>
                <w:szCs w:val="20"/>
                <w:color w:val="auto"/>
              </w:rPr>
            </w:pPr>
            <w:r>
              <w:rPr>
                <w:rFonts w:ascii="Times New Roman" w:cs="Times New Roman" w:eastAsia="Times New Roman" w:hAnsi="Times New Roman"/>
                <w:sz w:val="10"/>
                <w:szCs w:val="10"/>
                <w:color w:val="auto"/>
                <w:w w:val="79"/>
              </w:rPr>
              <w:t>$</w:t>
            </w:r>
          </w:p>
        </w:tc>
        <w:tc>
          <w:tcPr>
            <w:tcW w:w="26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7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rPr>
              <w:t>(2,905 )</w:t>
            </w:r>
          </w:p>
        </w:tc>
        <w:tc>
          <w:tcPr>
            <w:tcW w:w="1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78"/>
              <w:spacing w:after="0" w:line="142" w:lineRule="exact"/>
              <w:rPr>
                <w:sz w:val="20"/>
                <w:szCs w:val="20"/>
                <w:color w:val="auto"/>
              </w:rPr>
            </w:pPr>
            <w:r>
              <w:rPr>
                <w:rFonts w:ascii="Times New Roman" w:cs="Times New Roman" w:eastAsia="Times New Roman" w:hAnsi="Times New Roman"/>
                <w:sz w:val="13"/>
                <w:szCs w:val="13"/>
                <w:color w:val="auto"/>
              </w:rPr>
              <w:t>9,489</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tcBorders>
              <w:bottom w:val="single" w:sz="8" w:color="auto"/>
            </w:tcBorders>
            <w:shd w:val="clear" w:color="auto" w:fill="CFF0FC"/>
          </w:tcPr>
          <w:p>
            <w:pPr>
              <w:jc w:val="right"/>
              <w:ind w:right="58"/>
              <w:spacing w:after="0" w:line="142" w:lineRule="exact"/>
              <w:rPr>
                <w:sz w:val="20"/>
                <w:szCs w:val="20"/>
                <w:color w:val="auto"/>
              </w:rPr>
            </w:pPr>
            <w:r>
              <w:rPr>
                <w:rFonts w:ascii="Times New Roman" w:cs="Times New Roman" w:eastAsia="Times New Roman" w:hAnsi="Times New Roman"/>
                <w:sz w:val="13"/>
                <w:szCs w:val="13"/>
                <w:color w:val="auto"/>
              </w:rPr>
              <w:t>79</w:t>
            </w:r>
          </w:p>
        </w:tc>
        <w:tc>
          <w:tcPr>
            <w:tcW w:w="10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840" w:type="dxa"/>
            <w:vAlign w:val="bottom"/>
            <w:tcBorders>
              <w:bottom w:val="single" w:sz="8" w:color="auto"/>
            </w:tcBorders>
            <w:shd w:val="clear" w:color="auto" w:fill="CFF0FC"/>
          </w:tcPr>
          <w:p>
            <w:pPr>
              <w:jc w:val="right"/>
              <w:ind w:right="57"/>
              <w:spacing w:after="0" w:line="142" w:lineRule="exact"/>
              <w:rPr>
                <w:sz w:val="20"/>
                <w:szCs w:val="20"/>
                <w:color w:val="auto"/>
              </w:rPr>
            </w:pPr>
            <w:r>
              <w:rPr>
                <w:rFonts w:ascii="Times New Roman" w:cs="Times New Roman" w:eastAsia="Times New Roman" w:hAnsi="Times New Roman"/>
                <w:sz w:val="13"/>
                <w:szCs w:val="13"/>
                <w:color w:val="auto"/>
              </w:rPr>
              <w:t>9,568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2539365</wp:posOffset>
            </wp:positionH>
            <wp:positionV relativeFrom="paragraph">
              <wp:posOffset>-1386205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-1369060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-1386205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-1369060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-1386205</wp:posOffset>
            </wp:positionV>
            <wp:extent cx="7683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-1369060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-1386205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-1369060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-1386205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-1369060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-1386205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-1369060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-1386205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-1369060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-24765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2539365</wp:posOffset>
            </wp:positionH>
            <wp:positionV relativeFrom="paragraph">
              <wp:posOffset>-7620</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-24765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3215640</wp:posOffset>
            </wp:positionH>
            <wp:positionV relativeFrom="paragraph">
              <wp:posOffset>-7620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-24765</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-7620</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5193665</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-24765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6478270</wp:posOffset>
            </wp:positionH>
            <wp:positionV relativeFrom="paragraph">
              <wp:posOffset>-7620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3" w:lineRule="exact"/>
        <w:rPr>
          <w:sz w:val="20"/>
          <w:szCs w:val="20"/>
          <w:color w:val="auto"/>
        </w:rPr>
      </w:pPr>
    </w:p>
    <w:p>
      <w:pPr>
        <w:ind w:left="280" w:hanging="272"/>
        <w:spacing w:after="0"/>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Accumulated other comprehensive loss, net of tax (‘AOCL’).</w:t>
      </w:r>
    </w:p>
    <w:p>
      <w:pPr>
        <w:spacing w:after="0" w:line="39" w:lineRule="exact"/>
        <w:rPr>
          <w:rFonts w:ascii="Times New Roman" w:cs="Times New Roman" w:eastAsia="Times New Roman" w:hAnsi="Times New Roman"/>
          <w:sz w:val="13"/>
          <w:szCs w:val="13"/>
          <w:color w:val="auto"/>
        </w:rPr>
      </w:pPr>
    </w:p>
    <w:p>
      <w:pPr>
        <w:ind w:left="280" w:right="360" w:hanging="272"/>
        <w:spacing w:after="0" w:line="277" w:lineRule="auto"/>
        <w:tabs>
          <w:tab w:leader="none" w:pos="28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Attributable to the divestiture of businesses that are less than wholly-owned or the acquisition of shares previously owned by minority interest holders. In an acquisition, additional paid-in capital is adjusted as well to the extent that the consideration transferred differs from the carrying value of non-controlling interests prior to the acquisition.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WILLIS TOWERS WATSON PUBLIC LIMITED COMPANY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(Tabular amounts in millions of U.S. dollars, except per share data)</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Willis Towers Watson Public Limited Company is a leading global advisory, broking and solutions company that provides data-driven, insight-led solutions in the areas of people, risk and capital. The Company has 48,000 colleagues serving more than 140 countries and markets.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We design and deliver solutions that manage risk, optimize benefits, cultivate talent and expand the power of capital to protect and strengthen institutions and individuals.</w:t>
      </w:r>
    </w:p>
    <w:p>
      <w:pPr>
        <w:spacing w:after="0" w:line="109"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Our risk control services include strategic risk consulting (including providing actuarial analysis), a variety of due diligence services, the provision of practical on-site risk control services (such as health and safety or property loss control consulting), and analytical and advisory services (such as hazard modeling and climate risk quantification). We also assist our clients with managing incidents or crises when they occur. These services include contingency planning, security audits and product tampering plans.</w:t>
      </w:r>
    </w:p>
    <w:p>
      <w:pPr>
        <w:spacing w:after="0" w:line="12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We help our clients enhance their business performance by delivering consulting services, technology and solutions that help them anticipate, identify and capitalize on emerging opportunities in human capital management, as well as offer investment advice to help them develop disciplined and efficient strategies to meet their investment goals.</w:t>
      </w:r>
    </w:p>
    <w:p>
      <w:pPr>
        <w:spacing w:after="0" w:line="123" w:lineRule="exact"/>
        <w:rPr>
          <w:sz w:val="20"/>
          <w:szCs w:val="20"/>
          <w:color w:val="auto"/>
        </w:rPr>
      </w:pPr>
    </w:p>
    <w:p>
      <w:pPr>
        <w:jc w:val="both"/>
        <w:ind w:right="160"/>
        <w:spacing w:after="0" w:line="312" w:lineRule="auto"/>
        <w:rPr>
          <w:sz w:val="20"/>
          <w:szCs w:val="20"/>
          <w:color w:val="auto"/>
        </w:rPr>
      </w:pPr>
      <w:r>
        <w:rPr>
          <w:rFonts w:ascii="Times New Roman" w:cs="Times New Roman" w:eastAsia="Times New Roman" w:hAnsi="Times New Roman"/>
          <w:sz w:val="17"/>
          <w:szCs w:val="17"/>
          <w:color w:val="auto"/>
        </w:rPr>
        <w:t>As an insurance broker, we act as an intermediary between our clients and insurance carriers by advising on their risk management requirements, helping them to determine the best means of managing risk and negotiating and placing insurance with insurance carriers through our global distribution network.</w:t>
      </w:r>
    </w:p>
    <w:p>
      <w:pPr>
        <w:spacing w:after="0" w:line="85"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We operate a private Medicare marketplace in the U.S. through which, along with our active employee marketplace, we help our clients move to a more sustainable economic model by capping and controlling the costs associated with healthcare benefits. We also provide direct-to-consumer sales of Medicare coverage.</w:t>
      </w:r>
    </w:p>
    <w:p>
      <w:pPr>
        <w:spacing w:after="0" w:line="123" w:lineRule="exact"/>
        <w:rPr>
          <w:sz w:val="20"/>
          <w:szCs w:val="20"/>
          <w:color w:val="auto"/>
        </w:rPr>
      </w:pPr>
    </w:p>
    <w:p>
      <w:pPr>
        <w:ind w:right="900"/>
        <w:spacing w:after="0" w:line="281" w:lineRule="auto"/>
        <w:rPr>
          <w:sz w:val="20"/>
          <w:szCs w:val="20"/>
          <w:color w:val="auto"/>
        </w:rPr>
      </w:pPr>
      <w:r>
        <w:rPr>
          <w:rFonts w:ascii="Times New Roman" w:cs="Times New Roman" w:eastAsia="Times New Roman" w:hAnsi="Times New Roman"/>
          <w:sz w:val="18"/>
          <w:szCs w:val="18"/>
          <w:color w:val="auto"/>
        </w:rPr>
        <w:t>We are not an insurance company, and therefore we do not underwrite insurable risks for our own account. We help sharpen strategies, enhance organizational resilience, motivate workforces and maximize performance to uncover opportunities for sustainable success.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7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The accompanying unaudited quarterly condensed consolidated financial statements of WTW and our subsidiaries are presented in accordance with the rules and regulations of the SEC for quarterly reports on Form 10-Q and therefore certain footnote disclosures have been condensed or omitted from these financial statements as they are not required for interim reporting under U.S. GAAP. In the opinion of management, these condensed consolidated financial statements reflect all adjustments, consisting of normal recurring adjustments, which are necessary for a fair presentation of the condensed consolidated financial statements and results for the interim periods. All intercompany accounts and transactions have been eliminated in consolidation. The condensed consolidated financial statements should be read together with the Company’s Annual Report on Form 10-K, filed with the SEC on February 22, 2024, and may be accessed via EDGAR on the SEC’s web site at www.sec.gov.</w:t>
      </w:r>
    </w:p>
    <w:p>
      <w:pPr>
        <w:spacing w:after="0" w:line="13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results of operations for the three months ended March 31, 2024 are not necessarily indicative of the results that can be expected for the entire year. The Company experiences seasonal fluctuations of its revenue. Revenue is typically higher during the Company’s first and fourth quarters due primarily to the timing of broking-related activities. The results reflect certain estimates and assumptions made by management, including those estimates used in calculating acquisition consideration and fair value of tangible and intangible assets and acquisition-related liabilities, professional liability claims, estimated bonuses, valuation of billed and unbilled receivables, and anticipated tax liabilities that affect the amounts reported in the condensed consolidated financial statements and related notes.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Not Yet Adopted</w:t>
      </w:r>
    </w:p>
    <w:p>
      <w:pPr>
        <w:spacing w:after="0" w:line="1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improve the transparency of income tax disclosures by requiring consistent categories and greater disaggregation of information within the income tax rate reconciliation and income taxes paid disclosures. It also includes certain other amendments intended to improve the effectiveness of income tax disclosures. Specifically, this ASU requires a tabular income tax rate</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18"/>
          <w:szCs w:val="18"/>
          <w:color w:val="auto"/>
        </w:rPr>
        <w:t>reconciliation using both percentages and amounts disaggregated into specific categories with certain reconciling items at or above 5% of the statutory tax, further disaggregated by its nature and/or jurisdiction. Additionally, income taxes paid will be required to be presented by federal, state, local and foreign jurisdictions, including amounts paid to individual jurisdictions representing 5% or more of the total income taxes paid. This ASU becomes effective for the Company on January 1, 2025, with early adoption permitted. The guidance is applied prospectively, with the option for retrospective application. The Company does not plan to early-adopt this ASU and is assessing the expected impact on its condensed consolidated financial statements.</w:t>
      </w:r>
    </w:p>
    <w:p>
      <w:pPr>
        <w:spacing w:after="0" w:line="12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March 2024, the SEC adopted final rules on the enhancement and standardization of climate-related disclosures for investors. The rules require disclosure of certain climate-related information in registration statements and annual reports on Form 10-K. For example, the rules require the notes to the financial statements to include disclosure regarding the effects of severe weather events and other natural conditions, subject to certain materiality thresholds. Additionally, the rules also require certain other disclosures outside of the financial statements. Among other things, these requirements include Scope 1 (direct) and Scope 2 (indirect from purchased energy) greenhouse gas (‘GHG’) emissions, if material, which will be subject to assurance requirements that will be phased in, as well as governance, oversight and risk management disclosures, which include any transition plan adopted to manage material transition risk, and material climate targets and goals.</w:t>
      </w:r>
    </w:p>
    <w:p>
      <w:pPr>
        <w:spacing w:after="0" w:line="13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The rules become effective in phases, currently beginning with any material current-year effects of severe weather events and other natural conditions and the more qualitative disclosures being required for inclusion in the Company’s 2025 Form 10-K, and some of the other more quantitative disclosures being required for the 2026 Form 10-K. While the disclosures are meant to cover the same periods in the financial statements, the requirements may be adopted on a prospective basis beginning with 2025. The Scope 1 and Scope 2 GHG emissions disclosures, which are required for the 2026 fiscal year, allow for additional time but must be filed by the due date of the second quarterly report on Form 10-Q or by amending the Form 10-K by that same deadline. Third-party limited assurance of the GHG emissions disclosures is required for the Company’s 2029 Form 10-K and reasonable assurance is required for the Company’s 2033 Form 10-K.</w:t>
      </w:r>
    </w:p>
    <w:p>
      <w:pPr>
        <w:spacing w:after="0" w:line="13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8"/>
          <w:szCs w:val="18"/>
          <w:color w:val="auto"/>
        </w:rPr>
        <w:t>Following a number of legal challenges to the final rule that have been consolidated for review in the U.S. Court of Appeals for the Eighth Circuit, the SEC has voluntarily stayed the newly-released climate rules pending the completion of judicial review of such consolidated petitions to avoid regulatory uncertainty for companies subject to the rule while the litigation proceeds. The Company is monitoring the outcome of the litigation and will provide the required disclosures if and when required.</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Adopted</w:t>
      </w:r>
    </w:p>
    <w:p>
      <w:pPr>
        <w:spacing w:after="0" w:line="171"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 Segment Disclosures</w:t>
      </w:r>
      <w:r>
        <w:rPr>
          <w:rFonts w:ascii="Times New Roman" w:cs="Times New Roman" w:eastAsia="Times New Roman" w:hAnsi="Times New Roman"/>
          <w:sz w:val="18"/>
          <w:szCs w:val="18"/>
          <w:color w:val="auto"/>
        </w:rPr>
        <w:t xml:space="preserve">, which is intended to improve reportable segment disclosure requirements through enhanced disclosures about significant segment expenses. Among other amendments, this ASU creates a ‘significant expense principle,’ and adds required disclosures of significant expenses for each reportable segment, as well as certain other disclosures to help investors understand how the chief operating decision maker (‘CODM’) evaluates segment expenses and operating results. In addition, this ASU requires for interim periods all disclosures about a reportable segment’s profit or loss and assets under ASC 280, </w:t>
      </w:r>
      <w:r>
        <w:rPr>
          <w:rFonts w:ascii="Times New Roman" w:cs="Times New Roman" w:eastAsia="Times New Roman" w:hAnsi="Times New Roman"/>
          <w:sz w:val="18"/>
          <w:szCs w:val="18"/>
          <w:i w:val="1"/>
          <w:iCs w:val="1"/>
          <w:color w:val="auto"/>
        </w:rPr>
        <w:t>Segment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Reporting </w:t>
      </w:r>
      <w:r>
        <w:rPr>
          <w:rFonts w:ascii="Times New Roman" w:cs="Times New Roman" w:eastAsia="Times New Roman" w:hAnsi="Times New Roman"/>
          <w:sz w:val="18"/>
          <w:szCs w:val="18"/>
          <w:color w:val="auto"/>
        </w:rPr>
        <w:t>that had previously only been provided annually (e.g., interest income and expense, depreciation and amortization expense). The annual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of this ASU became effective for the Company on January 1, 2024, at which time it was adopted; the Company will include the new disclosures in our Annual Report on Form 10-K for the year ended December 31, 2024, as required. New interim disclosures are required for fiscal years beginning January 1, 2025 and will be included at that time.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Legislation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Reduction Act</w:t>
      </w:r>
    </w:p>
    <w:p>
      <w:pPr>
        <w:spacing w:after="0" w:line="173" w:lineRule="exact"/>
        <w:rPr>
          <w:sz w:val="20"/>
          <w:szCs w:val="20"/>
          <w:color w:val="auto"/>
        </w:rPr>
      </w:pPr>
    </w:p>
    <w:p>
      <w:pPr>
        <w:jc w:val="both"/>
        <w:ind w:right="180"/>
        <w:spacing w:after="0" w:line="258" w:lineRule="auto"/>
        <w:rPr>
          <w:sz w:val="20"/>
          <w:szCs w:val="20"/>
          <w:color w:val="auto"/>
        </w:rPr>
      </w:pPr>
      <w:r>
        <w:rPr>
          <w:rFonts w:ascii="Times New Roman" w:cs="Times New Roman" w:eastAsia="Times New Roman" w:hAnsi="Times New Roman"/>
          <w:sz w:val="18"/>
          <w:szCs w:val="18"/>
          <w:color w:val="auto"/>
        </w:rPr>
        <w:t>The Inflation Reduction Act (the ‘IRA’) was enacted into law on August 16, 2022 and certain portions of the IRA became effective January 1, 2023. The IRA introduced, among other provisions, a share repurchase excise tax and a new Corporate Alternative Minimum Tax (‘CAMT’) which imposes a 15% tax on the adjusted financial statement income of ‘applicable corporations’. New rules issued in the proposed regulations issued on April 9, 2024 apply to share repurchases after April 12, 2024. The Company does not expect the excise tax or CAMT to have a significant impact on its condensed consolidated financial statements.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Pillar Two</w:t>
      </w:r>
    </w:p>
    <w:p>
      <w:pPr>
        <w:spacing w:after="0" w:line="17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On October 8, 2021, the Organisation for Economic Co-operation and Development (‘OECD’) announced an international agreement with more than 140 countries to implement a two-pillar solution to address tax challenges arising from the digitalization of the economy. The agreement introduced rules that would result in the reallocation of certain taxing rights over multinational companies from their home countries to the markets where they have business activities and earn profits, regardless of physical presence (‘Pillar One’) and introduced a global corporate minimum tax of 15% for certain large multinational companies starting in 2024 (‘Pillar Two’). On December 20, 2021, the OECD/G20 Inclusive Framework on Base Erosion and Profit Shifting released the Model Global</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2" w:name="page13"/>
    <w:bookmarkEnd w:id="12"/>
    <w:p>
      <w:pPr>
        <w:ind w:right="40"/>
        <w:spacing w:after="0" w:line="256" w:lineRule="auto"/>
        <w:rPr>
          <w:sz w:val="20"/>
          <w:szCs w:val="20"/>
          <w:color w:val="auto"/>
        </w:rPr>
      </w:pPr>
      <w:r>
        <w:rPr>
          <w:rFonts w:ascii="Times New Roman" w:cs="Times New Roman" w:eastAsia="Times New Roman" w:hAnsi="Times New Roman"/>
          <w:sz w:val="18"/>
          <w:szCs w:val="18"/>
          <w:color w:val="auto"/>
        </w:rPr>
        <w:t>Anti-Base Erosion (‘GloBE’) rules (the ‘OECD Model Rules’) under Pillar Two. On December 12, 2022, E.U. member states reached an agreement to implement Pillar Two and this requires E.U. member states to enact domestic legislation to put Pillar Two into effect. In 2023, many E.U. countries enacted the necessary legislation (based on the OECD Model Rules) to implement Pillar Two in 2024. Ireland, in particular, enacted Pillar Two by signing Finance (No. 2) Bill 2023 into law in December 2023. Other countries and territories have indicated they will introduce Pillar Two beginning in 2025. While we do not anticipate that this legislation will have a material impact on our tax provision or effective tax rate, we continue to monitor evolving tax legislation in the jurisdictions in which we operate.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Acquisitions</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The Company completed acquisitions during the three months ended March 31, 2024 for combined cash payments of $24 million and contingent consideration fair valued at $3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Divestitures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Willis Re Divestiture</w:t>
      </w:r>
    </w:p>
    <w:p>
      <w:pPr>
        <w:spacing w:after="0" w:line="17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On August 13, 2021, the Company entered into a definitive security and asset purchase agreement (the ‘Willis Re SAPA’) to sell its treaty-reinsurance business (‘Willis Re’) to Arthur J. Gallagher &amp; Co. (‘Gallagher’), a leading global provider of insurance, risk management and consulting services, for total upfront cash consideration of $3.25 billion plus an earnout payable in 2025 of up to $750 million in cash, subject to certain adjustments. The deal was subject to required regulatory approvals and clearances, as well as other customary closing conditions, and was completed on December 1, 2021.</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amounts included in the condensed consolidated balance sheets did not transfer to Gallagher under the terms of the Willis Re SAPA, and instead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to be settled by the Company, noting that certain fiduciary positions continued to be held under the terms of various co-broking agreements between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subsidiaries of the Company and Gallagher. On May 31, 2023, the Company and Gallagher entered into a side letter to the Willis Re SAPA which became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on June 1, 2023 and which (A) ended the co-broking agreements prospectively and (B) transferred related fiduciary and certain non-fiduciary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to Gallagher at that time based on then-current estimates. These non-fiduciary amounts were finalized in the third quarter of 2023.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value of the initial transfer during the second quarter of 2023 amounted to $74 million of other current liabilities less $26 million of accounts receivables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the Company, totaling $48 million of net cash transferred to Gallagher. Additionally, total fiduciary assets and liabilities of $4.5 billion, including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$868 million of fiduciary cash, were transferred to Gallagher. The total cash outflow of $916 million was included in cash used in investing activities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condensed consolidated statements of cash flows for the six months ended June 30, 2023. During the third quarter of 2023, WTW and Gallagher agreed to 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final settlement of all balances which resulted in a $5 million increase to the gain on disposal recognized at that time, and is included within Other income,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on our condensed consolidated statements of comprehensive income. The settlement of remaining amounts owed to Gallagher totaling $11 million was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in October 2023.</w:t>
      </w:r>
    </w:p>
    <w:p>
      <w:pPr>
        <w:spacing w:after="0" w:line="152"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 number of services are continuing under a cost reimbursement Transition Services Agreement (‘TSA’) in which WTW is providing Gallagher support including real estate leases, information technology, payroll, human resources and accounting. During the third quarter of 2023, the term for these services was extended from November 30, 2023 to May 31, 2024 and may be further extended by Gallagher, in accordance with the terms of the TSA. Fees earned under the TSA were $6 million and $9 million during the three months ended March 31, 2024 and 2023, respectively, and have been recognized as a reduction to the costs incurred to service the TSA and are included within Other operating expenses on the condensed consolidated statements of comprehensive income. Costs incurred to service the TSA are expected to be reduced as part of the Company’s Transformation program (see Note 6 — Restructuring Costs for a description of the program) as quickly as possible when the services are no longer required by Gallagher.</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0"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4 — Revenue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6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color w:val="auto"/>
        </w:rPr>
        <w:t xml:space="preserve">The Company reports revenue by segment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Segment Information. The following table presents revenue by service offering and segment, as well as a reconciliation to total revenue for the three months ended March 31, 2024 and 2023. Along with reimbursable expenses and other, total revenue by service offering represents our revenue from customer contracts.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208"/>
              <w:spacing w:after="0" w:line="169" w:lineRule="exact"/>
              <w:rPr>
                <w:sz w:val="20"/>
                <w:szCs w:val="20"/>
                <w:color w:val="auto"/>
              </w:rPr>
            </w:pPr>
            <w:r>
              <w:rPr>
                <w:rFonts w:ascii="Times New Roman" w:cs="Times New Roman" w:eastAsia="Times New Roman" w:hAnsi="Times New Roman"/>
                <w:sz w:val="14"/>
                <w:szCs w:val="14"/>
                <w:b w:val="1"/>
                <w:bCs w:val="1"/>
                <w:color w:val="auto"/>
              </w:rPr>
              <w:t xml:space="preserve">Corporate </w:t>
            </w:r>
            <w:r>
              <w:rPr>
                <w:rFonts w:ascii="Times New Roman" w:cs="Times New Roman" w:eastAsia="Times New Roman" w:hAnsi="Times New Roman"/>
                <w:sz w:val="19"/>
                <w:szCs w:val="19"/>
                <w:b w:val="1"/>
                <w:bCs w:val="1"/>
                <w:color w:val="auto"/>
                <w:vertAlign w:val="superscript"/>
              </w:rPr>
              <w:t>(i)</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Broking</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335</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289</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w:t>
            </w:r>
          </w:p>
        </w:tc>
        <w:tc>
          <w:tcPr>
            <w:tcW w:w="40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691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5</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1,077</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985</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Consulting</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662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661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763</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Outsourced administration</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266</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262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5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by service offering</w:t>
            </w:r>
          </w:p>
        </w:tc>
        <w:tc>
          <w:tcPr>
            <w:tcW w:w="16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1,281</w:t>
            </w:r>
          </w:p>
        </w:tc>
        <w:tc>
          <w:tcPr>
            <w:tcW w:w="1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Reimbursable expenses and other </w:t>
            </w:r>
            <w:r>
              <w:rPr>
                <w:rFonts w:ascii="Times New Roman" w:cs="Times New Roman" w:eastAsia="Times New Roman" w:hAnsi="Times New Roman"/>
                <w:sz w:val="7"/>
                <w:szCs w:val="7"/>
                <w:color w:val="auto"/>
              </w:rPr>
              <w:t>(i)</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 from customer contracts</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1,344</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1,296</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950</w:t>
            </w:r>
          </w:p>
        </w:tc>
        <w:tc>
          <w:tcPr>
            <w:tcW w:w="40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888</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680" w:type="dxa"/>
            <w:vAlign w:val="bottom"/>
            <w:tcBorders>
              <w:bottom w:val="single" w:sz="8" w:color="CFF0FC"/>
            </w:tcBorders>
            <w:gridSpan w:val="2"/>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2,295</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2,203</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and other income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43"/>
        </w:trPr>
        <w:tc>
          <w:tcPr>
            <w:tcW w:w="34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vMerge w:val="continue"/>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1,353</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1,302</w:t>
            </w: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981</w:t>
            </w:r>
          </w:p>
        </w:tc>
        <w:tc>
          <w:tcPr>
            <w:tcW w:w="12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907</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Borders>
              <w:bottom w:val="single" w:sz="8" w:color="CFF0FC"/>
            </w:tcBorders>
            <w:shd w:val="clear" w:color="auto" w:fill="CFF0FC"/>
          </w:tcPr>
          <w:p>
            <w:pPr>
              <w:spacing w:after="0"/>
              <w:rPr>
                <w:sz w:val="20"/>
                <w:szCs w:val="20"/>
                <w:color w:val="auto"/>
              </w:rPr>
            </w:pPr>
          </w:p>
        </w:tc>
        <w:tc>
          <w:tcPr>
            <w:tcW w:w="560" w:type="dxa"/>
            <w:vAlign w:val="bottom"/>
            <w:tcBorders>
              <w:bottom w:val="single" w:sz="8" w:color="auto"/>
            </w:tcBorders>
            <w:shd w:val="clear" w:color="auto" w:fill="CFF0FC"/>
          </w:tcPr>
          <w:p>
            <w:pPr>
              <w:jc w:val="right"/>
              <w:ind w:right="408"/>
              <w:spacing w:after="0"/>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2,341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2,244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-24765</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-7620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-7620</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-24765</wp:posOffset>
            </wp:positionV>
            <wp:extent cx="768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-7620</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-7620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80" w:hanging="272"/>
        <w:spacing w:after="0" w:line="258" w:lineRule="auto"/>
        <w:tabs>
          <w:tab w:leader="none" w:pos="2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Reimbursable expenses and other, as well as Corporate revenue, are excluded from segment revenue, but included in total revenue on the condensed consolidated statements of comprehensive income. Amounts included in Corporate revenue may include eliminations, adjustments to reserves and impacts from hedged revenue transactions.</w:t>
      </w:r>
    </w:p>
    <w:p>
      <w:pPr>
        <w:spacing w:after="0" w:line="11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Interest and other income is included in segment revenue and total revenue, however it has been presented separately in the above tables because it does not arise directly from contracts with customers. The significant components of interest and other income are as follows for the periods presented above: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Book-of-business settlements</w:t>
            </w:r>
          </w:p>
        </w:tc>
        <w:tc>
          <w:tcPr>
            <w:tcW w:w="18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38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CFF0FC"/>
            </w:tcBorders>
            <w:gridSpan w:val="3"/>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900" w:type="dxa"/>
            <w:vAlign w:val="bottom"/>
            <w:tcBorders>
              <w:bottom w:val="single" w:sz="8" w:color="CFF0FC"/>
            </w:tcBorders>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86"/>
        </w:trPr>
        <w:tc>
          <w:tcPr>
            <w:tcW w:w="34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Interest income</w:t>
            </w: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57"/>
        </w:trPr>
        <w:tc>
          <w:tcPr>
            <w:tcW w:w="344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64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6"/>
        </w:trPr>
        <w:tc>
          <w:tcPr>
            <w:tcW w:w="34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interest and other income</w:t>
            </w: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4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Borders>
              <w:top w:val="single" w:sz="8" w:color="CFF0FC"/>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2762250</wp:posOffset>
            </wp:positionH>
            <wp:positionV relativeFrom="paragraph">
              <wp:posOffset>-161925</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3413125</wp:posOffset>
            </wp:positionH>
            <wp:positionV relativeFrom="paragraph">
              <wp:posOffset>-161925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4055110</wp:posOffset>
            </wp:positionH>
            <wp:positionV relativeFrom="paragraph">
              <wp:posOffset>-161925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60"/>
        <w:spacing w:after="0" w:line="265" w:lineRule="auto"/>
        <w:rPr>
          <w:sz w:val="20"/>
          <w:szCs w:val="20"/>
          <w:color w:val="auto"/>
        </w:rPr>
      </w:pPr>
      <w:r>
        <w:rPr>
          <w:rFonts w:ascii="Times New Roman" w:cs="Times New Roman" w:eastAsia="Times New Roman" w:hAnsi="Times New Roman"/>
          <w:sz w:val="18"/>
          <w:szCs w:val="18"/>
          <w:color w:val="auto"/>
        </w:rPr>
        <w:t>As a result of the cessation of the co-broking agreement, (see Note 3 — Acquisitions and Divestitures) interest income associated with fiduciary funds is now allocated more directly to the Risk and Broking segment beginning in the third quarter of 2023. These amounts were previously allocated to the Corporate segment following the disposal of Willis Re.</w:t>
      </w:r>
    </w:p>
    <w:p>
      <w:pPr>
        <w:spacing w:after="0" w:line="12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The following table presents revenue from service offerings by the geography where our work was performed for the three months ended March 31, 2024 and 2023. The reconciliation to total revenue on our condensed consolidated statements of comprehensive income and to segment revenue is shown in the table above.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4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HWC</w:t>
            </w:r>
          </w:p>
        </w:tc>
        <w:tc>
          <w:tcPr>
            <w:tcW w:w="7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3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16"/>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840</w:t>
            </w:r>
          </w:p>
        </w:tc>
        <w:tc>
          <w:tcPr>
            <w:tcW w:w="30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823</w:t>
            </w:r>
          </w:p>
        </w:tc>
        <w:tc>
          <w:tcPr>
            <w:tcW w:w="30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306</w:t>
            </w:r>
          </w:p>
        </w:tc>
        <w:tc>
          <w:tcPr>
            <w:tcW w:w="400" w:type="dxa"/>
            <w:vAlign w:val="bottom"/>
            <w:tcBorders>
              <w:bottom w:val="single" w:sz="8" w:color="CFF0FC"/>
            </w:tcBorders>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291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CFF0FC"/>
            </w:tcBorders>
            <w:gridSpan w:val="2"/>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1,146</w:t>
            </w:r>
          </w:p>
        </w:tc>
        <w:tc>
          <w:tcPr>
            <w:tcW w:w="280" w:type="dxa"/>
            <w:vAlign w:val="bottom"/>
            <w:tcBorders>
              <w:bottom w:val="single" w:sz="8" w:color="CFF0FC"/>
            </w:tcBorders>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1,115</w:t>
            </w:r>
          </w:p>
        </w:tc>
        <w:tc>
          <w:tcPr>
            <w:tcW w:w="0" w:type="dxa"/>
            <w:vAlign w:val="bottom"/>
          </w:tcPr>
          <w:p>
            <w:pPr>
              <w:spacing w:after="0"/>
              <w:rPr>
                <w:sz w:val="1"/>
                <w:szCs w:val="1"/>
                <w:color w:val="auto"/>
              </w:rPr>
            </w:pPr>
          </w:p>
        </w:tc>
      </w:tr>
      <w:tr>
        <w:trPr>
          <w:trHeight w:val="186"/>
        </w:trPr>
        <w:tc>
          <w:tcPr>
            <w:tcW w:w="3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Europe</w:t>
            </w:r>
          </w:p>
        </w:tc>
        <w:tc>
          <w:tcPr>
            <w:tcW w:w="160" w:type="dxa"/>
            <w:vAlign w:val="bottom"/>
          </w:tcPr>
          <w:p>
            <w:pPr>
              <w:spacing w:after="0"/>
              <w:rPr>
                <w:sz w:val="16"/>
                <w:szCs w:val="16"/>
                <w:color w:val="auto"/>
              </w:rPr>
            </w:pPr>
          </w:p>
        </w:tc>
        <w:tc>
          <w:tcPr>
            <w:tcW w:w="74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372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346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471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884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824</w:t>
            </w:r>
          </w:p>
        </w:tc>
        <w:tc>
          <w:tcPr>
            <w:tcW w:w="0" w:type="dxa"/>
            <w:vAlign w:val="bottom"/>
          </w:tcPr>
          <w:p>
            <w:pPr>
              <w:spacing w:after="0"/>
              <w:rPr>
                <w:sz w:val="1"/>
                <w:szCs w:val="1"/>
                <w:color w:val="auto"/>
              </w:rPr>
            </w:pPr>
          </w:p>
        </w:tc>
      </w:tr>
      <w:tr>
        <w:trPr>
          <w:trHeight w:val="57"/>
        </w:trPr>
        <w:tc>
          <w:tcPr>
            <w:tcW w:w="34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4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4"/>
        </w:trPr>
        <w:tc>
          <w:tcPr>
            <w:tcW w:w="3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60" w:type="dxa"/>
            <w:vAlign w:val="bottom"/>
            <w:tcBorders>
              <w:bottom w:val="single" w:sz="8" w:color="CFF0FC"/>
            </w:tcBorders>
            <w:shd w:val="clear" w:color="auto" w:fill="CFF0FC"/>
          </w:tcPr>
          <w:p>
            <w:pPr>
              <w:spacing w:after="0"/>
              <w:rPr>
                <w:sz w:val="19"/>
                <w:szCs w:val="19"/>
                <w:color w:val="auto"/>
              </w:rPr>
            </w:pPr>
          </w:p>
        </w:tc>
        <w:tc>
          <w:tcPr>
            <w:tcW w:w="740" w:type="dxa"/>
            <w:vAlign w:val="bottom"/>
            <w:tcBorders>
              <w:bottom w:val="single" w:sz="8" w:color="CFF0FC"/>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72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112</w:t>
            </w:r>
          </w:p>
        </w:tc>
        <w:tc>
          <w:tcPr>
            <w:tcW w:w="1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123</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245</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236</w:t>
            </w:r>
          </w:p>
        </w:tc>
        <w:tc>
          <w:tcPr>
            <w:tcW w:w="0" w:type="dxa"/>
            <w:vAlign w:val="bottom"/>
          </w:tcPr>
          <w:p>
            <w:pPr>
              <w:spacing w:after="0"/>
              <w:rPr>
                <w:sz w:val="1"/>
                <w:szCs w:val="1"/>
                <w:color w:val="auto"/>
              </w:rPr>
            </w:pPr>
          </w:p>
        </w:tc>
      </w:tr>
      <w:tr>
        <w:trPr>
          <w:trHeight w:val="196"/>
        </w:trPr>
        <w:tc>
          <w:tcPr>
            <w:tcW w:w="34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color w:val="auto"/>
              </w:rPr>
              <w:t>Total revenue by geography</w:t>
            </w: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1,327</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1,281</w:t>
            </w:r>
          </w:p>
        </w:tc>
        <w:tc>
          <w:tcPr>
            <w:tcW w:w="120" w:type="dxa"/>
            <w:vAlign w:val="bottom"/>
            <w:tcBorders>
              <w:top w:val="single" w:sz="8" w:color="CFF0FC"/>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947</w:t>
            </w:r>
          </w:p>
        </w:tc>
        <w:tc>
          <w:tcPr>
            <w:tcW w:w="1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885</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2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2,275</w:t>
            </w:r>
          </w:p>
        </w:tc>
        <w:tc>
          <w:tcPr>
            <w:tcW w:w="120" w:type="dxa"/>
            <w:vAlign w:val="bottom"/>
            <w:tcBorders>
              <w:top w:val="single" w:sz="8" w:color="CFF0FC"/>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2,175</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-161925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3395980</wp:posOffset>
            </wp:positionH>
            <wp:positionV relativeFrom="paragraph">
              <wp:posOffset>-161925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4046220</wp:posOffset>
            </wp:positionH>
            <wp:positionV relativeFrom="paragraph">
              <wp:posOffset>-161925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4671695</wp:posOffset>
            </wp:positionH>
            <wp:positionV relativeFrom="paragraph">
              <wp:posOffset>-161925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5288280</wp:posOffset>
            </wp:positionH>
            <wp:positionV relativeFrom="paragraph">
              <wp:posOffset>-161925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-161925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-161925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73"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8"/>
          <w:szCs w:val="18"/>
          <w:color w:val="auto"/>
        </w:rPr>
        <w:t>The Company reports accounts receivable, net on the condensed consolidated balance sheets, which includes billed and unbilled receivables and current contract assets. In addition to accounts receivable, net, the Company had the following non-current contract assets and deferred revenue balances at March 31, 2024 and December 31, 2023:</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6"/>
                <w:szCs w:val="16"/>
                <w:color w:val="auto"/>
              </w:rPr>
            </w:pPr>
          </w:p>
        </w:tc>
        <w:tc>
          <w:tcPr>
            <w:tcW w:w="14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Billed receivables, net of allowance for doubtful accounts of $39 million and $34 million</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1,511</w:t>
            </w:r>
          </w:p>
        </w:tc>
        <w:tc>
          <w:tcPr>
            <w:tcW w:w="680" w:type="dxa"/>
            <w:vAlign w:val="bottom"/>
            <w:gridSpan w:val="2"/>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1,581</w:t>
            </w:r>
          </w:p>
        </w:tc>
      </w:tr>
      <w:tr>
        <w:trPr>
          <w:trHeight w:val="238"/>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Unbilled receivables</w:t>
            </w:r>
          </w:p>
        </w:tc>
        <w:tc>
          <w:tcPr>
            <w:tcW w:w="160" w:type="dxa"/>
            <w:vAlign w:val="bottom"/>
          </w:tcPr>
          <w:p>
            <w:pPr>
              <w:spacing w:after="0"/>
              <w:rPr>
                <w:sz w:val="20"/>
                <w:szCs w:val="20"/>
                <w:color w:val="auto"/>
              </w:rPr>
            </w:pP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537</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491</w:t>
            </w:r>
          </w:p>
        </w:tc>
      </w:tr>
      <w:tr>
        <w:trPr>
          <w:trHeight w:val="24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contract assets</w:t>
            </w:r>
          </w:p>
        </w:tc>
        <w:tc>
          <w:tcPr>
            <w:tcW w:w="16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382</w:t>
            </w:r>
          </w:p>
        </w:tc>
        <w:tc>
          <w:tcPr>
            <w:tcW w:w="18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500</w:t>
            </w:r>
          </w:p>
        </w:tc>
      </w:tr>
      <w:tr>
        <w:trPr>
          <w:trHeight w:val="236"/>
        </w:trPr>
        <w:tc>
          <w:tcPr>
            <w:tcW w:w="8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2,430</w:t>
            </w:r>
          </w:p>
        </w:tc>
        <w:tc>
          <w:tcPr>
            <w:tcW w:w="68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2,572</w:t>
            </w:r>
          </w:p>
        </w:tc>
      </w:tr>
      <w:tr>
        <w:trPr>
          <w:trHeight w:val="20"/>
        </w:trPr>
        <w:tc>
          <w:tcPr>
            <w:tcW w:w="8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223"/>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Non-current accounts receivable, net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w:t>
            </w:r>
          </w:p>
        </w:tc>
      </w:tr>
      <w:tr>
        <w:trPr>
          <w:trHeight w:val="236"/>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contract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925</w:t>
            </w:r>
          </w:p>
        </w:tc>
        <w:tc>
          <w:tcPr>
            <w:tcW w:w="180" w:type="dxa"/>
            <w:vAlign w:val="bottom"/>
          </w:tcPr>
          <w:p>
            <w:pPr>
              <w:spacing w:after="0"/>
              <w:rPr>
                <w:sz w:val="20"/>
                <w:szCs w:val="20"/>
                <w:color w:val="auto"/>
              </w:rPr>
            </w:pPr>
          </w:p>
        </w:tc>
        <w:tc>
          <w:tcPr>
            <w:tcW w:w="5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909</w:t>
            </w:r>
          </w:p>
        </w:tc>
      </w:tr>
      <w:tr>
        <w:trPr>
          <w:trHeight w:val="236"/>
        </w:trPr>
        <w:tc>
          <w:tcPr>
            <w:tcW w:w="81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757</w:t>
            </w:r>
          </w:p>
        </w:tc>
        <w:tc>
          <w:tcPr>
            <w:tcW w:w="18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jc w:val="right"/>
              <w:ind w:right="31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6118860</wp:posOffset>
            </wp:positionH>
            <wp:positionV relativeFrom="paragraph">
              <wp:posOffset>-675640</wp:posOffset>
            </wp:positionV>
            <wp:extent cx="11112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-333375</wp:posOffset>
            </wp:positionV>
            <wp:extent cx="11112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6118860</wp:posOffset>
            </wp:positionH>
            <wp:positionV relativeFrom="paragraph">
              <wp:posOffset>-7620</wp:posOffset>
            </wp:positionV>
            <wp:extent cx="11112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204"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revenue of approximately $295 million was recognized that was reflected as deferred revenue at December 31, 2023.</w:t>
      </w:r>
    </w:p>
    <w:p>
      <w:pPr>
        <w:spacing w:after="0" w:line="10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the Company recognized revenue of approximately $9 million related to performance obligations satisfied in a prior period.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7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The Company has contracts for which performance obligations have not been satisfied as of March 31, 2024 or have been partially satisfied as of this date. The following table shows the expected timing for the satisfaction of the remaining performance obligations. This table does not include contract renewals or variable consideration, which was excluded from the transaction prices in accordance with the guidance on constraining estimates of variable consideration.</w:t>
      </w:r>
    </w:p>
    <w:p>
      <w:pPr>
        <w:spacing w:after="0" w:line="126" w:lineRule="exact"/>
        <w:rPr>
          <w:sz w:val="20"/>
          <w:szCs w:val="20"/>
          <w:color w:val="auto"/>
        </w:rPr>
      </w:pPr>
    </w:p>
    <w:p>
      <w:pPr>
        <w:ind w:right="260"/>
        <w:spacing w:after="0" w:line="283" w:lineRule="auto"/>
        <w:rPr>
          <w:sz w:val="20"/>
          <w:szCs w:val="20"/>
          <w:color w:val="auto"/>
        </w:rPr>
      </w:pPr>
      <w:r>
        <w:rPr>
          <w:rFonts w:ascii="Times New Roman" w:cs="Times New Roman" w:eastAsia="Times New Roman" w:hAnsi="Times New Roman"/>
          <w:sz w:val="18"/>
          <w:szCs w:val="18"/>
          <w:color w:val="auto"/>
        </w:rPr>
        <w:t xml:space="preserve">In addition, in accordance with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the Company has elected not to disclose the remaining performance obligations when one or both of the following circumstances apply:</w:t>
      </w:r>
    </w:p>
    <w:p>
      <w:pPr>
        <w:spacing w:after="0" w:line="53" w:lineRule="exact"/>
        <w:rPr>
          <w:sz w:val="20"/>
          <w:szCs w:val="20"/>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which are part of a contract that has an original expected duration of less than one year,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obligations satisfied in accordance with ASC 606-10-55-18 (‘right to invoice’).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1160" w:type="dxa"/>
            <w:vAlign w:val="bottom"/>
            <w:gridSpan w:val="2"/>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Remainder of</w:t>
            </w: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vMerge w:val="restart"/>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2026 onward</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expected to be recognized on contracts as of March 31, 2024</w:t>
            </w:r>
          </w:p>
        </w:tc>
        <w:tc>
          <w:tcPr>
            <w:tcW w:w="2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403</w:t>
            </w: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511</w:t>
            </w:r>
          </w:p>
        </w:tc>
        <w:tc>
          <w:tcPr>
            <w:tcW w:w="3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1,310</w:t>
            </w: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Since most of the Company’s contracts are cancellable with less than one year’s notice and have no substantive penalty for cancellation, the majority of the Company’s remaining performance obligations as of March 31, 2024 have been excluded from the table above.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Segment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WTW has two reportable operating segments or business areas:</w:t>
      </w:r>
    </w:p>
    <w:p>
      <w:pPr>
        <w:spacing w:after="0" w:line="117"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Wealth &amp; Career (‘HWC’);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&amp; Broking (‘R&amp;B’).</w:t>
      </w:r>
    </w:p>
    <w:p>
      <w:pPr>
        <w:spacing w:after="0" w:line="17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WTW’s chief operating decision maker is its chief executive officer. We determined that the operational data used by the chief operating decision maker is at the segment level. Management bases strategic goals and decisions on these segments and the data presented below is used to assess the adequacy of strategic decisions and the methods of achieving these strategies and related financial results. Management evaluates the performance of its segments and allocates resources to them based on net operating income on a pre-tax basis.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6" w:right="339" w:bottom="1440" w:gutter="0" w:footer="0" w:header="0"/>
        </w:sectPr>
      </w:pPr>
    </w:p>
    <w:bookmarkStart w:id="15" w:name="page16"/>
    <w:bookmarkEnd w:id="15"/>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of its revenue. Revenue is typically higher during the Company’s first and fourth quarters due primarily to the timing of broking-related activities.</w:t>
      </w:r>
    </w:p>
    <w:p>
      <w:pPr>
        <w:spacing w:after="0" w:line="109"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The following table presents segment revenue and segment operating income for our reportable segments for the three months ended March 31,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HWC</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R&amp;B</w:t>
            </w:r>
          </w:p>
        </w:tc>
        <w:tc>
          <w:tcPr>
            <w:tcW w:w="9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tcBorders>
              <w:bottom w:val="single" w:sz="8" w:color="auto"/>
            </w:tcBorders>
          </w:tcPr>
          <w:p>
            <w:pPr>
              <w:spacing w:after="0"/>
              <w:rPr>
                <w:sz w:val="14"/>
                <w:szCs w:val="14"/>
                <w:color w:val="auto"/>
              </w:rPr>
            </w:pPr>
          </w:p>
        </w:tc>
      </w:tr>
      <w:tr>
        <w:trPr>
          <w:trHeight w:val="169"/>
        </w:trPr>
        <w:tc>
          <w:tcPr>
            <w:tcW w:w="37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72"/>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revenue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1,336</w:t>
            </w:r>
          </w:p>
        </w:tc>
        <w:tc>
          <w:tcPr>
            <w:tcW w:w="3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1,287</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978</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904</w:t>
            </w:r>
          </w:p>
        </w:tc>
        <w:tc>
          <w:tcPr>
            <w:tcW w:w="36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2,314</w:t>
            </w:r>
          </w:p>
        </w:tc>
        <w:tc>
          <w:tcPr>
            <w:tcW w:w="3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2,191</w:t>
            </w:r>
          </w:p>
        </w:tc>
      </w:tr>
      <w:tr>
        <w:trPr>
          <w:trHeight w:val="227"/>
        </w:trPr>
        <w:tc>
          <w:tcPr>
            <w:tcW w:w="378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r>
      <w:tr>
        <w:trPr>
          <w:trHeight w:val="278"/>
        </w:trPr>
        <w:tc>
          <w:tcPr>
            <w:tcW w:w="3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Segment operating income</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336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309</w:t>
            </w:r>
          </w:p>
        </w:tc>
        <w:tc>
          <w:tcPr>
            <w:tcW w:w="140" w:type="dxa"/>
            <w:vAlign w:val="bottom"/>
            <w:tcBorders>
              <w:bottom w:val="single" w:sz="8" w:color="CFF0FC"/>
            </w:tcBorders>
            <w:shd w:val="clear" w:color="auto" w:fill="CFF0FC"/>
          </w:tcPr>
          <w:p>
            <w:pPr>
              <w:spacing w:after="0"/>
              <w:rPr>
                <w:sz w:val="24"/>
                <w:szCs w:val="24"/>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203</w:t>
            </w:r>
          </w:p>
        </w:tc>
        <w:tc>
          <w:tcPr>
            <w:tcW w:w="1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180</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539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3138805</wp:posOffset>
            </wp:positionH>
            <wp:positionV relativeFrom="paragraph">
              <wp:posOffset>-358775</wp:posOffset>
            </wp:positionV>
            <wp:extent cx="939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-341630</wp:posOffset>
            </wp:positionV>
            <wp:extent cx="939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-358775</wp:posOffset>
            </wp:positionV>
            <wp:extent cx="857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-341630</wp:posOffset>
            </wp:positionV>
            <wp:extent cx="8572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-358775</wp:posOffset>
            </wp:positionV>
            <wp:extent cx="857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-341630</wp:posOffset>
            </wp:positionV>
            <wp:extent cx="8572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-358775</wp:posOffset>
            </wp:positionV>
            <wp:extent cx="857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-341630</wp:posOffset>
            </wp:positionV>
            <wp:extent cx="857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-358775</wp:posOffset>
            </wp:positionV>
            <wp:extent cx="857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-341630</wp:posOffset>
            </wp:positionV>
            <wp:extent cx="8572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-24765</wp:posOffset>
            </wp:positionV>
            <wp:extent cx="939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3138805</wp:posOffset>
            </wp:positionH>
            <wp:positionV relativeFrom="paragraph">
              <wp:posOffset>-7620</wp:posOffset>
            </wp:positionV>
            <wp:extent cx="939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857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8572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-24765</wp:posOffset>
            </wp:positionV>
            <wp:extent cx="8572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-7620</wp:posOffset>
            </wp:positionV>
            <wp:extent cx="8572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-24765</wp:posOffset>
            </wp:positionV>
            <wp:extent cx="857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-7620</wp:posOffset>
            </wp:positionV>
            <wp:extent cx="857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-24765</wp:posOffset>
            </wp:positionV>
            <wp:extent cx="857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6341110</wp:posOffset>
            </wp:positionH>
            <wp:positionV relativeFrom="paragraph">
              <wp:posOffset>-7620</wp:posOffset>
            </wp:positionV>
            <wp:extent cx="8572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10"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presents reconciliations of the information reported by segment to the Company’s condensed consolidated statements of comprehensive income amounts reported for the three months ended March 31, 2024 and 2023.</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100" w:type="dxa"/>
            <w:vAlign w:val="bottom"/>
          </w:tcPr>
          <w:p>
            <w:pPr>
              <w:spacing w:after="0"/>
              <w:rPr>
                <w:sz w:val="13"/>
                <w:szCs w:val="13"/>
                <w:color w:val="auto"/>
              </w:rPr>
            </w:pPr>
          </w:p>
        </w:tc>
      </w:t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100" w:type="dxa"/>
            <w:vAlign w:val="bottom"/>
            <w:tcBorders>
              <w:bottom w:val="single" w:sz="8" w:color="auto"/>
            </w:tcBorders>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revenue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2,314</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2,191</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Reimbursable expenses and other</w:t>
            </w:r>
          </w:p>
        </w:tc>
        <w:tc>
          <w:tcPr>
            <w:tcW w:w="10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27</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53</w:t>
            </w: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2,341</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2,244</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77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segment operating income</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539</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489</w:t>
            </w: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Restructuring costs </w:t>
            </w:r>
            <w:r>
              <w:rPr>
                <w:rFonts w:ascii="Times New Roman" w:cs="Times New Roman" w:eastAsia="Times New Roman" w:hAnsi="Times New Roman"/>
                <w:sz w:val="24"/>
                <w:szCs w:val="24"/>
                <w:color w:val="auto"/>
                <w:vertAlign w:val="superscript"/>
              </w:rPr>
              <w:t>(i)</w:t>
            </w:r>
          </w:p>
        </w:tc>
        <w:tc>
          <w:tcPr>
            <w:tcW w:w="10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(18 )</w:t>
            </w: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7700" w:type="dxa"/>
            <w:vAlign w:val="bottom"/>
            <w:shd w:val="clear" w:color="auto" w:fill="CFF0FC"/>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Transaction and transformation </w:t>
            </w:r>
            <w:r>
              <w:rPr>
                <w:rFonts w:ascii="Times New Roman" w:cs="Times New Roman" w:eastAsia="Times New Roman" w:hAnsi="Times New Roman"/>
                <w:sz w:val="24"/>
                <w:szCs w:val="24"/>
                <w:color w:val="auto"/>
                <w:vertAlign w:val="superscript"/>
              </w:rPr>
              <w:t>(ii)</w:t>
            </w:r>
          </w:p>
        </w:tc>
        <w:tc>
          <w:tcPr>
            <w:tcW w:w="10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8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770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Unallocated, net </w:t>
            </w:r>
            <w:r>
              <w:rPr>
                <w:rFonts w:ascii="Times New Roman" w:cs="Times New Roman" w:eastAsia="Times New Roman" w:hAnsi="Times New Roman"/>
                <w:sz w:val="24"/>
                <w:szCs w:val="24"/>
                <w:color w:val="auto"/>
                <w:vertAlign w:val="superscript"/>
              </w:rPr>
              <w:t>(iii)</w:t>
            </w:r>
          </w:p>
        </w:tc>
        <w:tc>
          <w:tcPr>
            <w:tcW w:w="10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(56 )</w:t>
            </w:r>
          </w:p>
        </w:tc>
        <w:tc>
          <w:tcPr>
            <w:tcW w:w="18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(71 )</w:t>
            </w:r>
          </w:p>
        </w:tc>
      </w:tr>
      <w:tr>
        <w:trPr>
          <w:trHeight w:val="236"/>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100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1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285</w:t>
            </w:r>
          </w:p>
        </w:tc>
      </w:tr>
      <w:tr>
        <w:trPr>
          <w:trHeight w:val="238"/>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r>
      <w:tr>
        <w:trPr>
          <w:trHeight w:val="24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net</w:t>
            </w:r>
          </w:p>
        </w:tc>
        <w:tc>
          <w:tcPr>
            <w:tcW w:w="1000" w:type="dxa"/>
            <w:vAlign w:val="bottom"/>
            <w:tcBorders>
              <w:bottom w:val="single" w:sz="8" w:color="auto"/>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25</w:t>
            </w:r>
          </w:p>
        </w:tc>
      </w:tr>
      <w:tr>
        <w:trPr>
          <w:trHeight w:val="236"/>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000" w:type="dxa"/>
            <w:vAlign w:val="bottom"/>
          </w:tcPr>
          <w:p>
            <w:pPr>
              <w:jc w:val="right"/>
              <w:ind w:right="7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242</w:t>
            </w:r>
          </w:p>
        </w:tc>
        <w:tc>
          <w:tcPr>
            <w:tcW w:w="74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256</w:t>
            </w:r>
          </w:p>
        </w:tc>
      </w:tr>
      <w:tr>
        <w:trPr>
          <w:trHeight w:val="20"/>
        </w:trPr>
        <w:tc>
          <w:tcPr>
            <w:tcW w:w="77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-1771650</wp:posOffset>
            </wp:positionV>
            <wp:extent cx="12001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-187960</wp:posOffset>
            </wp:positionV>
            <wp:extent cx="1200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6 — Restructuring Costs for the composition of costs for 2024 and 2023.</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2024 and 2023, in addition to legal fees and other transaction costs, includes primarily consulting fees related to the Transformation program (see Note 6 — Restructuring Costs).</w:t>
      </w:r>
    </w:p>
    <w:p>
      <w:pPr>
        <w:spacing w:after="0" w:line="25" w:lineRule="exact"/>
        <w:rPr>
          <w:rFonts w:ascii="Times New Roman" w:cs="Times New Roman" w:eastAsia="Times New Roman" w:hAnsi="Times New Roman"/>
          <w:sz w:val="14"/>
          <w:szCs w:val="14"/>
          <w:color w:val="auto"/>
        </w:rPr>
      </w:pPr>
    </w:p>
    <w:p>
      <w:pPr>
        <w:ind w:left="280" w:right="100" w:hanging="272"/>
        <w:spacing w:after="0" w:line="242" w:lineRule="auto"/>
        <w:tabs>
          <w:tab w:leader="none" w:pos="2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certain costs, primarily related to corporate functions which are not directly related to the segments, and certain differences between budgeted expenses determined at the beginning of the year and actual expenses that we report for U.S. GAAP purposes.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currently provide asset information by reportable segment as it does not routinely evaluate the total asset position by segment.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Restructuring Costs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will be in the following four areas:</w:t>
      </w:r>
    </w:p>
    <w:p>
      <w:pPr>
        <w:spacing w:after="0" w:line="74" w:lineRule="exact"/>
        <w:rPr>
          <w:sz w:val="20"/>
          <w:szCs w:val="20"/>
          <w:color w:val="auto"/>
        </w:rPr>
      </w:pPr>
    </w:p>
    <w:p>
      <w:pPr>
        <w:ind w:left="760" w:right="320" w:hanging="378"/>
        <w:spacing w:after="0" w:line="281"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the new ways of working (hybrid work) and includes breakage fees and the impairment of right-of-use (‘ROU’)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6" w:name="page17"/>
    <w:bookmarkEnd w:id="16"/>
    <w:p>
      <w:pPr>
        <w:ind w:left="760" w:right="220" w:hanging="378"/>
        <w:spacing w:after="0" w:line="281"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xml:space="preserve"> and are included as restructuring costs in the condensed consolidated statements of comprehensive income. Other costs incurred under the Transformation program are included in transaction and transformation and were $119 million and $45 million for the three months ended March 31, 2024 and 2023, respectively. An analysis of total restructuring costs incurred under the Transformation program by category and by segment and corporate functions, from commencement to March 31, 2024,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86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HWC</w:t>
            </w:r>
          </w:p>
        </w:tc>
        <w:tc>
          <w:tcPr>
            <w:tcW w:w="4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R&amp;B</w:t>
            </w:r>
          </w:p>
        </w:tc>
        <w:tc>
          <w:tcPr>
            <w:tcW w:w="4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79</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45"/>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Real estate rationalization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162</w:t>
            </w:r>
          </w:p>
        </w:tc>
      </w:tr>
      <w:tr>
        <w:trPr>
          <w:trHeight w:val="247"/>
        </w:trPr>
        <w:tc>
          <w:tcPr>
            <w:tcW w:w="58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Technology modernization</w:t>
            </w: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w:t>
            </w:r>
          </w:p>
        </w:tc>
      </w:tr>
      <w:tr>
        <w:trPr>
          <w:trHeight w:val="238"/>
        </w:trPr>
        <w:tc>
          <w:tcPr>
            <w:tcW w:w="5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Process optimization</w:t>
            </w:r>
          </w:p>
        </w:tc>
        <w:tc>
          <w:tcPr>
            <w:tcW w:w="86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8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r>
      <w:tr>
        <w:trPr>
          <w:trHeight w:val="236"/>
        </w:trPr>
        <w:tc>
          <w:tcPr>
            <w:tcW w:w="58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98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195</w:t>
            </w:r>
          </w:p>
        </w:tc>
        <w:tc>
          <w:tcPr>
            <w:tcW w:w="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211</w:t>
            </w:r>
          </w:p>
        </w:tc>
      </w:tr>
      <w:tr>
        <w:trPr>
          <w:trHeight w:val="20"/>
        </w:trPr>
        <w:tc>
          <w:tcPr>
            <w:tcW w:w="5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4509135</wp:posOffset>
            </wp:positionH>
            <wp:positionV relativeFrom="paragraph">
              <wp:posOffset>-187960</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-187960</wp:posOffset>
            </wp:positionV>
            <wp:extent cx="8572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6264275</wp:posOffset>
            </wp:positionH>
            <wp:positionV relativeFrom="paragraph">
              <wp:posOffset>-187960</wp:posOffset>
            </wp:positionV>
            <wp:extent cx="8572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rollforward of the liability associated with cash-based charges related to restructuring costs associated with the Transformation program is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2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Real estate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00" w:type="dxa"/>
            <w:vAlign w:val="bottom"/>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Process</w:t>
            </w:r>
          </w:p>
        </w:tc>
        <w:tc>
          <w:tcPr>
            <w:tcW w:w="120" w:type="dxa"/>
            <w:vAlign w:val="bottom"/>
          </w:tcPr>
          <w:p>
            <w:pPr>
              <w:spacing w:after="0"/>
              <w:rPr>
                <w:sz w:val="13"/>
                <w:szCs w:val="13"/>
                <w:color w:val="auto"/>
              </w:rPr>
            </w:pPr>
          </w:p>
        </w:tc>
        <w:tc>
          <w:tcPr>
            <w:tcW w:w="86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vMerge w:val="restart"/>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1160" w:type="dxa"/>
            <w:vAlign w:val="bottom"/>
            <w:tcBorders>
              <w:bottom w:val="single" w:sz="8" w:color="auto"/>
            </w:tcBorders>
            <w:gridSpan w:val="2"/>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rationalization</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modernization</w:t>
            </w:r>
          </w:p>
        </w:tc>
        <w:tc>
          <w:tcPr>
            <w:tcW w:w="100" w:type="dxa"/>
            <w:vAlign w:val="bottom"/>
          </w:tcPr>
          <w:p>
            <w:pPr>
              <w:spacing w:after="0"/>
              <w:rPr>
                <w:sz w:val="16"/>
                <w:szCs w:val="16"/>
                <w:color w:val="auto"/>
              </w:rPr>
            </w:pPr>
          </w:p>
        </w:tc>
        <w:tc>
          <w:tcPr>
            <w:tcW w:w="1080" w:type="dxa"/>
            <w:vAlign w:val="bottom"/>
            <w:tcBorders>
              <w:bottom w:val="single" w:sz="8" w:color="auto"/>
            </w:tcBorders>
            <w:gridSpan w:val="2"/>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optimization</w:t>
            </w:r>
          </w:p>
        </w:tc>
        <w:tc>
          <w:tcPr>
            <w:tcW w:w="120" w:type="dxa"/>
            <w:vAlign w:val="bottom"/>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October 1, 2021</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0"/>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40" w:type="dxa"/>
            <w:vAlign w:val="bottom"/>
            <w:shd w:val="clear" w:color="auto" w:fill="CFF0FC"/>
          </w:tcPr>
          <w:p>
            <w:pPr>
              <w:spacing w:after="0"/>
              <w:rPr>
                <w:sz w:val="20"/>
                <w:szCs w:val="20"/>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43"/>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36"/>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40" w:type="dxa"/>
            <w:vAlign w:val="bottom"/>
          </w:tcPr>
          <w:p>
            <w:pPr>
              <w:spacing w:after="0"/>
              <w:rPr>
                <w:sz w:val="20"/>
                <w:szCs w:val="20"/>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Charges incurred</w:t>
            </w:r>
          </w:p>
        </w:tc>
        <w:tc>
          <w:tcPr>
            <w:tcW w:w="140" w:type="dxa"/>
            <w:vAlign w:val="bottom"/>
            <w:shd w:val="clear" w:color="auto" w:fill="CFF0FC"/>
          </w:tcPr>
          <w:p>
            <w:pPr>
              <w:spacing w:after="0"/>
              <w:rPr>
                <w:sz w:val="21"/>
                <w:szCs w:val="21"/>
                <w:color w:val="auto"/>
              </w:rPr>
            </w:pP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7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848"/>
        </w:trPr>
        <w:tc>
          <w:tcPr>
            <w:tcW w:w="480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-2233930</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-2233930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-2233930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-2233930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-1292225</wp:posOffset>
            </wp:positionV>
            <wp:extent cx="7683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-1292225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-1292225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-1292225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-658495</wp:posOffset>
            </wp:positionV>
            <wp:extent cx="768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3789680</wp:posOffset>
            </wp:positionH>
            <wp:positionV relativeFrom="paragraph">
              <wp:posOffset>-641350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-658495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-641350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-658495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-641350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-658495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6384290</wp:posOffset>
            </wp:positionH>
            <wp:positionV relativeFrom="paragraph">
              <wp:posOffset>-641350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7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Note 7 — Income Taxes</w:t>
      </w:r>
    </w:p>
    <w:p>
      <w:pPr>
        <w:spacing w:after="0" w:line="175"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17"/>
          <w:szCs w:val="17"/>
          <w:color w:val="auto"/>
        </w:rPr>
        <w:t>Provision for income taxes for the three months ended March 31, 2024 was $48 million compared to $50 million for the three months ended March 31, 2023. The effective tax rate was 19.9% for the three months ended March 31, 2024 and 19.5% for the three months ended March 31, 2023. These effective tax rates are calculated using extended values from our condensed consolidated statements of comprehensive income and are therefore more precise tax rates than can be calculated from rounded values. The current-year quarter’s effective tax rate is higher due to the distribution of geographical income.</w:t>
      </w:r>
    </w:p>
    <w:p>
      <w:pPr>
        <w:spacing w:after="0" w:line="113"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7"/>
          <w:szCs w:val="17"/>
          <w:color w:val="auto"/>
        </w:rPr>
        <w:t>The Company recognizes deferred tax balances related to the undistributed earnings of subsidiaries when it expects that it will recover those undistributed earnings in a taxable manner, such as through receipt of dividends or sale of the investments. Historically, the Company has not provided taxes on cumulative earnings of its subsidiaries that have been reinvested indefinitely. As a result of its plans to restructure or distribute accumulated earnings of certain foreign operations, the Company has recorded an estimate of non-U.S. withholding and state income taxes. However, the Company asserts that the historical cumulative earnings of its other subsidiaries are reinvested indefinitely and therefore does not provide deferred tax liabilities on these amounts.</w:t>
      </w:r>
    </w:p>
    <w:p>
      <w:pPr>
        <w:spacing w:after="0" w:line="11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 xml:space="preserve">The Company records valuation allowances against net deferred tax assets based on whether it is more likely than not that the deferred tax assets will be realized. We have liabilities for uncertain tax positions under ASC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$52 million, excluding interest and penalties. The Company believes the outcomes that are reasonably possible within the next 12 months may result in a reduction in the liability for uncertain tax positions of approximately $1 million to $2 million, excluding interest and penalties.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Other Intangible Assets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goodwill are outlined below for the three months ended March 31, 2024.</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HWC</w:t>
            </w:r>
          </w:p>
        </w:tc>
        <w:tc>
          <w:tcPr>
            <w:tcW w:w="58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R&amp;B</w:t>
            </w:r>
          </w:p>
        </w:tc>
        <w:tc>
          <w:tcPr>
            <w:tcW w:w="5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6"/>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7,866</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2,821</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10,687</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December 31, 2023</w:t>
            </w: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7,736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2,459</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10,195</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 acquired</w:t>
            </w: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(27 )</w:t>
            </w:r>
          </w:p>
        </w:tc>
      </w:tr>
      <w:tr>
        <w:trPr>
          <w:trHeight w:val="240"/>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r>
      <w:tr>
        <w:trPr>
          <w:trHeight w:val="23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Goodwill, gross</w:t>
            </w:r>
          </w:p>
        </w:tc>
        <w:tc>
          <w:tcPr>
            <w:tcW w:w="88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7,876</w:t>
            </w: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2,802</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10,678</w:t>
            </w:r>
          </w:p>
        </w:tc>
      </w:tr>
      <w:tr>
        <w:trPr>
          <w:trHeight w:val="243"/>
        </w:trPr>
        <w:tc>
          <w:tcPr>
            <w:tcW w:w="6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impairment losses</w:t>
            </w:r>
          </w:p>
        </w:tc>
        <w:tc>
          <w:tcPr>
            <w:tcW w:w="8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1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(362 )</w:t>
            </w:r>
          </w:p>
        </w:tc>
        <w:tc>
          <w:tcPr>
            <w:tcW w:w="16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(492 )</w:t>
            </w:r>
          </w:p>
        </w:tc>
      </w:tr>
      <w:tr>
        <w:trPr>
          <w:trHeight w:val="23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net - March 31, 2024</w:t>
            </w:r>
          </w:p>
        </w:tc>
        <w:tc>
          <w:tcPr>
            <w:tcW w:w="880" w:type="dxa"/>
            <w:vAlign w:val="bottom"/>
          </w:tcPr>
          <w:p>
            <w:pPr>
              <w:jc w:val="right"/>
              <w:ind w:right="6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7,746</w:t>
            </w:r>
          </w:p>
        </w:tc>
        <w:tc>
          <w:tcPr>
            <w:tcW w:w="1020" w:type="dxa"/>
            <w:vAlign w:val="bottom"/>
            <w:gridSpan w:val="2"/>
          </w:tcPr>
          <w:p>
            <w:pPr>
              <w:jc w:val="right"/>
              <w:ind w:right="66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2,440</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10,186</w:t>
            </w:r>
          </w:p>
        </w:tc>
      </w:tr>
      <w:tr>
        <w:trPr>
          <w:trHeight w:val="20"/>
        </w:trPr>
        <w:tc>
          <w:tcPr>
            <w:tcW w:w="6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5125085</wp:posOffset>
            </wp:positionH>
            <wp:positionV relativeFrom="paragraph">
              <wp:posOffset>-1129665</wp:posOffset>
            </wp:positionV>
            <wp:extent cx="1111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-1129665</wp:posOffset>
            </wp:positionV>
            <wp:extent cx="10287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5125085</wp:posOffset>
            </wp:positionH>
            <wp:positionV relativeFrom="paragraph">
              <wp:posOffset>-187960</wp:posOffset>
            </wp:positionV>
            <wp:extent cx="11112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-187960</wp:posOffset>
            </wp:positionV>
            <wp:extent cx="1028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75"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following table reflects changes in the net carrying amounts of the components of finite-lived intangible assets for the three months ended March 31, 2024:</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Client</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Software</w:t>
            </w:r>
          </w:p>
        </w:tc>
        <w:tc>
          <w:tcPr>
            <w:tcW w:w="30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Trademark and</w:t>
            </w:r>
          </w:p>
        </w:tc>
        <w:tc>
          <w:tcPr>
            <w:tcW w:w="300" w:type="dxa"/>
            <w:vAlign w:val="bottom"/>
          </w:tcPr>
          <w:p>
            <w:pPr>
              <w:spacing w:after="0"/>
              <w:rPr>
                <w:sz w:val="13"/>
                <w:szCs w:val="13"/>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relationships</w:t>
            </w:r>
          </w:p>
        </w:tc>
        <w:tc>
          <w:tcPr>
            <w:tcW w:w="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trade name</w:t>
            </w:r>
          </w:p>
        </w:tc>
        <w:tc>
          <w:tcPr>
            <w:tcW w:w="30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4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3,807</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729</w:t>
            </w:r>
          </w:p>
        </w:tc>
        <w:tc>
          <w:tcPr>
            <w:tcW w:w="4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1,039</w:t>
            </w:r>
          </w:p>
        </w:tc>
        <w:tc>
          <w:tcPr>
            <w:tcW w:w="1040" w:type="dxa"/>
            <w:vAlign w:val="bottom"/>
            <w:gridSpan w:val="2"/>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5,638</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(726 )</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(40 )</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(3,622 )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 - December 31, 2023</w:t>
            </w:r>
          </w:p>
        </w:tc>
        <w:tc>
          <w:tcPr>
            <w:tcW w:w="120" w:type="dxa"/>
            <w:vAlign w:val="bottom"/>
          </w:tcPr>
          <w:p>
            <w:pPr>
              <w:spacing w:after="0"/>
              <w:rPr>
                <w:sz w:val="20"/>
                <w:szCs w:val="20"/>
                <w:color w:val="auto"/>
              </w:rPr>
            </w:pPr>
          </w:p>
        </w:tc>
        <w:tc>
          <w:tcPr>
            <w:tcW w:w="10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1,293</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697</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23</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2,016</w:t>
            </w: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w:t>
            </w: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(60 )</w:t>
            </w:r>
          </w:p>
        </w:tc>
        <w:tc>
          <w:tcPr>
            <w:tcW w:w="0" w:type="dxa"/>
            <w:vAlign w:val="bottom"/>
          </w:tcPr>
          <w:p>
            <w:pPr>
              <w:spacing w:after="0"/>
              <w:rPr>
                <w:sz w:val="1"/>
                <w:szCs w:val="1"/>
                <w:color w:val="auto"/>
              </w:rPr>
            </w:pPr>
          </w:p>
        </w:tc>
      </w:tr>
      <w:tr>
        <w:trPr>
          <w:trHeight w:val="243"/>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3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Intangible assets, gross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3,797</w:t>
            </w:r>
          </w:p>
        </w:tc>
        <w:tc>
          <w:tcPr>
            <w:tcW w:w="3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1,038</w:t>
            </w:r>
          </w:p>
        </w:tc>
        <w:tc>
          <w:tcPr>
            <w:tcW w:w="30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40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63</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5,632</w:t>
            </w:r>
          </w:p>
        </w:tc>
        <w:tc>
          <w:tcPr>
            <w:tcW w:w="0" w:type="dxa"/>
            <w:vAlign w:val="bottom"/>
          </w:tcPr>
          <w:p>
            <w:pPr>
              <w:spacing w:after="0"/>
              <w:rPr>
                <w:sz w:val="1"/>
                <w:szCs w:val="1"/>
                <w:color w:val="auto"/>
              </w:rPr>
            </w:pPr>
          </w:p>
        </w:tc>
      </w:tr>
      <w:tr>
        <w:trPr>
          <w:trHeight w:val="238"/>
        </w:trPr>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amortization</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(2,548 )</w:t>
            </w:r>
          </w:p>
        </w:tc>
        <w:tc>
          <w:tcPr>
            <w:tcW w:w="3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(731 )</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(352 )</w:t>
            </w:r>
          </w:p>
        </w:tc>
        <w:tc>
          <w:tcPr>
            <w:tcW w:w="30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(41 )</w:t>
            </w: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(3,672 )</w:t>
            </w:r>
          </w:p>
        </w:tc>
        <w:tc>
          <w:tcPr>
            <w:tcW w:w="0" w:type="dxa"/>
            <w:vAlign w:val="bottom"/>
          </w:tcPr>
          <w:p>
            <w:pPr>
              <w:spacing w:after="0"/>
              <w:rPr>
                <w:sz w:val="1"/>
                <w:szCs w:val="1"/>
                <w:color w:val="auto"/>
              </w:rPr>
            </w:pPr>
          </w:p>
        </w:tc>
      </w:tr>
      <w:tr>
        <w:trPr>
          <w:trHeight w:val="276"/>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net - March 31, 2024</w:t>
            </w: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1,249</w:t>
            </w:r>
          </w:p>
        </w:tc>
        <w:tc>
          <w:tcPr>
            <w:tcW w:w="3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686</w:t>
            </w:r>
          </w:p>
        </w:tc>
        <w:tc>
          <w:tcPr>
            <w:tcW w:w="30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3463925</wp:posOffset>
            </wp:positionH>
            <wp:positionV relativeFrom="paragraph">
              <wp:posOffset>-1283970</wp:posOffset>
            </wp:positionV>
            <wp:extent cx="1968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-1283970</wp:posOffset>
            </wp:positionV>
            <wp:extent cx="19685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-1283970</wp:posOffset>
            </wp:positionV>
            <wp:extent cx="1885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-1283970</wp:posOffset>
            </wp:positionV>
            <wp:extent cx="1885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-658495</wp:posOffset>
            </wp:positionV>
            <wp:extent cx="19685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-658495</wp:posOffset>
            </wp:positionV>
            <wp:extent cx="19685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-658495</wp:posOffset>
            </wp:positionV>
            <wp:extent cx="18859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-658495</wp:posOffset>
            </wp:positionV>
            <wp:extent cx="18859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-24765</wp:posOffset>
            </wp:positionV>
            <wp:extent cx="19685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3463925</wp:posOffset>
            </wp:positionH>
            <wp:positionV relativeFrom="paragraph">
              <wp:posOffset>-7620</wp:posOffset>
            </wp:positionV>
            <wp:extent cx="19685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-24765</wp:posOffset>
            </wp:positionV>
            <wp:extent cx="1968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4406265</wp:posOffset>
            </wp:positionH>
            <wp:positionV relativeFrom="paragraph">
              <wp:posOffset>-7620</wp:posOffset>
            </wp:positionV>
            <wp:extent cx="19685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9685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-24765</wp:posOffset>
            </wp:positionV>
            <wp:extent cx="18859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-7620</wp:posOffset>
            </wp:positionV>
            <wp:extent cx="18859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-24765</wp:posOffset>
            </wp:positionV>
            <wp:extent cx="18859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6229985</wp:posOffset>
            </wp:positionH>
            <wp:positionV relativeFrom="paragraph">
              <wp:posOffset>-7620</wp:posOffset>
            </wp:positionV>
            <wp:extent cx="18859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weighted-average remaining life of amortizable intangible assets at March 31, 2024 was 11.5 years.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The table below reflects the future estimated amortization expense for amortizable intangible assets for the remainder of 2024 and for subsequent years: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Amortization</w:t>
            </w:r>
          </w:p>
        </w:tc>
      </w:tr>
      <w:tr>
        <w:trPr>
          <w:trHeight w:val="236"/>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172</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212</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203</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0" w:type="dxa"/>
            <w:vAlign w:val="bottom"/>
          </w:tcPr>
          <w:p>
            <w:pPr>
              <w:spacing w:after="0"/>
              <w:rPr>
                <w:sz w:val="20"/>
                <w:szCs w:val="20"/>
                <w:color w:val="auto"/>
              </w:rPr>
            </w:pPr>
          </w:p>
        </w:tc>
        <w:tc>
          <w:tcPr>
            <w:tcW w:w="16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199</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0" w:type="dxa"/>
            <w:vAlign w:val="bottom"/>
            <w:shd w:val="clear" w:color="auto" w:fill="CFF0FC"/>
          </w:tcPr>
          <w:p>
            <w:pPr>
              <w:spacing w:after="0"/>
              <w:rPr>
                <w:sz w:val="21"/>
                <w:szCs w:val="21"/>
                <w:color w:val="auto"/>
              </w:rPr>
            </w:pPr>
          </w:p>
        </w:tc>
        <w:tc>
          <w:tcPr>
            <w:tcW w:w="16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980</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1,960</w:t>
            </w:r>
          </w:p>
        </w:tc>
      </w:tr>
    </w:tbl>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Derivative Financial Instruments</w:t>
      </w:r>
    </w:p>
    <w:p>
      <w:pPr>
        <w:spacing w:after="0" w:line="1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are exposed to certain foreign currency risks. Where possible, we identify exposures in our business that can be offset internally. Where no natural offset is identified, we may choose to enter into various derivative transactions. These instruments have the effect of reducing our exposure to unfavorable changes in foreign currency rates. The Company’s board of directors reviews and approves policies for managing this risk as summarized below. Additional information regarding our derivative financial instruments can be found in Note 11 — Fair Value Measurements and Note 17 — Accumulated Other Comprehensive Loss.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17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Certain non-U.S. subsidiaries receive revenue and incur expenses in currencies other than their functional currency, and as a result, the foreign subsidiary’s functional currency revenue and/or expenses will fluctuate as the currency rates change. Additionally, the forecast Pounds sterling expenses of our London brokerage market operations may exceed their Pounds sterling revenue, and the entity with such operations may also hold significant foreign currency asset or liability positions in the condensed consolidated balance sheets. To reduce such variability, we use foreign exchange contracts to hedge against this currency risk.</w:t>
      </w:r>
    </w:p>
    <w:p>
      <w:pPr>
        <w:spacing w:after="0" w:line="128"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These derivatives were designated as hedging instruments and at March 31, 2024 and December 31, 2023 had total notional amounts of $118 million and $119 million, respectively, and had net asset fair values of $2 million at both periods presented.</w:t>
      </w:r>
    </w:p>
    <w:p>
      <w:pPr>
        <w:spacing w:after="0" w:line="10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At March 31, 2024, the Company estimates, based on current exchange rates, there will be $1 million of net derivative gains on forward exchange rates reclassified from accumulated other comprehensive loss into earnings within the next twelve months as the forecast transactions affect earnings. At March 31, 2024, our longest outstanding maturity was 1.7 years.</w:t>
      </w:r>
    </w:p>
    <w:p>
      <w:pPr>
        <w:spacing w:after="0" w:line="123" w:lineRule="exact"/>
        <w:rPr>
          <w:sz w:val="20"/>
          <w:szCs w:val="20"/>
          <w:color w:val="auto"/>
        </w:rPr>
      </w:pPr>
    </w:p>
    <w:p>
      <w:pPr>
        <w:ind w:right="220"/>
        <w:spacing w:after="0" w:line="265" w:lineRule="auto"/>
        <w:rPr>
          <w:sz w:val="20"/>
          <w:szCs w:val="20"/>
          <w:color w:val="auto"/>
        </w:rPr>
      </w:pPr>
      <w:r>
        <w:rPr>
          <w:rFonts w:ascii="Times New Roman" w:cs="Times New Roman" w:eastAsia="Times New Roman" w:hAnsi="Times New Roman"/>
          <w:sz w:val="18"/>
          <w:szCs w:val="18"/>
          <w:color w:val="auto"/>
        </w:rPr>
        <w:t>The effects of the material derivative instruments that are designated as hedging instruments on the condensed consolidated statements of comprehensive income for the three months ended March 31, 2024 and 2023 are below. Amounts pertaining to the ineffective portion of hedging instruments and those excluded from effectiveness testing were immaterial for the three months ended March 31, 2024 and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340" w:type="dxa"/>
            <w:vAlign w:val="bottom"/>
          </w:tcPr>
          <w:p>
            <w:pPr>
              <w:spacing w:after="0"/>
              <w:rPr>
                <w:sz w:val="16"/>
                <w:szCs w:val="16"/>
                <w:color w:val="auto"/>
              </w:rPr>
            </w:pPr>
          </w:p>
        </w:tc>
        <w:tc>
          <w:tcPr>
            <w:tcW w:w="3980" w:type="dxa"/>
            <w:vAlign w:val="bottom"/>
            <w:tcBorders>
              <w:bottom w:val="single" w:sz="8" w:color="auto"/>
            </w:tcBorders>
            <w:gridSpan w:val="4"/>
          </w:tcPr>
          <w:p>
            <w:pPr>
              <w:ind w:left="800"/>
              <w:spacing w:after="0"/>
              <w:rPr>
                <w:sz w:val="20"/>
                <w:szCs w:val="20"/>
                <w:color w:val="auto"/>
              </w:rPr>
            </w:pPr>
            <w:r>
              <w:rPr>
                <w:rFonts w:ascii="Times New Roman" w:cs="Times New Roman" w:eastAsia="Times New Roman" w:hAnsi="Times New Roman"/>
                <w:sz w:val="14"/>
                <w:szCs w:val="14"/>
                <w:b w:val="1"/>
                <w:bCs w:val="1"/>
                <w:color w:val="auto"/>
              </w:rPr>
              <w:t>Gain recognized in OCI (effective element)</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340" w:type="dxa"/>
            <w:vAlign w:val="bottom"/>
            <w:tcBorders>
              <w:bottom w:val="single" w:sz="8" w:color="CFF0FC"/>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85"/>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Location of (loss)/gain reclassified from Accumulated OCL into income (effective element)</w:t>
            </w:r>
          </w:p>
        </w:tc>
        <w:tc>
          <w:tcPr>
            <w:tcW w:w="340" w:type="dxa"/>
            <w:vAlign w:val="bottom"/>
          </w:tcPr>
          <w:p>
            <w:pPr>
              <w:spacing w:after="0"/>
              <w:rPr>
                <w:sz w:val="24"/>
                <w:szCs w:val="24"/>
                <w:color w:val="auto"/>
              </w:rPr>
            </w:pPr>
          </w:p>
        </w:tc>
        <w:tc>
          <w:tcPr>
            <w:tcW w:w="398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(Loss)/gain reclassified from Accumulated OCL into income</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6580" w:type="dxa"/>
            <w:vAlign w:val="bottom"/>
            <w:tcBorders>
              <w:bottom w:val="single" w:sz="8" w:color="auto"/>
            </w:tcBorders>
            <w:vMerge w:val="continue"/>
          </w:tcPr>
          <w:p>
            <w:pPr>
              <w:spacing w:after="0"/>
              <w:rPr>
                <w:sz w:val="16"/>
                <w:szCs w:val="16"/>
                <w:color w:val="auto"/>
              </w:rPr>
            </w:pPr>
          </w:p>
        </w:tc>
        <w:tc>
          <w:tcPr>
            <w:tcW w:w="34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1244"/>
              <w:spacing w:after="0"/>
              <w:rPr>
                <w:sz w:val="20"/>
                <w:szCs w:val="20"/>
                <w:color w:val="auto"/>
              </w:rPr>
            </w:pPr>
            <w:r>
              <w:rPr>
                <w:rFonts w:ascii="Times New Roman" w:cs="Times New Roman" w:eastAsia="Times New Roman" w:hAnsi="Times New Roman"/>
                <w:sz w:val="14"/>
                <w:szCs w:val="14"/>
                <w:b w:val="1"/>
                <w:bCs w:val="1"/>
                <w:color w:val="auto"/>
              </w:rPr>
              <w:t>(effective element)</w:t>
            </w:r>
          </w:p>
        </w:tc>
        <w:tc>
          <w:tcPr>
            <w:tcW w:w="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660" w:type="dxa"/>
            <w:vAlign w:val="bottom"/>
            <w:gridSpan w:val="2"/>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960" w:type="dxa"/>
            <w:vAlign w:val="bottom"/>
            <w:gridSpan w:val="2"/>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6"/>
        </w:trPr>
        <w:tc>
          <w:tcPr>
            <w:tcW w:w="6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Salaries and benefits</w:t>
            </w:r>
          </w:p>
        </w:tc>
        <w:tc>
          <w:tcPr>
            <w:tcW w:w="340" w:type="dxa"/>
            <w:vAlign w:val="bottom"/>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59"/>
        </w:trPr>
        <w:tc>
          <w:tcPr>
            <w:tcW w:w="65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CFF0FC"/>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1165"/>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bottom w:val="single" w:sz="8" w:color="CFF0FC"/>
            </w:tcBorders>
            <w:shd w:val="clear" w:color="auto" w:fill="CFF0FC"/>
          </w:tcPr>
          <w:p>
            <w:pPr>
              <w:spacing w:after="0"/>
              <w:rPr>
                <w:sz w:val="22"/>
                <w:szCs w:val="22"/>
                <w:color w:val="auto"/>
              </w:rPr>
            </w:pPr>
          </w:p>
        </w:tc>
        <w:tc>
          <w:tcPr>
            <w:tcW w:w="1640" w:type="dxa"/>
            <w:vAlign w:val="bottom"/>
            <w:tcBorders>
              <w:bottom w:val="single" w:sz="8" w:color="auto"/>
            </w:tcBorders>
            <w:shd w:val="clear" w:color="auto" w:fill="CFF0FC"/>
          </w:tcPr>
          <w:p>
            <w:pPr>
              <w:jc w:val="right"/>
              <w:ind w:right="1464"/>
              <w:spacing w:after="0"/>
              <w:rPr>
                <w:sz w:val="20"/>
                <w:szCs w:val="20"/>
                <w:color w:val="auto"/>
              </w:rPr>
            </w:pPr>
            <w:r>
              <w:rPr>
                <w:rFonts w:ascii="Times New Roman" w:cs="Times New Roman" w:eastAsia="Times New Roman" w:hAnsi="Times New Roman"/>
                <w:sz w:val="16"/>
                <w:szCs w:val="16"/>
                <w:color w:val="auto"/>
                <w:w w:val="99"/>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5673090</wp:posOffset>
            </wp:positionH>
            <wp:positionV relativeFrom="paragraph">
              <wp:posOffset>-906780</wp:posOffset>
            </wp:positionV>
            <wp:extent cx="2057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-24765</wp:posOffset>
            </wp:positionV>
            <wp:extent cx="2057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-7620</wp:posOffset>
            </wp:positionV>
            <wp:extent cx="20574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05740" cy="8255"/>
                    </a:xfrm>
                    <a:prstGeom prst="rect">
                      <a:avLst/>
                    </a:prstGeom>
                    <a:noFill/>
                  </pic:spPr>
                </pic:pic>
              </a:graphicData>
            </a:graphic>
          </wp:anchor>
        </w:drawing>
      </w:r>
    </w:p>
    <w:p>
      <w:pPr>
        <w:spacing w:after="0" w:line="1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 engages in intercompany borrowing and lending between subsidiaries, primarily through its in-house banking operations which give rise to foreign exchange exposures. The Company mitigates these risks through the use of short-term foreign currency forward and swap transactions that offset the underlying exposure created when the borrower and lender have different functional currencies. These derivatives are not generally designated as hedging instruments, and at March 31, 2024 and December 31, 2023, we had notional amounts of $1.2 billion at both periods presented, with net asset fair values of $3 million at both periods presented. Such derivatives typically mature within three months.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9" w:name="page20"/>
    <w:bookmarkEnd w:id="19"/>
    <w:p>
      <w:pPr>
        <w:ind w:right="60"/>
        <w:spacing w:after="0" w:line="265" w:lineRule="auto"/>
        <w:rPr>
          <w:sz w:val="20"/>
          <w:szCs w:val="20"/>
          <w:color w:val="auto"/>
        </w:rPr>
      </w:pPr>
      <w:r>
        <w:rPr>
          <w:rFonts w:ascii="Times New Roman" w:cs="Times New Roman" w:eastAsia="Times New Roman" w:hAnsi="Times New Roman"/>
          <w:sz w:val="18"/>
          <w:szCs w:val="18"/>
          <w:color w:val="auto"/>
        </w:rPr>
        <w:t>The effects of derivatives that have not been designated as hedging instruments on the condensed consolidated statements of comprehensive income for the three months ended March 31, 2024 and 2023 are as follows (see Note 16 — Other Income, Net for the net foreign currency impact on the Company’s condensed consolidated statements of comprehensive income which includes the results of the offset of underlying exposures):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60" w:type="dxa"/>
            <w:vAlign w:val="bottom"/>
            <w:tcBorders>
              <w:bottom w:val="single" w:sz="8" w:color="auto"/>
            </w:tcBorders>
            <w:gridSpan w:val="6"/>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rPr>
              <w:t>Gain recognized in income</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560" w:type="dxa"/>
            <w:vAlign w:val="bottom"/>
            <w:gridSpan w:val="6"/>
          </w:tcPr>
          <w:p>
            <w:pPr>
              <w:jc w:val="center"/>
              <w:ind w:left="357"/>
              <w:spacing w:after="0" w:line="131"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5"/>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Derivatives not designated as hedging instruments:</w:t>
            </w:r>
          </w:p>
        </w:tc>
        <w:tc>
          <w:tcPr>
            <w:tcW w:w="200" w:type="dxa"/>
            <w:vAlign w:val="bottom"/>
          </w:tcPr>
          <w:p>
            <w:pPr>
              <w:spacing w:after="0"/>
              <w:rPr>
                <w:sz w:val="11"/>
                <w:szCs w:val="11"/>
                <w:color w:val="auto"/>
              </w:rPr>
            </w:pPr>
          </w:p>
        </w:tc>
        <w:tc>
          <w:tcPr>
            <w:tcW w:w="3100" w:type="dxa"/>
            <w:vAlign w:val="bottom"/>
            <w:gridSpan w:val="3"/>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Location of gain</w:t>
            </w:r>
          </w:p>
        </w:tc>
        <w:tc>
          <w:tcPr>
            <w:tcW w:w="118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180" w:type="dxa"/>
            <w:vAlign w:val="bottom"/>
            <w:vMerge w:val="restart"/>
          </w:tcPr>
          <w:p>
            <w:pPr>
              <w:spacing w:after="0"/>
              <w:rPr>
                <w:sz w:val="11"/>
                <w:szCs w:val="11"/>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8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9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recognized in income</w:t>
            </w:r>
          </w:p>
        </w:tc>
        <w:tc>
          <w:tcPr>
            <w:tcW w:w="2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Forward exchange contracts</w:t>
            </w:r>
          </w:p>
        </w:tc>
        <w:tc>
          <w:tcPr>
            <w:tcW w:w="200" w:type="dxa"/>
            <w:vAlign w:val="bottom"/>
            <w:shd w:val="clear" w:color="auto" w:fill="CFF0FC"/>
          </w:tcPr>
          <w:p>
            <w:pPr>
              <w:spacing w:after="0"/>
              <w:rPr>
                <w:sz w:val="22"/>
                <w:szCs w:val="22"/>
                <w:color w:val="auto"/>
              </w:rPr>
            </w:pPr>
          </w:p>
        </w:tc>
        <w:tc>
          <w:tcPr>
            <w:tcW w:w="3100" w:type="dxa"/>
            <w:vAlign w:val="bottom"/>
            <w:gridSpan w:val="3"/>
            <w:shd w:val="clear" w:color="auto" w:fill="CFF0FC"/>
          </w:tcPr>
          <w:p>
            <w:pPr>
              <w:jc w:val="center"/>
              <w:ind w:right="180"/>
              <w:spacing w:after="0"/>
              <w:rPr>
                <w:sz w:val="20"/>
                <w:szCs w:val="20"/>
                <w:color w:val="auto"/>
              </w:rPr>
            </w:pPr>
            <w:r>
              <w:rPr>
                <w:rFonts w:ascii="Times New Roman" w:cs="Times New Roman" w:eastAsia="Times New Roman" w:hAnsi="Times New Roman"/>
                <w:sz w:val="16"/>
                <w:szCs w:val="16"/>
                <w:color w:val="auto"/>
              </w:rPr>
              <w:t>Other income, net</w:t>
            </w:r>
          </w:p>
        </w:tc>
        <w:tc>
          <w:tcPr>
            <w:tcW w:w="1180" w:type="dxa"/>
            <w:vAlign w:val="bottom"/>
            <w:shd w:val="clear" w:color="auto" w:fill="CFF0FC"/>
          </w:tcPr>
          <w:p>
            <w:pPr>
              <w:jc w:val="right"/>
              <w:ind w:right="997"/>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1</w:t>
            </w:r>
          </w:p>
        </w:tc>
        <w:tc>
          <w:tcPr>
            <w:tcW w:w="1080" w:type="dxa"/>
            <w:vAlign w:val="bottom"/>
            <w:gridSpan w:val="3"/>
            <w:shd w:val="clear" w:color="auto" w:fill="CFF0FC"/>
          </w:tcPr>
          <w:p>
            <w:pPr>
              <w:jc w:val="right"/>
              <w:ind w:right="728"/>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345"/>
        </w:trPr>
        <w:tc>
          <w:tcPr>
            <w:tcW w:w="48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10 — Debt</w:t>
            </w:r>
          </w:p>
        </w:tc>
        <w:tc>
          <w:tcPr>
            <w:tcW w:w="200" w:type="dxa"/>
            <w:vAlign w:val="bottom"/>
            <w:tcBorders>
              <w:top w:val="single" w:sz="8" w:color="CFF0FC"/>
            </w:tcBorders>
          </w:tcPr>
          <w:p>
            <w:pPr>
              <w:spacing w:after="0"/>
              <w:rPr>
                <w:sz w:val="24"/>
                <w:szCs w:val="24"/>
                <w:color w:val="auto"/>
              </w:rPr>
            </w:pPr>
          </w:p>
        </w:tc>
        <w:tc>
          <w:tcPr>
            <w:tcW w:w="27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Current debt consists of the following:</w:t>
            </w: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3.600% senior notes due 2024</w:t>
            </w:r>
          </w:p>
        </w:tc>
        <w:tc>
          <w:tcPr>
            <w:tcW w:w="290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0"/>
                <w:szCs w:val="20"/>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spacing w:after="0"/>
              <w:rPr>
                <w:sz w:val="20"/>
                <w:szCs w:val="20"/>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3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0"/>
        </w:trPr>
        <w:tc>
          <w:tcPr>
            <w:tcW w:w="48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consists of the following:</w:t>
            </w:r>
          </w:p>
        </w:tc>
        <w:tc>
          <w:tcPr>
            <w:tcW w:w="2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1"/>
        </w:trPr>
        <w:tc>
          <w:tcPr>
            <w:tcW w:w="4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center"/>
              <w:ind w:right="3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5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297"/>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Borders>
              <w:bottom w:val="single" w:sz="8" w:color="auto"/>
            </w:tcBorders>
            <w:gridSpan w:val="3"/>
          </w:tcPr>
          <w:p>
            <w:pPr>
              <w:jc w:val="center"/>
              <w:ind w:left="39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$1.5 billion credit facility</w:t>
            </w:r>
          </w:p>
        </w:tc>
        <w:tc>
          <w:tcPr>
            <w:tcW w:w="3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4.400% senior notes due 2026</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548</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4.650% senior notes due 2027</w:t>
            </w:r>
          </w:p>
        </w:tc>
        <w:tc>
          <w:tcPr>
            <w:tcW w:w="200" w:type="dxa"/>
            <w:vAlign w:val="bottom"/>
            <w:shd w:val="clear" w:color="auto" w:fill="CFF0FC"/>
          </w:tcPr>
          <w:p>
            <w:pPr>
              <w:spacing w:after="0"/>
              <w:rPr>
                <w:sz w:val="21"/>
                <w:szCs w:val="21"/>
                <w:color w:val="auto"/>
              </w:rPr>
            </w:pPr>
          </w:p>
        </w:tc>
        <w:tc>
          <w:tcPr>
            <w:tcW w:w="2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745</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4.500% senior notes due 2028</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598</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2.950% senior notes due 2029</w:t>
            </w:r>
          </w:p>
        </w:tc>
        <w:tc>
          <w:tcPr>
            <w:tcW w:w="200" w:type="dxa"/>
            <w:vAlign w:val="bottom"/>
            <w:shd w:val="clear" w:color="auto" w:fill="CFF0FC"/>
          </w:tcPr>
          <w:p>
            <w:pPr>
              <w:spacing w:after="0"/>
              <w:rPr>
                <w:sz w:val="21"/>
                <w:szCs w:val="21"/>
                <w:color w:val="auto"/>
              </w:rPr>
            </w:pPr>
          </w:p>
        </w:tc>
        <w:tc>
          <w:tcPr>
            <w:tcW w:w="2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5.350% senior notes due 2033</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741</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6.125% senior notes due 2043</w:t>
            </w:r>
          </w:p>
        </w:tc>
        <w:tc>
          <w:tcPr>
            <w:tcW w:w="200" w:type="dxa"/>
            <w:vAlign w:val="bottom"/>
            <w:shd w:val="clear" w:color="auto" w:fill="CFF0FC"/>
          </w:tcPr>
          <w:p>
            <w:pPr>
              <w:spacing w:after="0"/>
              <w:rPr>
                <w:sz w:val="21"/>
                <w:szCs w:val="21"/>
                <w:color w:val="auto"/>
              </w:rPr>
            </w:pPr>
          </w:p>
        </w:tc>
        <w:tc>
          <w:tcPr>
            <w:tcW w:w="2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5.050% senior notes due 2048</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47"/>
        </w:trPr>
        <w:tc>
          <w:tcPr>
            <w:tcW w:w="4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3.875% senior notes due 2049</w:t>
            </w:r>
          </w:p>
        </w:tc>
        <w:tc>
          <w:tcPr>
            <w:tcW w:w="200" w:type="dxa"/>
            <w:vAlign w:val="bottom"/>
            <w:shd w:val="clear" w:color="auto" w:fill="CFF0FC"/>
          </w:tcPr>
          <w:p>
            <w:pPr>
              <w:spacing w:after="0"/>
              <w:rPr>
                <w:sz w:val="21"/>
                <w:szCs w:val="21"/>
                <w:color w:val="auto"/>
              </w:rPr>
            </w:pPr>
          </w:p>
        </w:tc>
        <w:tc>
          <w:tcPr>
            <w:tcW w:w="27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38"/>
        </w:trPr>
        <w:tc>
          <w:tcPr>
            <w:tcW w:w="4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5.900% senior notes due 2054</w:t>
            </w: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4800" w:type="dxa"/>
            <w:vAlign w:val="bottom"/>
            <w:tcBorders>
              <w:bottom w:val="single" w:sz="8" w:color="CFF0FC"/>
            </w:tcBorders>
            <w:shd w:val="clear" w:color="auto" w:fill="CFF0FC"/>
          </w:tcPr>
          <w:p>
            <w:pPr>
              <w:spacing w:after="0"/>
              <w:rPr>
                <w:sz w:val="24"/>
                <w:szCs w:val="24"/>
                <w:color w:val="auto"/>
              </w:rPr>
            </w:pPr>
          </w:p>
        </w:tc>
        <w:tc>
          <w:tcPr>
            <w:tcW w:w="2900" w:type="dxa"/>
            <w:vAlign w:val="bottom"/>
            <w:tcBorders>
              <w:bottom w:val="single" w:sz="8" w:color="CFF0FC"/>
            </w:tcBorders>
            <w:gridSpan w:val="2"/>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FF0FC"/>
          </w:tcPr>
          <w:p>
            <w:pPr>
              <w:spacing w:after="0"/>
              <w:rPr>
                <w:sz w:val="24"/>
                <w:szCs w:val="2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tcBorders>
              <w:bottom w:val="single" w:sz="8" w:color="auto"/>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FF0FC"/>
          </w:tcPr>
          <w:p>
            <w:pPr>
              <w:spacing w:after="0"/>
              <w:rPr>
                <w:sz w:val="24"/>
                <w:szCs w:val="24"/>
                <w:color w:val="auto"/>
              </w:rPr>
            </w:pPr>
          </w:p>
        </w:tc>
        <w:tc>
          <w:tcPr>
            <w:tcW w:w="58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6092825</wp:posOffset>
            </wp:positionH>
            <wp:positionV relativeFrom="paragraph">
              <wp:posOffset>-3415665</wp:posOffset>
            </wp:positionV>
            <wp:extent cx="1111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6092825</wp:posOffset>
            </wp:positionH>
            <wp:positionV relativeFrom="paragraph">
              <wp:posOffset>-3398520</wp:posOffset>
            </wp:positionV>
            <wp:extent cx="11112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-2456815</wp:posOffset>
            </wp:positionV>
            <wp:extent cx="12001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-24765</wp:posOffset>
            </wp:positionV>
            <wp:extent cx="1200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-7620</wp:posOffset>
            </wp:positionV>
            <wp:extent cx="12001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Notes</w:t>
      </w:r>
    </w:p>
    <w:p>
      <w:pPr>
        <w:spacing w:after="0" w:line="175"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March 5, 2024, the Company, together with its wholly-owned subsidiary, Willis North America Inc., as issuer, completed an offering of $750 million aggregate principal amount of 5.900% senior notes due 2054 (‘2054 senior notes’). The effective interest rate of the 2054 senior notes is 6.00%, which includes the impact of the discount upon issuance. The 2054 senior notes will mature on March 5, 2054. Interest on the 2054 senior notes accrues from March 5, 2024 and will be paid in cash on March 5 and September 5 of each year, commencing on September 5, 2024. The net proceeds from this offering, after deducting the underwriting discount and offering expenses, were approximately $739 million and will be used to fully repay the $650 million aggregate principal amount of the 3.600% senior notes (which will mature during the second quarter of 2024) and related accrued interest, and for general corporate purposes.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Fair Value Measurements</w:t>
      </w:r>
    </w:p>
    <w:p>
      <w:pPr>
        <w:spacing w:after="0" w:line="175"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18"/>
          <w:szCs w:val="18"/>
          <w:color w:val="auto"/>
        </w:rPr>
        <w:t>The Company has categorized its assets and liabilities that are measured at fair value on a recurring and non-recurring basis into a three-level fair value hierarchy, based on the reliability of the inputs used to determine fair value as follows:</w:t>
      </w:r>
    </w:p>
    <w:p>
      <w:pPr>
        <w:spacing w:after="0" w:line="55" w:lineRule="exact"/>
        <w:rPr>
          <w:sz w:val="20"/>
          <w:szCs w:val="20"/>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refers to fair values determined based on quoted market prices in active markets for identical assets;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refers to fair values estimated using observable market-based inputs or unobservable inputs that are corroborated by market data;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includes fair values estimated using unobservable inputs that are not corroborated by market data.</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following methods and assumptions were used by the Company in estimating its fair value disclosure for financial instruments:</w:t>
      </w:r>
    </w:p>
    <w:p>
      <w:pPr>
        <w:spacing w:after="0" w:line="117" w:lineRule="exact"/>
        <w:rPr>
          <w:sz w:val="20"/>
          <w:szCs w:val="20"/>
          <w:color w:val="auto"/>
        </w:rPr>
      </w:pPr>
    </w:p>
    <w:p>
      <w:pPr>
        <w:ind w:left="760" w:right="14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Mutual funds and exchange-traded funds are classified as Level 1 because we use quoted market prices in active markets in determining the fair value of these securities.</w:t>
      </w:r>
    </w:p>
    <w:p>
      <w:pPr>
        <w:spacing w:after="0" w:line="54" w:lineRule="exact"/>
        <w:rPr>
          <w:rFonts w:ascii="Times New Roman" w:cs="Times New Roman" w:eastAsia="Times New Roman" w:hAnsi="Times New Roman"/>
          <w:sz w:val="18"/>
          <w:szCs w:val="18"/>
          <w:color w:val="auto"/>
        </w:rPr>
      </w:pPr>
    </w:p>
    <w:p>
      <w:pPr>
        <w:ind w:left="760" w:right="580" w:hanging="378"/>
        <w:spacing w:after="0" w:line="28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Commingled funds are not leveled within the fair value hierarchy as the funds are valued at the net value of shares held as reported by the manager of the funds. These funds are not exchange-traded.</w:t>
      </w:r>
    </w:p>
    <w:p>
      <w:pPr>
        <w:spacing w:after="0" w:line="54" w:lineRule="exact"/>
        <w:rPr>
          <w:rFonts w:ascii="Times New Roman" w:cs="Times New Roman" w:eastAsia="Times New Roman" w:hAnsi="Times New Roman"/>
          <w:sz w:val="18"/>
          <w:szCs w:val="18"/>
          <w:color w:val="auto"/>
        </w:rPr>
      </w:pPr>
    </w:p>
    <w:p>
      <w:pPr>
        <w:ind w:left="760" w:right="32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Hedge funds are not leveled within the fair value hierarchy as the fair values for these investments are estimated based on the net asset values derived from the latest audited financial statements or most recent capital account statements provided by the funds’ investment manager or third-party administrator, as a practical expedient.</w:t>
      </w:r>
    </w:p>
    <w:p>
      <w:pPr>
        <w:spacing w:after="0" w:line="69" w:lineRule="exact"/>
        <w:rPr>
          <w:rFonts w:ascii="Times New Roman" w:cs="Times New Roman" w:eastAsia="Times New Roman" w:hAnsi="Times New Roman"/>
          <w:sz w:val="18"/>
          <w:szCs w:val="18"/>
          <w:color w:val="auto"/>
        </w:rPr>
      </w:pPr>
    </w:p>
    <w:p>
      <w:pPr>
        <w:jc w:val="both"/>
        <w:ind w:left="760" w:right="60" w:hanging="378"/>
        <w:spacing w:after="0" w:line="265"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values for our derivative instruments have been used to determine the fair values of forward and option foreign exchange contracts based on estimated amounts the Company would receive or have to pay to terminate the agreements, taking into account observable information about the current foreign currency forward rates. Such financial instruments are classified as Level 2.</w:t>
      </w:r>
    </w:p>
    <w:p>
      <w:pPr>
        <w:spacing w:after="0" w:line="69" w:lineRule="exact"/>
        <w:rPr>
          <w:rFonts w:ascii="Times New Roman" w:cs="Times New Roman" w:eastAsia="Times New Roman" w:hAnsi="Times New Roman"/>
          <w:sz w:val="18"/>
          <w:szCs w:val="18"/>
          <w:color w:val="auto"/>
        </w:rPr>
      </w:pPr>
    </w:p>
    <w:p>
      <w:pPr>
        <w:ind w:left="760" w:right="60" w:hanging="378"/>
        <w:spacing w:after="0" w:line="260"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consideration payable is classified as Level 3, and we estimate fair value based on the likelihood and timing of achieving the relevant milestones of each arrangement, applying a probability assessment to each of the potential outcomes, which at times includes the use of a Monte Carlo simulation and discounting the probability-weighted payout. Typically, milestones are based on revenue or earnings growth for the acquired business.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measured at fair value on a recurring basis at March 31, 2024 and December 31, 2023:</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gridSpan w:val="9"/>
          </w:tcPr>
          <w:p>
            <w:pPr>
              <w:ind w:left="44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March 31, 2024</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520" w:type="dxa"/>
            <w:vAlign w:val="bottom"/>
          </w:tcPr>
          <w:p>
            <w:pPr>
              <w:spacing w:after="0"/>
              <w:rPr>
                <w:sz w:val="14"/>
                <w:szCs w:val="14"/>
                <w:color w:val="auto"/>
              </w:rPr>
            </w:pPr>
          </w:p>
        </w:tc>
        <w:tc>
          <w:tcPr>
            <w:tcW w:w="3520" w:type="dxa"/>
            <w:vAlign w:val="bottom"/>
            <w:gridSpan w:val="2"/>
          </w:tcPr>
          <w:p>
            <w:pPr>
              <w:ind w:left="1040"/>
              <w:spacing w:after="0"/>
              <w:rPr>
                <w:sz w:val="20"/>
                <w:szCs w:val="20"/>
                <w:color w:val="auto"/>
              </w:rPr>
            </w:pPr>
            <w:r>
              <w:rPr>
                <w:rFonts w:ascii="Times New Roman" w:cs="Times New Roman" w:eastAsia="Times New Roman" w:hAnsi="Times New Roman"/>
                <w:sz w:val="13"/>
                <w:szCs w:val="13"/>
                <w:b w:val="1"/>
                <w:bCs w:val="1"/>
                <w:color w:val="auto"/>
              </w:rPr>
              <w:t>Balance Sheet Location</w:t>
            </w:r>
          </w:p>
        </w:tc>
        <w:tc>
          <w:tcPr>
            <w:tcW w:w="180" w:type="dxa"/>
            <w:vAlign w:val="bottom"/>
          </w:tcPr>
          <w:p>
            <w:pPr>
              <w:spacing w:after="0"/>
              <w:rPr>
                <w:sz w:val="14"/>
                <w:szCs w:val="14"/>
                <w:color w:val="auto"/>
              </w:rPr>
            </w:pPr>
          </w:p>
        </w:tc>
        <w:tc>
          <w:tcPr>
            <w:tcW w:w="820" w:type="dxa"/>
            <w:vAlign w:val="bottom"/>
          </w:tcPr>
          <w:p>
            <w:pPr>
              <w:jc w:val="right"/>
              <w:ind w:right="278"/>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700" w:type="dxa"/>
            <w:vAlign w:val="bottom"/>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223"/>
        </w:trPr>
        <w:tc>
          <w:tcPr>
            <w:tcW w:w="3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70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35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tc>
        <w:tc>
          <w:tcPr>
            <w:tcW w:w="3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3520" w:type="dxa"/>
            <w:vAlign w:val="bottom"/>
            <w:vMerge w:val="restart"/>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tc>
        <w:tc>
          <w:tcPr>
            <w:tcW w:w="3520" w:type="dxa"/>
            <w:vAlign w:val="bottom"/>
            <w:gridSpan w:val="2"/>
            <w:shd w:val="clear" w:color="auto" w:fill="CFF0FC"/>
          </w:tcPr>
          <w:p>
            <w:pPr>
              <w:ind w:left="20"/>
              <w:spacing w:after="0" w:line="148" w:lineRule="exact"/>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105</w:t>
            </w:r>
          </w:p>
        </w:tc>
        <w:tc>
          <w:tcPr>
            <w:tcW w:w="28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3"/>
            <w:vMerge w:val="restart"/>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   $</w:t>
            </w:r>
          </w:p>
        </w:tc>
        <w:tc>
          <w:tcPr>
            <w:tcW w:w="700" w:type="dxa"/>
            <w:vAlign w:val="bottom"/>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185"/>
        </w:trPr>
        <w:tc>
          <w:tcPr>
            <w:tcW w:w="3520" w:type="dxa"/>
            <w:vAlign w:val="bottom"/>
            <w:vMerge w:val="continue"/>
            <w:shd w:val="clear" w:color="auto" w:fill="CFF0FC"/>
          </w:tcPr>
          <w:p>
            <w:pPr>
              <w:spacing w:after="0"/>
              <w:rPr>
                <w:sz w:val="16"/>
                <w:szCs w:val="16"/>
                <w:color w:val="auto"/>
              </w:rPr>
            </w:pP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assets</w:t>
            </w:r>
          </w:p>
        </w:tc>
        <w:tc>
          <w:tcPr>
            <w:tcW w:w="180" w:type="dxa"/>
            <w:vAlign w:val="bottom"/>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80" w:type="dxa"/>
            <w:vAlign w:val="bottom"/>
            <w:gridSpan w:val="2"/>
            <w:vMerge w:val="continue"/>
            <w:shd w:val="clear" w:color="auto" w:fill="CFF0FC"/>
          </w:tcPr>
          <w:p>
            <w:pPr>
              <w:spacing w:after="0"/>
              <w:rPr>
                <w:sz w:val="16"/>
                <w:szCs w:val="16"/>
                <w:color w:val="auto"/>
              </w:rPr>
            </w:pPr>
          </w:p>
        </w:tc>
        <w:tc>
          <w:tcPr>
            <w:tcW w:w="820" w:type="dxa"/>
            <w:vAlign w:val="bottom"/>
            <w:vMerge w:val="continue"/>
            <w:shd w:val="clear" w:color="auto" w:fill="CFF0FC"/>
          </w:tcPr>
          <w:p>
            <w:pPr>
              <w:spacing w:after="0"/>
              <w:rPr>
                <w:sz w:val="16"/>
                <w:szCs w:val="16"/>
                <w:color w:val="auto"/>
              </w:rPr>
            </w:pPr>
          </w:p>
        </w:tc>
        <w:tc>
          <w:tcPr>
            <w:tcW w:w="260" w:type="dxa"/>
            <w:vAlign w:val="bottom"/>
            <w:gridSpan w:val="2"/>
            <w:vMerge w:val="continue"/>
            <w:shd w:val="clear" w:color="auto" w:fill="CFF0FC"/>
          </w:tcPr>
          <w:p>
            <w:pPr>
              <w:spacing w:after="0"/>
              <w:rPr>
                <w:sz w:val="16"/>
                <w:szCs w:val="16"/>
                <w:color w:val="auto"/>
              </w:rPr>
            </w:pPr>
          </w:p>
        </w:tc>
        <w:tc>
          <w:tcPr>
            <w:tcW w:w="1140" w:type="dxa"/>
            <w:vAlign w:val="bottom"/>
            <w:gridSpan w:val="3"/>
            <w:vMerge w:val="continue"/>
            <w:shd w:val="clear" w:color="auto" w:fill="CFF0FC"/>
          </w:tcPr>
          <w:p>
            <w:pPr>
              <w:spacing w:after="0"/>
              <w:rPr>
                <w:sz w:val="16"/>
                <w:szCs w:val="16"/>
                <w:color w:val="auto"/>
              </w:rPr>
            </w:pPr>
          </w:p>
        </w:tc>
        <w:tc>
          <w:tcPr>
            <w:tcW w:w="70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520" w:type="dxa"/>
            <w:vAlign w:val="bottom"/>
          </w:tcPr>
          <w:p>
            <w:pPr>
              <w:spacing w:after="0"/>
              <w:rPr>
                <w:sz w:val="20"/>
                <w:szCs w:val="20"/>
                <w:color w:val="auto"/>
              </w:rPr>
            </w:pP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Fiduciary assets</w:t>
            </w:r>
          </w:p>
        </w:tc>
        <w:tc>
          <w:tcPr>
            <w:tcW w:w="180" w:type="dxa"/>
            <w:vAlign w:val="bottom"/>
          </w:tcPr>
          <w:p>
            <w:pPr>
              <w:spacing w:after="0"/>
              <w:rPr>
                <w:sz w:val="20"/>
                <w:szCs w:val="20"/>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47"/>
        </w:trPr>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tc>
        <w:tc>
          <w:tcPr>
            <w:tcW w:w="35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shd w:val="clear" w:color="auto" w:fill="CFF0FC"/>
          </w:tcPr>
          <w:p>
            <w:pPr>
              <w:spacing w:after="0"/>
              <w:rPr>
                <w:sz w:val="21"/>
                <w:szCs w:val="21"/>
                <w:color w:val="auto"/>
              </w:rPr>
            </w:pPr>
          </w:p>
        </w:tc>
        <w:tc>
          <w:tcPr>
            <w:tcW w:w="8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140" w:type="dxa"/>
            <w:vAlign w:val="bottom"/>
            <w:gridSpan w:val="3"/>
            <w:shd w:val="clear" w:color="auto" w:fill="CFF0FC"/>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0"/>
        </w:trPr>
        <w:tc>
          <w:tcPr>
            <w:tcW w:w="35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tc>
        <w:tc>
          <w:tcPr>
            <w:tcW w:w="352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non-current assets</w:t>
            </w:r>
          </w:p>
        </w:tc>
        <w:tc>
          <w:tcPr>
            <w:tcW w:w="180" w:type="dxa"/>
            <w:vAlign w:val="bottom"/>
          </w:tcPr>
          <w:p>
            <w:pPr>
              <w:spacing w:after="0"/>
              <w:rPr>
                <w:sz w:val="22"/>
                <w:szCs w:val="22"/>
                <w:color w:val="auto"/>
              </w:rPr>
            </w:pPr>
          </w:p>
        </w:tc>
        <w:tc>
          <w:tcPr>
            <w:tcW w:w="82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40" w:type="dxa"/>
            <w:vAlign w:val="bottom"/>
            <w:gridSpan w:val="3"/>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543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ectPr>
          <w:pgSz w:w="11900" w:h="16838" w:orient="portrait"/>
          <w:cols w:equalWidth="0" w:num="1">
            <w:col w:w="11240"/>
          </w:cols>
          <w:pgMar w:left="320" w:top="930" w:right="339" w:bottom="1440" w:gutter="0" w:footer="0" w:header="0"/>
        </w:sectPr>
      </w:pPr>
    </w:p>
    <w:p>
      <w:pPr>
        <w:spacing w:after="0" w:line="5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 (vi)</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Prepaid and other current assets and Other non-current</w:t>
            </w:r>
          </w:p>
        </w:tc>
        <w:tc>
          <w:tcPr>
            <w:tcW w:w="5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86"/>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assets</w:t>
            </w:r>
          </w:p>
        </w:tc>
        <w:tc>
          <w:tcPr>
            <w:tcW w:w="520" w:type="dxa"/>
            <w:vAlign w:val="bottom"/>
            <w:vMerge w:val="continue"/>
          </w:tcPr>
          <w:p>
            <w:pPr>
              <w:spacing w:after="0"/>
              <w:rPr>
                <w:sz w:val="16"/>
                <w:szCs w:val="16"/>
                <w:color w:val="auto"/>
              </w:rPr>
            </w:pPr>
          </w:p>
        </w:tc>
        <w:tc>
          <w:tcPr>
            <w:tcW w:w="60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80" w:type="dxa"/>
            <w:vAlign w:val="bottom"/>
            <w:vMerge w:val="continue"/>
          </w:tcPr>
          <w:p>
            <w:pPr>
              <w:spacing w:after="0"/>
              <w:rPr>
                <w:sz w:val="16"/>
                <w:szCs w:val="16"/>
                <w:color w:val="auto"/>
              </w:rPr>
            </w:pPr>
          </w:p>
        </w:tc>
        <w:tc>
          <w:tcPr>
            <w:tcW w:w="5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480" w:type="dxa"/>
            <w:vAlign w:val="bottom"/>
            <w:vMerge w:val="continue"/>
          </w:tcPr>
          <w:p>
            <w:pPr>
              <w:spacing w:after="0"/>
              <w:rPr>
                <w:sz w:val="16"/>
                <w:szCs w:val="16"/>
                <w:color w:val="auto"/>
              </w:rPr>
            </w:pPr>
          </w:p>
        </w:tc>
        <w:tc>
          <w:tcPr>
            <w:tcW w:w="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713"/>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34</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-761365</wp:posOffset>
            </wp:positionV>
            <wp:extent cx="713232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930" w:right="339"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64135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type w:val="continuous"/>
        </w:sectPr>
      </w:pPr>
    </w:p>
    <w:bookmarkStart w:id="21" w:name="page22"/>
    <w:bookmarkEnd w:id="21"/>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Available-for-sale securities:</w:t>
      </w:r>
    </w:p>
    <w:p>
      <w:pPr>
        <w:spacing w:after="0" w:line="11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Mutual funds/exchange traded funds </w:t>
      </w:r>
      <w:r>
        <w:rPr>
          <w:rFonts w:ascii="Times New Roman" w:cs="Times New Roman" w:eastAsia="Times New Roman" w:hAnsi="Times New Roman"/>
          <w:sz w:val="21"/>
          <w:szCs w:val="21"/>
          <w:color w:val="auto"/>
          <w:vertAlign w:val="superscript"/>
        </w:rPr>
        <w:t>(i)</w:t>
      </w:r>
    </w:p>
    <w:p>
      <w:pPr>
        <w:spacing w:after="0" w:line="24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Commingled funds </w:t>
      </w:r>
      <w:r>
        <w:rPr>
          <w:rFonts w:ascii="Times New Roman" w:cs="Times New Roman" w:eastAsia="Times New Roman" w:hAnsi="Times New Roman"/>
          <w:sz w:val="21"/>
          <w:szCs w:val="21"/>
          <w:color w:val="auto"/>
          <w:vertAlign w:val="superscript"/>
        </w:rPr>
        <w:t>(i) (ii)</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Hedge funds </w:t>
      </w:r>
      <w:r>
        <w:rPr>
          <w:rFonts w:ascii="Times New Roman" w:cs="Times New Roman" w:eastAsia="Times New Roman" w:hAnsi="Times New Roman"/>
          <w:sz w:val="21"/>
          <w:szCs w:val="21"/>
          <w:color w:val="auto"/>
          <w:vertAlign w:val="superscript"/>
        </w:rPr>
        <w:t>(i) (iii)</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1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Derivative financial instruments </w:t>
      </w:r>
      <w:r>
        <w:rPr>
          <w:rFonts w:ascii="Times New Roman" w:cs="Times New Roman" w:eastAsia="Times New Roman" w:hAnsi="Times New Roman"/>
          <w:sz w:val="21"/>
          <w:szCs w:val="21"/>
          <w:color w:val="auto"/>
          <w:vertAlign w:val="superscript"/>
        </w:rPr>
        <w:t>(iv)</w:t>
      </w:r>
    </w:p>
    <w:p>
      <w:pPr>
        <w:spacing w:after="0" w:line="10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3"/>
          <w:szCs w:val="13"/>
          <w:b w:val="1"/>
          <w:bCs w:val="1"/>
          <w:color w:val="auto"/>
        </w:rPr>
        <w:t>Balance Sheet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18415</wp:posOffset>
            </wp:positionV>
            <wp:extent cx="7132320" cy="15430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-205740</wp:posOffset>
            </wp:positionV>
            <wp:extent cx="7132320" cy="2057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20574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color w:val="auto"/>
        </w:rPr>
        <w:t>Fiduciary assets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-95885</wp:posOffset>
            </wp:positionV>
            <wp:extent cx="7132320" cy="1543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57785</wp:posOffset>
            </wp:positionV>
            <wp:extent cx="7132320" cy="1543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0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4"/>
          <w:szCs w:val="14"/>
          <w:color w:val="auto"/>
        </w:rPr>
        <w:t>Prepaid and other current assets and Other non-current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-7620</wp:posOffset>
            </wp:positionV>
            <wp:extent cx="7132320" cy="1543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Fair Value Measurements on a Recurring Basis at</w:t>
      </w:r>
    </w:p>
    <w:p>
      <w:pPr>
        <w:spacing w:after="0" w:line="1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6985</wp:posOffset>
            </wp:positionV>
            <wp:extent cx="26631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663190" cy="8255"/>
                    </a:xfrm>
                    <a:prstGeom prst="rect">
                      <a:avLst/>
                    </a:prstGeom>
                    <a:noFill/>
                  </pic:spPr>
                </pic:pic>
              </a:graphicData>
            </a:graphic>
          </wp:anchor>
        </w:drawing>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3"/>
                <w:szCs w:val="13"/>
                <w:b w:val="1"/>
                <w:bCs w:val="1"/>
                <w:color w:val="auto"/>
              </w:rPr>
              <w:t>Level 1</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Level 2</w:t>
            </w:r>
          </w:p>
        </w:tc>
        <w:tc>
          <w:tcPr>
            <w:tcW w:w="10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Level 3</w:t>
            </w:r>
          </w:p>
        </w:tc>
        <w:tc>
          <w:tcPr>
            <w:tcW w:w="3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762"/>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215</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9</w:t>
            </w:r>
          </w:p>
        </w:tc>
      </w:tr>
      <w:tr>
        <w:trPr>
          <w:trHeight w:val="243"/>
        </w:trPr>
        <w:tc>
          <w:tcPr>
            <w:tcW w:w="18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w:t>
            </w:r>
          </w:p>
        </w:tc>
      </w:tr>
      <w:tr>
        <w:trPr>
          <w:trHeight w:val="566"/>
        </w:trPr>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6</w:t>
            </w:r>
          </w:p>
        </w:tc>
        <w:tc>
          <w:tcPr>
            <w:tcW w:w="740" w:type="dxa"/>
            <w:vAlign w:val="bottom"/>
            <w:gridSpan w:val="2"/>
          </w:tcPr>
          <w:p>
            <w:pPr>
              <w:jc w:val="right"/>
              <w:ind w:right="47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6</w:t>
            </w:r>
          </w:p>
        </w:tc>
      </w:tr>
    </w:tbl>
    <w:p>
      <w:pPr>
        <w:spacing w:after="0" w:line="254" w:lineRule="exact"/>
        <w:rPr>
          <w:sz w:val="20"/>
          <w:szCs w:val="20"/>
          <w:color w:val="auto"/>
        </w:rPr>
      </w:pPr>
    </w:p>
    <w:p>
      <w:pPr>
        <w:sectPr>
          <w:pgSz w:w="11900" w:h="16838" w:orient="portrait"/>
          <w:cols w:equalWidth="0" w:num="3">
            <w:col w:w="2820" w:space="720"/>
            <w:col w:w="3140" w:space="360"/>
            <w:col w:w="4200"/>
          </w:cols>
          <w:pgMar w:left="320" w:top="999" w:right="339" w:bottom="1440" w:gutter="0" w:footer="0" w:header="0"/>
        </w:sectPr>
      </w:pPr>
    </w:p>
    <w:p>
      <w:pPr>
        <w:ind w:left="20"/>
        <w:spacing w:after="0"/>
        <w:rPr>
          <w:sz w:val="20"/>
          <w:szCs w:val="20"/>
          <w:color w:val="auto"/>
        </w:rPr>
      </w:pPr>
      <w:r>
        <w:rPr>
          <w:rFonts w:ascii="Times New Roman" w:cs="Times New Roman" w:eastAsia="Times New Roman" w:hAnsi="Times New Roman"/>
          <w:sz w:val="16"/>
          <w:szCs w:val="16"/>
          <w:i w:val="1"/>
          <w:iCs w:val="1"/>
          <w:color w:val="auto"/>
        </w:rPr>
        <w:t>Contingent consideration:</w:t>
      </w:r>
    </w:p>
    <w:p>
      <w:pPr>
        <w:spacing w:after="0" w:line="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6"/>
          <w:szCs w:val="16"/>
          <w:color w:val="auto"/>
        </w:rPr>
        <w:t xml:space="preserve">Contingent consideration </w:t>
      </w:r>
      <w:r>
        <w:rPr>
          <w:rFonts w:ascii="Times New Roman" w:cs="Times New Roman" w:eastAsia="Times New Roman" w:hAnsi="Times New Roman"/>
          <w:sz w:val="21"/>
          <w:szCs w:val="21"/>
          <w:color w:val="auto"/>
          <w:vertAlign w:val="superscript"/>
        </w:rPr>
        <w:t>(v)</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i w:val="1"/>
          <w:iCs w:val="1"/>
          <w:color w:val="auto"/>
        </w:rPr>
        <w:t>Derivatives:</w:t>
      </w:r>
    </w:p>
    <w:p>
      <w:pPr>
        <w:spacing w:after="0" w:line="3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5"/>
          <w:szCs w:val="15"/>
          <w:color w:val="auto"/>
        </w:rPr>
        <w:t xml:space="preserve">Derivative financial instruments </w:t>
      </w:r>
      <w:r>
        <w:rPr>
          <w:rFonts w:ascii="Times New Roman" w:cs="Times New Roman" w:eastAsia="Times New Roman" w:hAnsi="Times New Roman"/>
          <w:sz w:val="20"/>
          <w:szCs w:val="20"/>
          <w:color w:val="auto"/>
          <w:vertAlign w:val="superscript"/>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9505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85"/>
        </w:trPr>
        <w:tc>
          <w:tcPr>
            <w:tcW w:w="3380" w:type="dxa"/>
            <w:vAlign w:val="bottom"/>
          </w:tcPr>
          <w:p>
            <w:pPr>
              <w:spacing w:after="0"/>
              <w:rPr>
                <w:sz w:val="20"/>
                <w:szCs w:val="20"/>
                <w:color w:val="auto"/>
              </w:rPr>
            </w:pPr>
            <w:r>
              <w:rPr>
                <w:rFonts w:ascii="Times New Roman" w:cs="Times New Roman" w:eastAsia="Times New Roman" w:hAnsi="Times New Roman"/>
                <w:sz w:val="14"/>
                <w:szCs w:val="14"/>
                <w:color w:val="auto"/>
              </w:rPr>
              <w:t>Other current liabilities and Other non-current liabilities</w:t>
            </w:r>
          </w:p>
        </w:tc>
        <w:tc>
          <w:tcPr>
            <w:tcW w:w="5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5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-453390</wp:posOffset>
            </wp:positionV>
            <wp:extent cx="7132320" cy="1543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-2242185</wp:posOffset>
            </wp:positionH>
            <wp:positionV relativeFrom="paragraph">
              <wp:posOffset>-144780</wp:posOffset>
            </wp:positionV>
            <wp:extent cx="7132320" cy="15430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20" w:space="720"/>
            <w:col w:w="7700"/>
          </w:cols>
          <w:pgMar w:left="320" w:top="999" w:right="339" w:bottom="1440" w:gutter="0" w:footer="0" w:header="0"/>
          <w:type w:val="continuous"/>
        </w:sectPr>
      </w:pPr>
    </w:p>
    <w:p>
      <w:pPr>
        <w:spacing w:after="0" w:line="6" w:lineRule="exact"/>
        <w:rPr>
          <w:sz w:val="20"/>
          <w:szCs w:val="20"/>
          <w:color w:val="auto"/>
        </w:rPr>
      </w:pPr>
    </w:p>
    <w:p>
      <w:pPr>
        <w:ind w:left="280" w:right="220" w:hanging="272"/>
        <w:spacing w:after="0" w:line="251"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With the exception of the funds included in fiduciary assets, the majority of these balances are held as part of deferred compensation plans with related liabilities in other current liabilities and other non-current liabilities on the condensed consolidated balance sheets.</w:t>
      </w: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Global Equity Focus Fund, for which redemptions can occur on any business day, and require a minimum of one business day’s notice.</w:t>
      </w:r>
    </w:p>
    <w:p>
      <w:pPr>
        <w:spacing w:after="0" w:line="25"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Consists of the Towers Watson Alternative Credit Fund, for which the redemption period is generally quarterly, however requires a 50-day notice.</w:t>
      </w:r>
    </w:p>
    <w:p>
      <w:pPr>
        <w:spacing w:after="0" w:line="1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Note 9 — Derivative Financial Instruments for further information on our derivative investments.</w:t>
      </w:r>
    </w:p>
    <w:p>
      <w:pPr>
        <w:spacing w:after="0" w:line="27" w:lineRule="exact"/>
        <w:rPr>
          <w:rFonts w:ascii="Times New Roman" w:cs="Times New Roman" w:eastAsia="Times New Roman" w:hAnsi="Times New Roman"/>
          <w:sz w:val="14"/>
          <w:szCs w:val="14"/>
          <w:color w:val="auto"/>
        </w:rPr>
      </w:pPr>
    </w:p>
    <w:p>
      <w:pPr>
        <w:jc w:val="both"/>
        <w:ind w:left="280" w:right="40" w:hanging="272"/>
        <w:spacing w:after="0" w:line="229" w:lineRule="auto"/>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Probability weightings are based on our knowledge of the past and planned performance of the acquired entity to which the contingent consideration applies. The fair value weighted-average discount rates used in our material contingent consideration calculations were 13.00% and 13.28% at March 31, 2024 and December 31, 2023, respectively. The range of these discount rates was 11.00% - 13.80% at March 31, 2024. Using different probability weightings and discount rates could result in an increase or decrease of the contingent consideration payable.</w:t>
      </w:r>
    </w:p>
    <w:p>
      <w:pPr>
        <w:ind w:left="280" w:hanging="272"/>
        <w:spacing w:after="0"/>
        <w:tabs>
          <w:tab w:leader="none" w:pos="28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Consideration due to be paid across multiple years until 2029.</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change in fair value of the Level 3 liabilities: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Fair Value Measurements Using Significant Unobservable Inputs (Level 3)</w:t>
            </w:r>
          </w:p>
        </w:tc>
        <w:tc>
          <w:tcPr>
            <w:tcW w:w="2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March 31, 2024</w:t>
            </w:r>
          </w:p>
        </w:tc>
      </w:tr>
      <w:tr>
        <w:trPr>
          <w:trHeight w:val="239"/>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Obligations assumed</w:t>
            </w:r>
          </w:p>
        </w:tc>
        <w:tc>
          <w:tcPr>
            <w:tcW w:w="260" w:type="dxa"/>
            <w:vAlign w:val="bottom"/>
          </w:tcPr>
          <w:p>
            <w:pPr>
              <w:spacing w:after="0"/>
              <w:rPr>
                <w:sz w:val="20"/>
                <w:szCs w:val="20"/>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Payments</w:t>
            </w:r>
          </w:p>
        </w:tc>
        <w:tc>
          <w:tcPr>
            <w:tcW w:w="260" w:type="dxa"/>
            <w:vAlign w:val="bottom"/>
            <w:shd w:val="clear" w:color="auto" w:fill="CFF0FC"/>
          </w:tcPr>
          <w:p>
            <w:pPr>
              <w:spacing w:after="0"/>
              <w:rPr>
                <w:sz w:val="21"/>
                <w:szCs w:val="21"/>
                <w:color w:val="auto"/>
              </w:rPr>
            </w:pPr>
          </w:p>
        </w:tc>
        <w:tc>
          <w:tcPr>
            <w:tcW w:w="17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92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Realized and unrealized losses </w:t>
            </w:r>
            <w:r>
              <w:rPr>
                <w:rFonts w:ascii="Times New Roman" w:cs="Times New Roman" w:eastAsia="Times New Roman" w:hAnsi="Times New Roman"/>
                <w:sz w:val="24"/>
                <w:szCs w:val="24"/>
                <w:color w:val="auto"/>
                <w:vertAlign w:val="superscript"/>
              </w:rPr>
              <w:t>(i)</w:t>
            </w:r>
          </w:p>
        </w:tc>
        <w:tc>
          <w:tcPr>
            <w:tcW w:w="260" w:type="dxa"/>
            <w:vAlign w:val="bottom"/>
          </w:tcPr>
          <w:p>
            <w:pPr>
              <w:spacing w:after="0"/>
              <w:rPr>
                <w:sz w:val="21"/>
                <w:szCs w:val="21"/>
                <w:color w:val="auto"/>
              </w:rPr>
            </w:pPr>
          </w:p>
        </w:tc>
        <w:tc>
          <w:tcPr>
            <w:tcW w:w="1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9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exchange</w:t>
            </w:r>
          </w:p>
        </w:tc>
        <w:tc>
          <w:tcPr>
            <w:tcW w:w="260" w:type="dxa"/>
            <w:vAlign w:val="bottom"/>
            <w:tcBorders>
              <w:bottom w:val="single" w:sz="8" w:color="auto"/>
            </w:tcBorders>
            <w:shd w:val="clear" w:color="auto" w:fill="CFF0FC"/>
          </w:tcPr>
          <w:p>
            <w:pPr>
              <w:spacing w:after="0"/>
              <w:rPr>
                <w:sz w:val="21"/>
                <w:szCs w:val="21"/>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6"/>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2024</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740" w:hanging="272"/>
        <w:spacing w:after="0" w:line="258" w:lineRule="auto"/>
        <w:tabs>
          <w:tab w:leader="none" w:pos="28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Realized and unrealized losses include accretion and adjustments to contingent consideration liabilities, which are included within Interest expense and Other operating expenses, respectively, on the condensed consolidated statements of comprehensive income.</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significant transfers to or from Level 3 in the three months ended March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information about financial instruments not measured at fair value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assets and liabilities not measured at fair value on a recurring basis at March 31, 2024 and December 31,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7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60" w:type="dxa"/>
            <w:vAlign w:val="bottom"/>
          </w:tcPr>
          <w:p>
            <w:pPr>
              <w:spacing w:after="0"/>
              <w:rPr>
                <w:sz w:val="14"/>
                <w:szCs w:val="14"/>
                <w:color w:val="auto"/>
              </w:rPr>
            </w:pPr>
          </w:p>
        </w:tc>
        <w:tc>
          <w:tcPr>
            <w:tcW w:w="1240" w:type="dxa"/>
            <w:vAlign w:val="bottom"/>
            <w:tcBorders>
              <w:bottom w:val="single" w:sz="8" w:color="auto"/>
            </w:tcBorders>
            <w:gridSpan w:val="2"/>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note receivable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73</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67</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r>
      <w:tr>
        <w:trPr>
          <w:trHeight w:val="24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shd w:val="clear" w:color="auto" w:fill="CFF0FC"/>
          </w:tcPr>
          <w:p>
            <w:pPr>
              <w:spacing w:after="0"/>
              <w:rPr>
                <w:sz w:val="21"/>
                <w:szCs w:val="21"/>
                <w:color w:val="auto"/>
              </w:rPr>
            </w:pPr>
          </w:p>
        </w:tc>
        <w:tc>
          <w:tcPr>
            <w:tcW w:w="1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r>
      <w:tr>
        <w:trPr>
          <w:trHeight w:val="238"/>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7"/>
              <w:spacing w:after="0"/>
              <w:rPr>
                <w:sz w:val="20"/>
                <w:szCs w:val="20"/>
                <w:color w:val="auto"/>
              </w:rPr>
            </w:pPr>
            <w:r>
              <w:rPr>
                <w:rFonts w:ascii="Times New Roman" w:cs="Times New Roman" w:eastAsia="Times New Roman" w:hAnsi="Times New Roman"/>
                <w:sz w:val="18"/>
                <w:szCs w:val="18"/>
                <w:color w:val="auto"/>
              </w:rPr>
              <w:t>650</w:t>
            </w:r>
          </w:p>
        </w:tc>
        <w:tc>
          <w:tcPr>
            <w:tcW w:w="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648</w:t>
            </w:r>
          </w:p>
        </w:tc>
        <w:tc>
          <w:tcPr>
            <w:tcW w:w="540" w:type="dxa"/>
            <w:vAlign w:val="bottom"/>
            <w:gridSpan w:val="2"/>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645</w:t>
            </w: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8"/>
                <w:szCs w:val="18"/>
                <w:color w:val="auto"/>
              </w:rPr>
              <w:t>5,307</w:t>
            </w:r>
          </w:p>
        </w:tc>
        <w:tc>
          <w:tcPr>
            <w:tcW w:w="3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5,066</w:t>
            </w:r>
          </w:p>
        </w:tc>
        <w:tc>
          <w:tcPr>
            <w:tcW w:w="54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3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4,359</w:t>
            </w:r>
          </w:p>
        </w:tc>
      </w:tr>
    </w:tbl>
    <w:p>
      <w:pPr>
        <w:spacing w:after="0" w:line="184"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The carrying value of our revolving credit facility approximates its fair value. The fair values above, which exclude accrued interest, are not necessarily indicative of the amounts that the Company would realize upon disposition, nor do they indicate the Company’s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22" w:name="page23"/>
    <w:bookmarkEnd w:id="22"/>
    <w:p>
      <w:pPr>
        <w:ind w:right="140"/>
        <w:spacing w:after="0" w:line="281" w:lineRule="auto"/>
        <w:rPr>
          <w:sz w:val="20"/>
          <w:szCs w:val="20"/>
          <w:color w:val="auto"/>
        </w:rPr>
      </w:pPr>
      <w:r>
        <w:rPr>
          <w:rFonts w:ascii="Times New Roman" w:cs="Times New Roman" w:eastAsia="Times New Roman" w:hAnsi="Times New Roman"/>
          <w:sz w:val="18"/>
          <w:szCs w:val="18"/>
          <w:color w:val="auto"/>
        </w:rPr>
        <w:t>intent or ability to dispose of the financial instruments. The fair values of our respective senior notes and long-term note receivable are considered Level 2 financial instruments as they are corroborated by observable market data.</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Retirement Benefits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Benefit Plans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WTW sponsors both qualified and non-qualified defined benefit pension plans throughout the world. The majority of our plan assets and obligations are in the U.S. and the U.K. We have also included disclosures related to defined benefit plans in certain other countries, including Canada, France, Germany, Switzerland and Ireland. Together, these disclosed funded and unfunded plans represent 98% of WTW’s pension obligations and are disclosed herein.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Components of Net Periodic Benefit (Income)/Cost for Defined Benefit Pension Plans</w:t>
      </w:r>
    </w:p>
    <w:p>
      <w:pPr>
        <w:spacing w:after="0" w:line="173"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components of net periodic benefit (income)/cost for the Company’s defined benefit pension plans for the three months ended March 31, 2024 and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4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69"/>
        </w:trPr>
        <w:tc>
          <w:tcPr>
            <w:tcW w:w="46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69"/>
        </w:trPr>
        <w:tc>
          <w:tcPr>
            <w:tcW w:w="464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U.S.</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U.K.</w:t>
            </w:r>
          </w:p>
        </w:tc>
        <w:tc>
          <w:tcPr>
            <w:tcW w:w="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U.K.</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r>
      <w:tr>
        <w:trPr>
          <w:trHeight w:val="223"/>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Service cost</w:t>
            </w:r>
          </w:p>
        </w:tc>
        <w:tc>
          <w:tcPr>
            <w:tcW w:w="640" w:type="dxa"/>
            <w:vAlign w:val="bottom"/>
            <w:shd w:val="clear" w:color="auto" w:fill="CFF0FC"/>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11</w:t>
            </w:r>
          </w:p>
        </w:tc>
        <w:tc>
          <w:tcPr>
            <w:tcW w:w="76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4</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w:t>
            </w:r>
          </w:p>
        </w:tc>
        <w:tc>
          <w:tcPr>
            <w:tcW w:w="3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w:t>
            </w:r>
          </w:p>
        </w:tc>
        <w:tc>
          <w:tcPr>
            <w:tcW w:w="640" w:type="dxa"/>
            <w:vAlign w:val="bottom"/>
          </w:tcPr>
          <w:p>
            <w:pPr>
              <w:spacing w:after="0"/>
              <w:rPr>
                <w:sz w:val="19"/>
                <w:szCs w:val="19"/>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49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7</w:t>
            </w:r>
          </w:p>
        </w:tc>
      </w:tr>
      <w:tr>
        <w:trPr>
          <w:trHeight w:val="239"/>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w:t>
            </w:r>
          </w:p>
        </w:tc>
        <w:tc>
          <w:tcPr>
            <w:tcW w:w="64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1"/>
              </w:rPr>
              <w:t>(10 )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1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1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(9 )</w:t>
            </w:r>
          </w:p>
        </w:tc>
      </w:tr>
      <w:tr>
        <w:trPr>
          <w:trHeight w:val="220"/>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net loss</w:t>
            </w:r>
          </w:p>
        </w:tc>
        <w:tc>
          <w:tcPr>
            <w:tcW w:w="640" w:type="dxa"/>
            <w:vAlign w:val="bottom"/>
          </w:tcPr>
          <w:p>
            <w:pPr>
              <w:spacing w:after="0"/>
              <w:rPr>
                <w:sz w:val="19"/>
                <w:szCs w:val="19"/>
                <w:color w:val="auto"/>
              </w:rPr>
            </w:pPr>
          </w:p>
        </w:tc>
        <w:tc>
          <w:tcPr>
            <w:tcW w:w="4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32"/>
        </w:trPr>
        <w:tc>
          <w:tcPr>
            <w:tcW w:w="4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w:t>
            </w:r>
          </w:p>
        </w:tc>
        <w:tc>
          <w:tcPr>
            <w:tcW w:w="640" w:type="dxa"/>
            <w:vAlign w:val="bottom"/>
            <w:tcBorders>
              <w:bottom w:val="single" w:sz="8" w:color="auto"/>
            </w:tcBorders>
            <w:shd w:val="clear" w:color="auto" w:fill="CFF0FC"/>
          </w:tcPr>
          <w:p>
            <w:pPr>
              <w:spacing w:after="0"/>
              <w:rPr>
                <w:sz w:val="20"/>
                <w:szCs w:val="20"/>
                <w:color w:val="auto"/>
              </w:rPr>
            </w:pPr>
          </w:p>
        </w:tc>
        <w:tc>
          <w:tcPr>
            <w:tcW w:w="40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640" w:type="dxa"/>
            <w:vAlign w:val="bottom"/>
            <w:tcBorders>
              <w:bottom w:val="single" w:sz="8" w:color="auto"/>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820" w:type="dxa"/>
            <w:vAlign w:val="bottom"/>
            <w:tcBorders>
              <w:bottom w:val="single" w:sz="8" w:color="auto"/>
            </w:tcBorders>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periodic benefit (income)/cost</w:t>
            </w:r>
          </w:p>
        </w:tc>
        <w:tc>
          <w:tcPr>
            <w:tcW w:w="640" w:type="dxa"/>
            <w:vAlign w:val="bottom"/>
          </w:tcPr>
          <w:p>
            <w:pPr>
              <w:jc w:val="right"/>
              <w:ind w:right="482"/>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76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76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4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-179070</wp:posOffset>
            </wp:positionV>
            <wp:extent cx="768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4328795</wp:posOffset>
            </wp:positionH>
            <wp:positionV relativeFrom="paragraph">
              <wp:posOffset>-179070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-179070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-179070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-179070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 to Defined Benefit Pension Plans</w:t>
      </w:r>
    </w:p>
    <w:p>
      <w:pPr>
        <w:spacing w:after="0" w:line="173"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The Company did not make any contributions to its U.S. plans during the three months ended March 31, 2024 and currently does not anticipate making contributions over the remainder of the fiscal year. The Company made contributions of $1 million to its U.K. plans for the three months ended March 31, 2024 and anticipates making additional contributions of $1 million for the remainder of the fiscal year. The Company made contributions of $9 million to its other plans for the three months ended March 31, 2024 and anticipates making additional contributions of $6 million for the remainder of the fiscal year.</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Plans</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 made contributions to its defined contribution plans of $43 million and $40 million during the three months ended March 31, 2024 and 2023, respectively.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17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The following table presents lease costs recorded on our condensed consolidated statements of comprehensive income for the three months ended March 31, 2024 and 2023:</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40" w:type="dxa"/>
            <w:vAlign w:val="bottom"/>
          </w:tcPr>
          <w:p>
            <w:pPr>
              <w:spacing w:after="0"/>
              <w:rPr>
                <w:sz w:val="16"/>
                <w:szCs w:val="16"/>
                <w:color w:val="auto"/>
              </w:rPr>
            </w:pPr>
          </w:p>
        </w:tc>
        <w:tc>
          <w:tcPr>
            <w:tcW w:w="324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223"/>
        </w:trPr>
        <w:tc>
          <w:tcPr>
            <w:tcW w:w="7440" w:type="dxa"/>
            <w:vAlign w:val="bottom"/>
          </w:tcPr>
          <w:p>
            <w:pPr>
              <w:spacing w:after="0"/>
              <w:rPr>
                <w:sz w:val="19"/>
                <w:szCs w:val="19"/>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Pr>
          <w:p>
            <w:pPr>
              <w:spacing w:after="0"/>
              <w:rPr>
                <w:sz w:val="19"/>
                <w:szCs w:val="19"/>
                <w:color w:val="auto"/>
              </w:rPr>
            </w:pPr>
          </w:p>
        </w:tc>
        <w:tc>
          <w:tcPr>
            <w:tcW w:w="140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9"/>
                <w:szCs w:val="19"/>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12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r>
      <w:tr>
        <w:trPr>
          <w:trHeight w:val="238"/>
        </w:trPr>
        <w:tc>
          <w:tcPr>
            <w:tcW w:w="74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4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1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260" w:type="dxa"/>
            <w:vAlign w:val="bottom"/>
          </w:tcPr>
          <w:p>
            <w:pPr>
              <w:spacing w:after="0"/>
              <w:rPr>
                <w:sz w:val="20"/>
                <w:szCs w:val="20"/>
                <w:color w:val="auto"/>
              </w:rPr>
            </w:pPr>
          </w:p>
        </w:tc>
        <w:tc>
          <w:tcPr>
            <w:tcW w:w="5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42</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r>
      <w:tr>
        <w:trPr>
          <w:trHeight w:val="247"/>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126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w:t>
            </w:r>
          </w:p>
        </w:tc>
      </w:tr>
      <w:tr>
        <w:trPr>
          <w:trHeight w:val="238"/>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126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76"/>
        </w:trPr>
        <w:tc>
          <w:tcPr>
            <w:tcW w:w="74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lease cost, net</w:t>
            </w:r>
          </w:p>
        </w:tc>
        <w:tc>
          <w:tcPr>
            <w:tcW w:w="1260" w:type="dxa"/>
            <w:vAlign w:val="bottom"/>
            <w:tcBorders>
              <w:bottom w:val="single" w:sz="8" w:color="auto"/>
            </w:tcBorders>
            <w:shd w:val="clear" w:color="auto" w:fill="CCEEFF"/>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52</w:t>
            </w:r>
          </w:p>
        </w:tc>
        <w:tc>
          <w:tcPr>
            <w:tcW w:w="160" w:type="dxa"/>
            <w:vAlign w:val="bottom"/>
            <w:tcBorders>
              <w:bottom w:val="single" w:sz="8" w:color="CCEEFF"/>
            </w:tcBorders>
            <w:shd w:val="clear" w:color="auto" w:fill="CCEEFF"/>
          </w:tcPr>
          <w:p>
            <w:pPr>
              <w:spacing w:after="0"/>
              <w:rPr>
                <w:sz w:val="24"/>
                <w:szCs w:val="24"/>
                <w:color w:val="auto"/>
              </w:rPr>
            </w:pPr>
          </w:p>
        </w:tc>
        <w:tc>
          <w:tcPr>
            <w:tcW w:w="1240" w:type="dxa"/>
            <w:vAlign w:val="bottom"/>
            <w:tcBorders>
              <w:bottom w:val="single" w:sz="8" w:color="auto"/>
            </w:tcBorders>
            <w:shd w:val="clear" w:color="auto" w:fill="CCEEFF"/>
          </w:tcPr>
          <w:p>
            <w:pPr>
              <w:jc w:val="right"/>
              <w:ind w:right="103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11112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1112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color w:val="auto"/>
        </w:rPr>
        <w:t xml:space="preserve">The total lease cost is recognized in different locations in our condensed consolidated statements of comprehensive income. Amortization of the finance lease ROU assets is included in depreciation, while the interest cost component of these finance leases is included in interest expense. All other costs are included in other operating expenses, with the exception of $15 million and $1 million incurred during the three months ended March 31, 2024 and 2023, respectively, that were included in restructuring costs (see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Restructuring Costs) that primarily related to the acceleration of amortization of certain abandoned ROU assets and the payment of early termination fees.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w:t>
      </w:r>
    </w:p>
    <w:p>
      <w:pPr>
        <w:spacing w:after="0" w:line="1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WTW has various agreements which provide that it may be obligated to indemnify the other party to the agreement with respect to certain matters. Generally, these indemnification provisions are included in contracts arising in the normal course of business and in connection with the purchase and sale of certain businesses, including the disposal of Willis Re. It is not possible to predict the maximum potential amount of future payments that may become due under these indemnification agreements because of the conditional nature of the Company’s obligations and the unique facts of each particular agreement. However, we do not believe that any potential liability that may arise from such indemnity provisions is probable or material.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ind w:right="320"/>
        <w:spacing w:after="0" w:line="265"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various actual and potential claims, lawsuits and other proceedings. Some of the claims, lawsuits and other proceedings seek damages in amounts which could, if assessed, be significant. The Company also receives subpoenas in the ordinary course of business and, from time to time, receives requests for information in connection with governmental investigations.</w:t>
      </w:r>
    </w:p>
    <w:p>
      <w:pPr>
        <w:spacing w:after="0" w:line="12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Errors and omissions claims, lawsuits, and other proceedings arising in the ordinary course of business are covered in part by professional indemnity or other appropriate insurance. The terms of this insurance vary by policy year. Regarding self-insured risks, the Company has established provisions which are believed to be adequate in light of current information and legal advice, or, in certain cases, where a range of loss exists, the Company accrues the minimum amount in the range if no amount within the range is a better estimate than any other amount. The Company adjusts such provisions from time to time according to developments. See Note 15 </w:t>
      </w:r>
      <w:r>
        <w:rPr>
          <w:rFonts w:ascii="Times New Roman" w:cs="Times New Roman" w:eastAsia="Times New Roman" w:hAnsi="Times New Roman"/>
          <w:sz w:val="14"/>
          <w:szCs w:val="14"/>
          <w:color w:val="auto"/>
        </w:rPr>
        <w:t>—</w:t>
      </w:r>
      <w:r>
        <w:rPr>
          <w:rFonts w:ascii="Times New Roman" w:cs="Times New Roman" w:eastAsia="Times New Roman" w:hAnsi="Times New Roman"/>
          <w:sz w:val="18"/>
          <w:szCs w:val="18"/>
          <w:color w:val="auto"/>
        </w:rPr>
        <w:t xml:space="preserve"> Supplementary Information for Certain Balance Sheet Accounts for the amounts accrued at March 31, 2024 and December 31, 2023 in the condensed consolidated balance sheets.</w:t>
      </w:r>
    </w:p>
    <w:p>
      <w:pPr>
        <w:spacing w:after="0" w:line="13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the basis of current information, the Company does not expect that the actual claims, lawsuits and other proceedings to which it is subject, or potential claims, lawsuits, and other proceedings relating to matters of which it is aware, will ultimately have a material adverse effect on its financial condition, results of operations or liquidity. Nonetheless, given the large or indeterminate amounts sought in certain of these actions, and the inherent unpredictability of litigation and disputes with insurance companies, it is possible that an adverse outcome or settlement in certain matters could, from time to time, have a material adverse effect on the Company’s results of operations or cash flows in a particular quarterly or annual period.</w:t>
      </w:r>
    </w:p>
    <w:p>
      <w:pPr>
        <w:spacing w:after="0" w:line="126"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 xml:space="preserve">The Company provides for contingent liabilities based on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xml:space="preserve"> when it is determined that a liability, inclusive of defense costs, is probable and reasonably estimable. The contingent liabilities recorded are primarily developed actuarially. Litigation is subject to many factors which are difficult to predict so there can be no assurance that in the event of a material unfavorable result in one or more claims, we will not incur material costs.</w:t>
      </w:r>
    </w:p>
    <w:p>
      <w:pPr>
        <w:spacing w:after="0" w:line="317" w:lineRule="exact"/>
        <w:rPr>
          <w:sz w:val="20"/>
          <w:szCs w:val="20"/>
          <w:color w:val="auto"/>
        </w:rPr>
      </w:pPr>
    </w:p>
    <w:p>
      <w:pPr>
        <w:ind w:right="5440"/>
        <w:spacing w:after="0" w:line="436" w:lineRule="auto"/>
        <w:rPr>
          <w:sz w:val="20"/>
          <w:szCs w:val="20"/>
          <w:color w:val="auto"/>
        </w:rPr>
      </w:pPr>
      <w:r>
        <w:rPr>
          <w:rFonts w:ascii="Times New Roman" w:cs="Times New Roman" w:eastAsia="Times New Roman" w:hAnsi="Times New Roman"/>
          <w:sz w:val="18"/>
          <w:szCs w:val="18"/>
          <w:b w:val="1"/>
          <w:bCs w:val="1"/>
          <w:color w:val="auto"/>
        </w:rPr>
        <w:t xml:space="preserve">Note 15 — Supplementary Information for Certain Balance Sheet Accounts </w:t>
      </w:r>
      <w:r>
        <w:rPr>
          <w:rFonts w:ascii="Times New Roman" w:cs="Times New Roman" w:eastAsia="Times New Roman" w:hAnsi="Times New Roman"/>
          <w:sz w:val="18"/>
          <w:szCs w:val="18"/>
          <w:color w:val="auto"/>
        </w:rPr>
        <w:t>Additional details of specific balance sheet accounts are detailed below. Deferred revenue and accrued expenses consist of the following:</w:t>
      </w:r>
    </w:p>
    <w:tbl>
      <w:tblPr>
        <w:tblLayout w:type="fixed"/>
        <w:tblInd w:w="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14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tcPr>
          <w:p>
            <w:pPr>
              <w:jc w:val="right"/>
              <w:ind w:right="375"/>
              <w:spacing w:after="0" w:line="151"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488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1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accrued liabilities and deferred revenue</w:t>
            </w:r>
          </w:p>
        </w:tc>
        <w:tc>
          <w:tcPr>
            <w:tcW w:w="39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1,106</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1,073</w:t>
            </w: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discretionary and incentive compensation</w:t>
            </w:r>
          </w:p>
        </w:tc>
        <w:tc>
          <w:tcPr>
            <w:tcW w:w="2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266</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795</w:t>
            </w:r>
          </w:p>
        </w:tc>
      </w:tr>
      <w:tr>
        <w:trPr>
          <w:trHeight w:val="24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vacation</w:t>
            </w:r>
          </w:p>
        </w:tc>
        <w:tc>
          <w:tcPr>
            <w:tcW w:w="282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150</w:t>
            </w:r>
          </w:p>
        </w:tc>
      </w:tr>
      <w:tr>
        <w:trPr>
          <w:trHeight w:val="243"/>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employee-related liabilities</w:t>
            </w:r>
          </w:p>
        </w:tc>
        <w:tc>
          <w:tcPr>
            <w:tcW w:w="2820" w:type="dxa"/>
            <w:vAlign w:val="bottom"/>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83</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86</w:t>
            </w:r>
          </w:p>
        </w:tc>
      </w:tr>
      <w:tr>
        <w:trPr>
          <w:trHeight w:val="27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deferred revenue and accrued expenses</w:t>
            </w:r>
          </w:p>
        </w:tc>
        <w:tc>
          <w:tcPr>
            <w:tcW w:w="396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1,638</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2,104</w:t>
            </w:r>
          </w:p>
        </w:tc>
      </w:tr>
      <w:tr>
        <w:trPr>
          <w:trHeight w:val="843"/>
        </w:trPr>
        <w:tc>
          <w:tcPr>
            <w:tcW w:w="4880" w:type="dxa"/>
            <w:vAlign w:val="bottom"/>
            <w:tcBorders>
              <w:top w:val="single" w:sz="8" w:color="CFF0FC"/>
            </w:tcBorders>
          </w:tcPr>
          <w:p>
            <w:pPr>
              <w:spacing w:after="0"/>
              <w:rPr>
                <w:sz w:val="24"/>
                <w:szCs w:val="24"/>
                <w:color w:val="auto"/>
              </w:rPr>
            </w:pPr>
          </w:p>
        </w:tc>
        <w:tc>
          <w:tcPr>
            <w:tcW w:w="2820" w:type="dxa"/>
            <w:vAlign w:val="bottom"/>
            <w:tcBorders>
              <w:top w:val="single" w:sz="8" w:color="CFF0FC"/>
            </w:tcBorders>
          </w:tcPr>
          <w:p>
            <w:pPr>
              <w:jc w:val="right"/>
              <w:ind w:right="1890"/>
              <w:spacing w:after="0"/>
              <w:rPr>
                <w:sz w:val="20"/>
                <w:szCs w:val="20"/>
                <w:color w:val="auto"/>
              </w:rPr>
            </w:pPr>
            <w:r>
              <w:rPr>
                <w:rFonts w:ascii="Times New Roman" w:cs="Times New Roman" w:eastAsia="Times New Roman" w:hAnsi="Times New Roman"/>
                <w:sz w:val="18"/>
                <w:szCs w:val="18"/>
                <w:color w:val="auto"/>
              </w:rPr>
              <w:t>24</w:t>
            </w:r>
          </w:p>
        </w:tc>
        <w:tc>
          <w:tcPr>
            <w:tcW w:w="1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420" w:type="dxa"/>
            <w:vAlign w:val="bottom"/>
            <w:tcBorders>
              <w:top w:val="single" w:sz="8" w:color="auto"/>
            </w:tcBorders>
          </w:tcPr>
          <w:p>
            <w:pPr>
              <w:spacing w:after="0"/>
              <w:rPr>
                <w:sz w:val="24"/>
                <w:szCs w:val="24"/>
                <w:color w:val="auto"/>
              </w:rPr>
            </w:pPr>
          </w:p>
        </w:tc>
      </w:tr>
      <w:tr>
        <w:trPr>
          <w:trHeight w:val="101"/>
        </w:trPr>
        <w:tc>
          <w:tcPr>
            <w:tcW w:w="488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4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-650240</wp:posOffset>
            </wp:positionV>
            <wp:extent cx="12001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-633095</wp:posOffset>
            </wp:positionV>
            <wp:extent cx="1200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Other current liabilities consist of the following:</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6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13"/>
                <w:szCs w:val="13"/>
                <w:color w:val="auto"/>
              </w:rPr>
            </w:pPr>
          </w:p>
        </w:tc>
      </w:tr>
      <w:tr>
        <w:trPr>
          <w:trHeight w:val="187"/>
        </w:trPr>
        <w:tc>
          <w:tcPr>
            <w:tcW w:w="770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Borders>
              <w:bottom w:val="single" w:sz="8" w:color="auto"/>
            </w:tcBorders>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120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420" w:type="dxa"/>
            <w:vAlign w:val="bottom"/>
            <w:gridSpan w:val="2"/>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compensation plan liabilities</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Contingent and deferred consideration on acquisitions</w:t>
            </w: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retirement benefits</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31</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Payroll and other benefits-related liabilities</w:t>
            </w: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267</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166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taxes payable</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63</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Third-party commissions</w:t>
            </w: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106</w:t>
            </w: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current liabilities</w:t>
            </w:r>
          </w:p>
        </w:tc>
        <w:tc>
          <w:tcPr>
            <w:tcW w:w="120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767</w:t>
            </w:r>
          </w:p>
        </w:tc>
        <w:tc>
          <w:tcPr>
            <w:tcW w:w="1420" w:type="dxa"/>
            <w:vAlign w:val="bottom"/>
            <w:gridSpan w:val="2"/>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678</w:t>
            </w:r>
          </w:p>
        </w:tc>
      </w:tr>
      <w:tr>
        <w:trPr>
          <w:trHeight w:val="412"/>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Provision for liabilities consists of the following:</w:t>
            </w: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285"/>
        </w:trPr>
        <w:tc>
          <w:tcPr>
            <w:tcW w:w="7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20" w:type="dxa"/>
            <w:vAlign w:val="bottom"/>
          </w:tcPr>
          <w:p>
            <w:pPr>
              <w:spacing w:after="0"/>
              <w:rPr>
                <w:sz w:val="24"/>
                <w:szCs w:val="24"/>
                <w:color w:val="auto"/>
              </w:rPr>
            </w:pPr>
          </w:p>
        </w:tc>
      </w:tr>
      <w:tr>
        <w:trPr>
          <w:trHeight w:val="187"/>
        </w:trPr>
        <w:tc>
          <w:tcPr>
            <w:tcW w:w="7700" w:type="dxa"/>
            <w:vAlign w:val="bottom"/>
          </w:tcPr>
          <w:p>
            <w:pPr>
              <w:spacing w:after="0"/>
              <w:rPr>
                <w:sz w:val="16"/>
                <w:szCs w:val="16"/>
                <w:color w:val="auto"/>
              </w:rPr>
            </w:pPr>
          </w:p>
        </w:tc>
        <w:tc>
          <w:tcPr>
            <w:tcW w:w="1200" w:type="dxa"/>
            <w:vAlign w:val="bottom"/>
            <w:tcBorders>
              <w:bottom w:val="single" w:sz="8" w:color="auto"/>
            </w:tcBorders>
            <w:gridSpan w:val="2"/>
          </w:tcPr>
          <w:p>
            <w:pPr>
              <w:jc w:val="center"/>
              <w:ind w:left="3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Borders>
              <w:bottom w:val="single" w:sz="8" w:color="auto"/>
            </w:tcBorders>
          </w:tcPr>
          <w:p>
            <w:pPr>
              <w:jc w:val="center"/>
              <w:ind w:left="28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Borders>
              <w:bottom w:val="single" w:sz="8" w:color="auto"/>
            </w:tcBorders>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Claims, lawsuits and other proceedings</w:t>
            </w:r>
          </w:p>
        </w:tc>
        <w:tc>
          <w:tcPr>
            <w:tcW w:w="120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313</w:t>
            </w:r>
          </w:p>
        </w:tc>
        <w:tc>
          <w:tcPr>
            <w:tcW w:w="1420" w:type="dxa"/>
            <w:vAlign w:val="bottom"/>
            <w:gridSpan w:val="2"/>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provisions</w:t>
            </w:r>
          </w:p>
        </w:tc>
        <w:tc>
          <w:tcPr>
            <w:tcW w:w="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7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provision for liabilities</w:t>
            </w:r>
          </w:p>
        </w:tc>
        <w:tc>
          <w:tcPr>
            <w:tcW w:w="1200" w:type="dxa"/>
            <w:vAlign w:val="bottom"/>
            <w:gridSpan w:val="2"/>
            <w:shd w:val="clear" w:color="auto" w:fill="CFF0FC"/>
          </w:tcPr>
          <w:p>
            <w:pPr>
              <w:jc w:val="right"/>
              <w:ind w:right="100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377</w:t>
            </w:r>
          </w:p>
        </w:tc>
        <w:tc>
          <w:tcPr>
            <w:tcW w:w="1420" w:type="dxa"/>
            <w:vAlign w:val="bottom"/>
            <w:gridSpan w:val="2"/>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365</w:t>
            </w:r>
          </w:p>
        </w:tc>
      </w:tr>
      <w:tr>
        <w:trPr>
          <w:trHeight w:val="349"/>
        </w:trPr>
        <w:tc>
          <w:tcPr>
            <w:tcW w:w="77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Note 16 — Other Income, Net</w:t>
            </w:r>
          </w:p>
        </w:tc>
        <w:tc>
          <w:tcPr>
            <w:tcW w:w="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r>
      <w:tr>
        <w:trPr>
          <w:trHeight w:val="431"/>
        </w:trPr>
        <w:tc>
          <w:tcPr>
            <w:tcW w:w="77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 consists of the following:</w:t>
            </w:r>
          </w:p>
        </w:tc>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53"/>
        </w:trPr>
        <w:tc>
          <w:tcPr>
            <w:tcW w:w="7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80" w:type="dxa"/>
            <w:vAlign w:val="bottom"/>
            <w:gridSpan w:val="4"/>
          </w:tcPr>
          <w:p>
            <w:pPr>
              <w:jc w:val="right"/>
              <w:ind w:right="68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24"/>
                <w:szCs w:val="24"/>
                <w:color w:val="auto"/>
              </w:rPr>
            </w:pPr>
          </w:p>
        </w:tc>
      </w:tr>
      <w:tr>
        <w:trPr>
          <w:trHeight w:val="187"/>
        </w:trPr>
        <w:tc>
          <w:tcPr>
            <w:tcW w:w="7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3"/>
          </w:tcPr>
          <w:p>
            <w:pPr>
              <w:jc w:val="right"/>
              <w:ind w:right="100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20" w:type="dxa"/>
            <w:vAlign w:val="bottom"/>
            <w:tcBorders>
              <w:bottom w:val="single" w:sz="8" w:color="auto"/>
            </w:tcBorders>
          </w:tcPr>
          <w:p>
            <w:pPr>
              <w:spacing w:after="0"/>
              <w:rPr>
                <w:sz w:val="16"/>
                <w:szCs w:val="16"/>
                <w:color w:val="auto"/>
              </w:rPr>
            </w:pPr>
          </w:p>
        </w:tc>
      </w:tr>
      <w:tr>
        <w:trPr>
          <w:trHeight w:val="223"/>
        </w:trPr>
        <w:tc>
          <w:tcPr>
            <w:tcW w:w="7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60" w:type="dxa"/>
            <w:vAlign w:val="bottom"/>
            <w:tcBorders>
              <w:bottom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Borders>
              <w:bottom w:val="single" w:sz="8" w:color="auto"/>
            </w:tcBorders>
          </w:tcPr>
          <w:p>
            <w:pPr>
              <w:jc w:val="center"/>
              <w:ind w:left="24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20" w:type="dxa"/>
            <w:vAlign w:val="bottom"/>
            <w:tcBorders>
              <w:bottom w:val="single" w:sz="8" w:color="auto"/>
            </w:tcBorders>
          </w:tcPr>
          <w:p>
            <w:pPr>
              <w:spacing w:after="0"/>
              <w:rPr>
                <w:sz w:val="19"/>
                <w:szCs w:val="19"/>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periodic pension and postretirement benefit credits</w:t>
            </w:r>
          </w:p>
        </w:tc>
        <w:tc>
          <w:tcPr>
            <w:tcW w:w="1200" w:type="dxa"/>
            <w:vAlign w:val="bottom"/>
            <w:gridSpan w:val="2"/>
            <w:shd w:val="clear" w:color="auto" w:fill="CFF0FC"/>
          </w:tcPr>
          <w:p>
            <w:pPr>
              <w:jc w:val="right"/>
              <w:ind w:right="985"/>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22</w:t>
            </w:r>
          </w:p>
        </w:tc>
        <w:tc>
          <w:tcPr>
            <w:tcW w:w="1420" w:type="dxa"/>
            <w:vAlign w:val="bottom"/>
            <w:gridSpan w:val="2"/>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 earnings of associates and other investments</w:t>
            </w:r>
          </w:p>
        </w:tc>
        <w:tc>
          <w:tcPr>
            <w:tcW w:w="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0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47"/>
        </w:trPr>
        <w:tc>
          <w:tcPr>
            <w:tcW w:w="770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Foreign exchange gain/(loss) </w:t>
            </w:r>
            <w:r>
              <w:rPr>
                <w:rFonts w:ascii="Times New Roman" w:cs="Times New Roman" w:eastAsia="Times New Roman" w:hAnsi="Times New Roman"/>
                <w:sz w:val="24"/>
                <w:szCs w:val="24"/>
                <w:color w:val="auto"/>
                <w:vertAlign w:val="superscript"/>
              </w:rPr>
              <w:t>(i)</w:t>
            </w:r>
          </w:p>
        </w:tc>
        <w:tc>
          <w:tcPr>
            <w:tcW w:w="40" w:type="dxa"/>
            <w:vAlign w:val="bottom"/>
            <w:shd w:val="clear" w:color="auto" w:fill="CFF0FC"/>
          </w:tcPr>
          <w:p>
            <w:pPr>
              <w:spacing w:after="0"/>
              <w:rPr>
                <w:sz w:val="21"/>
                <w:szCs w:val="21"/>
                <w:color w:val="auto"/>
              </w:rPr>
            </w:pPr>
          </w:p>
        </w:tc>
        <w:tc>
          <w:tcPr>
            <w:tcW w:w="1160" w:type="dxa"/>
            <w:vAlign w:val="bottom"/>
            <w:shd w:val="clear" w:color="auto" w:fill="CFF0FC"/>
          </w:tcPr>
          <w:p>
            <w:pPr>
              <w:spacing w:after="0"/>
              <w:rPr>
                <w:sz w:val="21"/>
                <w:szCs w:val="21"/>
                <w:color w:val="auto"/>
              </w:rPr>
            </w:pPr>
          </w:p>
        </w:tc>
        <w:tc>
          <w:tcPr>
            <w:tcW w:w="50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40" w:type="dxa"/>
            <w:vAlign w:val="bottom"/>
            <w:tcBorders>
              <w:bottom w:val="single" w:sz="8" w:color="CFF0FC"/>
            </w:tcBorders>
            <w:shd w:val="clear" w:color="auto" w:fill="CFF0FC"/>
          </w:tcPr>
          <w:p>
            <w:pPr>
              <w:spacing w:after="0"/>
              <w:rPr>
                <w:sz w:val="24"/>
                <w:szCs w:val="24"/>
                <w:color w:val="auto"/>
              </w:rPr>
            </w:pPr>
          </w:p>
        </w:tc>
        <w:tc>
          <w:tcPr>
            <w:tcW w:w="1160" w:type="dxa"/>
            <w:vAlign w:val="bottom"/>
            <w:tcBorders>
              <w:bottom w:val="single" w:sz="8" w:color="auto"/>
            </w:tcBorders>
            <w:shd w:val="clear" w:color="auto" w:fill="CFF0FC"/>
          </w:tcPr>
          <w:p>
            <w:pPr>
              <w:jc w:val="right"/>
              <w:ind w:right="98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Borders>
              <w:bottom w:val="single" w:sz="8" w:color="CFF0FC"/>
            </w:tcBorders>
            <w:shd w:val="clear" w:color="auto" w:fill="CFF0FC"/>
          </w:tcPr>
          <w:p>
            <w:pPr>
              <w:spacing w:after="0"/>
              <w:rPr>
                <w:sz w:val="24"/>
                <w:szCs w:val="24"/>
                <w:color w:val="auto"/>
              </w:rPr>
            </w:pPr>
          </w:p>
        </w:tc>
        <w:tc>
          <w:tcPr>
            <w:tcW w:w="1240" w:type="dxa"/>
            <w:vAlign w:val="bottom"/>
            <w:tcBorders>
              <w:bottom w:val="single" w:sz="8" w:color="auto"/>
            </w:tcBorders>
            <w:shd w:val="clear" w:color="auto" w:fill="CFF0FC"/>
          </w:tcPr>
          <w:p>
            <w:pPr>
              <w:jc w:val="right"/>
              <w:ind w:right="106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-2919095</wp:posOffset>
            </wp:positionV>
            <wp:extent cx="1200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-2901950</wp:posOffset>
            </wp:positionV>
            <wp:extent cx="12001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-1840230</wp:posOffset>
            </wp:positionV>
            <wp:extent cx="12001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-1823085</wp:posOffset>
            </wp:positionV>
            <wp:extent cx="12001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the offsetting effects of the Company's foreign currency hedging program. See Note 9 — Derivative Financial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Accumulated Other Comprehensive Loss</w:t>
      </w:r>
    </w:p>
    <w:p>
      <w:pPr>
        <w:spacing w:after="0" w:line="175"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Changes in accumulated other comprehensive loss, net of non-controlling interests, and net of tax are provided in the following table for the three months ended March 31, 2024 and 2023. This table excludes amounts attributable to non-controlling interests, which are not material for further disclosure.</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2C2C2C"/>
              </w:rPr>
              <w:t>Foreign currency</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3"/>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2C2C2C"/>
              </w:rPr>
              <w:t>Derivative</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80" w:type="dxa"/>
            <w:vAlign w:val="bottom"/>
            <w:gridSpan w:val="4"/>
          </w:tcPr>
          <w:p>
            <w:pPr>
              <w:jc w:val="center"/>
              <w:ind w:right="161"/>
              <w:spacing w:after="0"/>
              <w:rPr>
                <w:sz w:val="20"/>
                <w:szCs w:val="20"/>
                <w:color w:val="auto"/>
              </w:rPr>
            </w:pPr>
            <w:r>
              <w:rPr>
                <w:rFonts w:ascii="Times New Roman" w:cs="Times New Roman" w:eastAsia="Times New Roman" w:hAnsi="Times New Roman"/>
                <w:sz w:val="14"/>
                <w:szCs w:val="14"/>
                <w:b w:val="1"/>
                <w:bCs w:val="1"/>
                <w:color w:val="2C2C2C"/>
              </w:rPr>
              <w:t>Defined pension and</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4"/>
          </w:tcPr>
          <w:p>
            <w:pPr>
              <w:jc w:val="center"/>
              <w:ind w:right="161"/>
              <w:spacing w:after="0" w:line="146" w:lineRule="exact"/>
              <w:rPr>
                <w:sz w:val="20"/>
                <w:szCs w:val="20"/>
                <w:color w:val="auto"/>
              </w:rPr>
            </w:pPr>
            <w:r>
              <w:rPr>
                <w:rFonts w:ascii="Times New Roman" w:cs="Times New Roman" w:eastAsia="Times New Roman" w:hAnsi="Times New Roman"/>
                <w:sz w:val="14"/>
                <w:szCs w:val="14"/>
                <w:b w:val="1"/>
                <w:bCs w:val="1"/>
                <w:color w:val="2C2C2C"/>
              </w:rPr>
              <w:t>post-retirement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2C2C2C"/>
                <w:w w:val="93"/>
              </w:rPr>
              <w:t>Total</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9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2C2C2C"/>
              </w:rPr>
              <w:t>translation</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164"/>
              <w:spacing w:after="0" w:line="189" w:lineRule="exact"/>
              <w:rPr>
                <w:sz w:val="20"/>
                <w:szCs w:val="20"/>
                <w:color w:val="auto"/>
              </w:rPr>
            </w:pPr>
            <w:r>
              <w:rPr>
                <w:rFonts w:ascii="Times New Roman" w:cs="Times New Roman" w:eastAsia="Times New Roman" w:hAnsi="Times New Roman"/>
                <w:sz w:val="14"/>
                <w:szCs w:val="14"/>
                <w:b w:val="1"/>
                <w:bCs w:val="1"/>
                <w:color w:val="2C2C2C"/>
              </w:rPr>
              <w:t xml:space="preserve">instruments </w:t>
            </w:r>
            <w:r>
              <w:rPr>
                <w:rFonts w:ascii="Times New Roman" w:cs="Times New Roman" w:eastAsia="Times New Roman" w:hAnsi="Times New Roman"/>
                <w:sz w:val="19"/>
                <w:szCs w:val="19"/>
                <w:b w:val="1"/>
                <w:bCs w:val="1"/>
                <w:color w:val="2C2C2C"/>
                <w:vertAlign w:val="superscript"/>
              </w:rPr>
              <w:t>(i)</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4"/>
          </w:tcPr>
          <w:p>
            <w:pPr>
              <w:jc w:val="center"/>
              <w:ind w:right="161"/>
              <w:spacing w:after="0"/>
              <w:rPr>
                <w:sz w:val="20"/>
                <w:szCs w:val="20"/>
                <w:color w:val="auto"/>
              </w:rPr>
            </w:pPr>
            <w:r>
              <w:rPr>
                <w:rFonts w:ascii="Times New Roman" w:cs="Times New Roman" w:eastAsia="Times New Roman" w:hAnsi="Times New Roman"/>
                <w:sz w:val="14"/>
                <w:szCs w:val="14"/>
                <w:b w:val="1"/>
                <w:bCs w:val="1"/>
                <w:color w:val="2C2C2C"/>
              </w:rPr>
              <w:t>benefit costs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9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61"/>
              <w:spacing w:after="0"/>
              <w:rPr>
                <w:sz w:val="20"/>
                <w:szCs w:val="20"/>
                <w:color w:val="auto"/>
              </w:rPr>
            </w:pPr>
            <w:r>
              <w:rPr>
                <w:rFonts w:ascii="Times New Roman" w:cs="Times New Roman" w:eastAsia="Times New Roman" w:hAnsi="Times New Roman"/>
                <w:sz w:val="14"/>
                <w:szCs w:val="14"/>
                <w:b w:val="1"/>
                <w:bCs w:val="1"/>
                <w:color w:val="2C2C2C"/>
                <w:w w:val="99"/>
              </w:rPr>
              <w:t>2023</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4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42"/>
              <w:spacing w:after="0"/>
              <w:rPr>
                <w:sz w:val="20"/>
                <w:szCs w:val="20"/>
                <w:color w:val="auto"/>
              </w:rPr>
            </w:pPr>
            <w:r>
              <w:rPr>
                <w:rFonts w:ascii="Times New Roman" w:cs="Times New Roman" w:eastAsia="Times New Roman" w:hAnsi="Times New Roman"/>
                <w:sz w:val="14"/>
                <w:szCs w:val="14"/>
                <w:b w:val="1"/>
                <w:bCs w:val="1"/>
                <w:color w:val="2C2C2C"/>
              </w:rPr>
              <w:t>2024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2C2C2C"/>
              </w:rPr>
              <w:t>2023</w:t>
            </w:r>
          </w:p>
        </w:tc>
        <w:tc>
          <w:tcPr>
            <w:tcW w:w="0" w:type="dxa"/>
            <w:vAlign w:val="bottom"/>
          </w:tcPr>
          <w:p>
            <w:pPr>
              <w:spacing w:after="0"/>
              <w:rPr>
                <w:sz w:val="1"/>
                <w:szCs w:val="1"/>
                <w:color w:val="auto"/>
              </w:rPr>
            </w:pPr>
          </w:p>
        </w:tc>
      </w:tr>
      <w:tr>
        <w:trPr>
          <w:trHeight w:val="223"/>
        </w:trPr>
        <w:tc>
          <w:tcPr>
            <w:tcW w:w="3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December 31, 2023 and 2022, respectively</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(816 )</w:t>
            </w:r>
          </w:p>
        </w:tc>
        <w:tc>
          <w:tcPr>
            <w:tcW w:w="34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(987 )</w:t>
            </w:r>
          </w:p>
        </w:tc>
        <w:tc>
          <w:tcPr>
            <w:tcW w:w="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11</w:t>
            </w:r>
          </w:p>
        </w:tc>
        <w:tc>
          <w:tcPr>
            <w:tcW w:w="660" w:type="dxa"/>
            <w:vAlign w:val="bottom"/>
            <w:gridSpan w:val="2"/>
            <w:shd w:val="clear" w:color="auto" w:fill="CFF0FC"/>
          </w:tcPr>
          <w:p>
            <w:pPr>
              <w:jc w:val="right"/>
              <w:ind w:right="364"/>
              <w:spacing w:after="0"/>
              <w:rPr>
                <w:sz w:val="20"/>
                <w:szCs w:val="20"/>
                <w:color w:val="auto"/>
              </w:rPr>
            </w:pPr>
            <w:r>
              <w:rPr>
                <w:rFonts w:ascii="Times New Roman" w:cs="Times New Roman" w:eastAsia="Times New Roman" w:hAnsi="Times New Roman"/>
                <w:sz w:val="16"/>
                <w:szCs w:val="16"/>
                <w:color w:val="2C2C2C"/>
              </w:rPr>
              <w:t>$</w:t>
            </w:r>
          </w:p>
        </w:tc>
        <w:tc>
          <w:tcPr>
            <w:tcW w:w="3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rPr>
              <w:t>9</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(2,051 )</w:t>
            </w: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(1,643 )</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(2,856 )</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(2,621 )</w:t>
            </w:r>
          </w:p>
        </w:tc>
        <w:tc>
          <w:tcPr>
            <w:tcW w:w="0" w:type="dxa"/>
            <w:vAlign w:val="bottom"/>
          </w:tcPr>
          <w:p>
            <w:pPr>
              <w:spacing w:after="0"/>
              <w:rPr>
                <w:sz w:val="1"/>
                <w:szCs w:val="1"/>
                <w:color w:val="auto"/>
              </w:rPr>
            </w:pPr>
          </w:p>
        </w:tc>
      </w:tr>
      <w:tr>
        <w:trPr>
          <w:trHeight w:val="139"/>
        </w:trPr>
        <w:tc>
          <w:tcPr>
            <w:tcW w:w="39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2C2C2C"/>
              </w:rPr>
              <w:t>Other comprehensive (loss)/income before</w:t>
            </w:r>
          </w:p>
        </w:tc>
        <w:tc>
          <w:tcPr>
            <w:tcW w:w="16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vMerge w:val="restart"/>
          </w:tcPr>
          <w:p>
            <w:pPr>
              <w:jc w:val="right"/>
              <w:ind w:right="61"/>
              <w:spacing w:after="0"/>
              <w:rPr>
                <w:sz w:val="20"/>
                <w:szCs w:val="20"/>
                <w:color w:val="auto"/>
              </w:rPr>
            </w:pPr>
            <w:r>
              <w:rPr>
                <w:rFonts w:ascii="Times New Roman" w:cs="Times New Roman" w:eastAsia="Times New Roman" w:hAnsi="Times New Roman"/>
                <w:sz w:val="16"/>
                <w:szCs w:val="16"/>
                <w:color w:val="2C2C2C"/>
              </w:rPr>
              <w:t>43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vMerge w:val="restart"/>
          </w:tcPr>
          <w:p>
            <w:pPr>
              <w:jc w:val="right"/>
              <w:ind w:right="63"/>
              <w:spacing w:after="0"/>
              <w:rPr>
                <w:sz w:val="20"/>
                <w:szCs w:val="20"/>
                <w:color w:val="auto"/>
              </w:rPr>
            </w:pPr>
            <w:r>
              <w:rPr>
                <w:rFonts w:ascii="Times New Roman" w:cs="Times New Roman" w:eastAsia="Times New Roman" w:hAnsi="Times New Roman"/>
                <w:sz w:val="16"/>
                <w:szCs w:val="16"/>
                <w:color w:val="2C2C2C"/>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(1 )</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41"/>
              <w:spacing w:after="0"/>
              <w:rPr>
                <w:sz w:val="20"/>
                <w:szCs w:val="20"/>
                <w:color w:val="auto"/>
              </w:rPr>
            </w:pPr>
            <w:r>
              <w:rPr>
                <w:rFonts w:ascii="Times New Roman" w:cs="Times New Roman" w:eastAsia="Times New Roman" w:hAnsi="Times New Roman"/>
                <w:sz w:val="16"/>
                <w:szCs w:val="16"/>
                <w:color w:val="2C2C2C"/>
              </w:rPr>
              <w:t>44</w:t>
            </w:r>
          </w:p>
        </w:tc>
        <w:tc>
          <w:tcPr>
            <w:tcW w:w="0" w:type="dxa"/>
            <w:vAlign w:val="bottom"/>
          </w:tcPr>
          <w:p>
            <w:pPr>
              <w:spacing w:after="0"/>
              <w:rPr>
                <w:sz w:val="1"/>
                <w:szCs w:val="1"/>
                <w:color w:val="auto"/>
              </w:rPr>
            </w:pPr>
          </w:p>
        </w:tc>
      </w:tr>
      <w:tr>
        <w:trPr>
          <w:trHeight w:val="185"/>
        </w:trPr>
        <w:tc>
          <w:tcPr>
            <w:tcW w:w="3920" w:type="dxa"/>
            <w:vAlign w:val="bottom"/>
          </w:tcPr>
          <w:p>
            <w:pPr>
              <w:ind w:left="120"/>
              <w:spacing w:after="0"/>
              <w:rPr>
                <w:sz w:val="20"/>
                <w:szCs w:val="20"/>
                <w:color w:val="auto"/>
              </w:rPr>
            </w:pPr>
            <w:r>
              <w:rPr>
                <w:rFonts w:ascii="Times New Roman" w:cs="Times New Roman" w:eastAsia="Times New Roman" w:hAnsi="Times New Roman"/>
                <w:sz w:val="14"/>
                <w:szCs w:val="14"/>
                <w:color w:val="2C2C2C"/>
              </w:rPr>
              <w:t>reclassifications</w:t>
            </w: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9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2C2C2C"/>
              </w:rPr>
              <w:t>Loss reclassified from accumulated other</w:t>
            </w: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2C2C2C"/>
              </w:rPr>
              <w:t>comprehensive loss (net of income tax benefit of</w:t>
            </w: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40" w:type="dxa"/>
            <w:vAlign w:val="bottom"/>
            <w:vMerge w:val="restart"/>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2C2C2C"/>
              </w:rPr>
              <w:t>—</w:t>
            </w:r>
          </w:p>
        </w:tc>
        <w:tc>
          <w:tcPr>
            <w:tcW w:w="1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4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300" w:type="dxa"/>
            <w:vAlign w:val="bottom"/>
            <w:vMerge w:val="restart"/>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80" w:type="dxa"/>
            <w:vAlign w:val="bottom"/>
            <w:vMerge w:val="restart"/>
            <w:shd w:val="clear" w:color="auto" w:fill="CFF0FC"/>
          </w:tcPr>
          <w:p>
            <w:pPr>
              <w:jc w:val="right"/>
              <w:ind w:right="63"/>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9</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660" w:type="dxa"/>
            <w:vAlign w:val="bottom"/>
            <w:vMerge w:val="restart"/>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14</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vMerge w:val="restart"/>
            <w:shd w:val="clear" w:color="auto" w:fill="CFF0FC"/>
          </w:tcPr>
          <w:p>
            <w:pPr>
              <w:jc w:val="right"/>
              <w:ind w:right="41"/>
              <w:spacing w:after="0"/>
              <w:rPr>
                <w:sz w:val="20"/>
                <w:szCs w:val="20"/>
                <w:color w:val="auto"/>
              </w:rPr>
            </w:pPr>
            <w:r>
              <w:rPr>
                <w:rFonts w:ascii="Times New Roman" w:cs="Times New Roman" w:eastAsia="Times New Roman" w:hAnsi="Times New Roman"/>
                <w:sz w:val="16"/>
                <w:szCs w:val="16"/>
                <w:color w:val="2C2C2C"/>
              </w:rPr>
              <w:t>9</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2C2C2C"/>
              </w:rPr>
              <w:t>$5 and $3, respectively)</w:t>
            </w: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2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30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600" w:type="dxa"/>
            <w:vAlign w:val="bottom"/>
            <w:tcBorders>
              <w:bottom w:val="single" w:sz="8" w:color="auto"/>
            </w:tcBorders>
            <w:vMerge w:val="continue"/>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920" w:type="dxa"/>
            <w:vAlign w:val="bottom"/>
          </w:tcPr>
          <w:p>
            <w:pPr>
              <w:ind w:left="20"/>
              <w:spacing w:after="0"/>
              <w:rPr>
                <w:sz w:val="20"/>
                <w:szCs w:val="20"/>
                <w:color w:val="auto"/>
              </w:rPr>
            </w:pPr>
            <w:r>
              <w:rPr>
                <w:rFonts w:ascii="Times New Roman" w:cs="Times New Roman" w:eastAsia="Times New Roman" w:hAnsi="Times New Roman"/>
                <w:sz w:val="14"/>
                <w:szCs w:val="14"/>
                <w:color w:val="2C2C2C"/>
              </w:rPr>
              <w:t>Net current-period other comprehensive (loss)/income</w:t>
            </w: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(63 )</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2C2C2C"/>
              </w:rPr>
              <w:t>43</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2C2C2C"/>
              </w:rPr>
              <w:t>—</w:t>
            </w:r>
          </w:p>
        </w:tc>
        <w:tc>
          <w:tcPr>
            <w:tcW w:w="14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2C2C2C"/>
              </w:rPr>
              <w:t>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6"/>
                <w:szCs w:val="16"/>
                <w:color w:val="2C2C2C"/>
              </w:rPr>
              <w:t>14</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8</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2C2C2C"/>
              </w:rPr>
              <w:t>(49 )</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2C2C2C"/>
              </w:rPr>
              <w:t>53</w:t>
            </w:r>
          </w:p>
        </w:tc>
        <w:tc>
          <w:tcPr>
            <w:tcW w:w="0" w:type="dxa"/>
            <w:vAlign w:val="bottom"/>
          </w:tcPr>
          <w:p>
            <w:pPr>
              <w:spacing w:after="0"/>
              <w:rPr>
                <w:sz w:val="1"/>
                <w:szCs w:val="1"/>
                <w:color w:val="auto"/>
              </w:rPr>
            </w:pPr>
          </w:p>
        </w:tc>
      </w:tr>
      <w:tr>
        <w:trPr>
          <w:trHeight w:val="263"/>
        </w:trPr>
        <w:tc>
          <w:tcPr>
            <w:tcW w:w="39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2C2C2C"/>
              </w:rPr>
              <w:t>Balance at March 31, 2024 and 2023, respectively</w:t>
            </w: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(879 )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(944 )</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2C2C2C"/>
              </w:rPr>
              <w:t>11</w:t>
            </w:r>
          </w:p>
        </w:tc>
        <w:tc>
          <w:tcPr>
            <w:tcW w:w="140" w:type="dxa"/>
            <w:vAlign w:val="bottom"/>
            <w:tcBorders>
              <w:bottom w:val="single" w:sz="8" w:color="CFF0FC"/>
            </w:tcBorders>
            <w:shd w:val="clear" w:color="auto" w:fill="CFF0FC"/>
          </w:tcPr>
          <w:p>
            <w:pPr>
              <w:spacing w:after="0"/>
              <w:rPr>
                <w:sz w:val="22"/>
                <w:szCs w:val="22"/>
                <w:color w:val="auto"/>
              </w:rPr>
            </w:pPr>
          </w:p>
        </w:tc>
        <w:tc>
          <w:tcPr>
            <w:tcW w:w="520" w:type="dxa"/>
            <w:vAlign w:val="bottom"/>
            <w:tcBorders>
              <w:bottom w:val="single" w:sz="8" w:color="auto"/>
            </w:tcBorders>
            <w:shd w:val="clear" w:color="auto" w:fill="CFF0FC"/>
          </w:tcPr>
          <w:p>
            <w:pPr>
              <w:jc w:val="right"/>
              <w:ind w:right="364"/>
              <w:spacing w:after="0"/>
              <w:rPr>
                <w:sz w:val="20"/>
                <w:szCs w:val="20"/>
                <w:color w:val="auto"/>
              </w:rPr>
            </w:pPr>
            <w:r>
              <w:rPr>
                <w:rFonts w:ascii="Times New Roman" w:cs="Times New Roman" w:eastAsia="Times New Roman" w:hAnsi="Times New Roman"/>
                <w:sz w:val="16"/>
                <w:szCs w:val="16"/>
                <w:color w:val="2C2C2C"/>
                <w:w w:val="74"/>
              </w:rPr>
              <w:t>$</w:t>
            </w:r>
          </w:p>
        </w:tc>
        <w:tc>
          <w:tcPr>
            <w:tcW w:w="3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2C2C2C"/>
                <w:w w:val="99"/>
              </w:rPr>
              <w:t>11</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(2,037 )</w:t>
            </w:r>
          </w:p>
        </w:tc>
        <w:tc>
          <w:tcPr>
            <w:tcW w:w="1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9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(1,635 )</w:t>
            </w:r>
          </w:p>
        </w:tc>
        <w:tc>
          <w:tcPr>
            <w:tcW w:w="1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(2,905 )</w:t>
            </w:r>
          </w:p>
        </w:tc>
        <w:tc>
          <w:tcPr>
            <w:tcW w:w="12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w w:val="74"/>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2C2C2C"/>
              </w:rPr>
              <w:t>(2,568 )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3027680</wp:posOffset>
            </wp:positionH>
            <wp:positionV relativeFrom="paragraph">
              <wp:posOffset>-333375</wp:posOffset>
            </wp:positionV>
            <wp:extent cx="7683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-333375</wp:posOffset>
            </wp:positionV>
            <wp:extent cx="7683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-333375</wp:posOffset>
            </wp:positionV>
            <wp:extent cx="768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-333375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-333375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-333375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-333375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-24765</wp:posOffset>
            </wp:positionV>
            <wp:extent cx="7683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3027680</wp:posOffset>
            </wp:positionH>
            <wp:positionV relativeFrom="paragraph">
              <wp:posOffset>-7620</wp:posOffset>
            </wp:positionV>
            <wp:extent cx="7683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-24765</wp:posOffset>
            </wp:positionV>
            <wp:extent cx="7683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3644265</wp:posOffset>
            </wp:positionH>
            <wp:positionV relativeFrom="paragraph">
              <wp:posOffset>-7620</wp:posOffset>
            </wp:positionV>
            <wp:extent cx="7683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-24765</wp:posOffset>
            </wp:positionV>
            <wp:extent cx="7683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4260215</wp:posOffset>
            </wp:positionH>
            <wp:positionV relativeFrom="paragraph">
              <wp:posOffset>-7620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-24765</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-7620</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-24765</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-7620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-24765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6606540</wp:posOffset>
            </wp:positionH>
            <wp:positionV relativeFrom="paragraph">
              <wp:posOffset>-7620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80" w:hanging="272"/>
        <w:spacing w:after="0"/>
        <w:tabs>
          <w:tab w:leader="none" w:pos="28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Reclassification adjustments from accumulated other comprehensive loss related to derivative instruments are included in Revenue and Salaries and benefits in the accompanying condensed consolidated statements of comprehensive income. See Note 9 — Derivative Financial Instruments for additional details regarding the reclassification adjustments for the derivative settlements.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Note 18 — Earnings Per Share</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Basic and diluted earnings per share are calculated by dividing net income attributable to WTW by the average number of ordinary shares outstanding during each period. The computation of diluted earnings per share reflects the potential dilution that could occur if dilutive securities and other contracts to issue shares were exercised or converted into shares or resulted in the issuance of shares that then shared in the net income of the Company.</w:t>
      </w:r>
    </w:p>
    <w:p>
      <w:pPr>
        <w:spacing w:after="0" w:line="123"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auto"/>
        </w:rPr>
        <w:t>At March 31, 2024 and 2023, there were 0.5 million restricted performance-based stock units outstanding at each period presented and 0.4 million restricted time-based stock units outstanding at each period presented. The Company had no time-based share options outstanding at March 31, 2024; time-based share options were immaterial at March 31, 2023. There were no performance-based options outstanding at March 31, 2024 and 2023.</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Basic and diluted earnings per share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60" w:type="dxa"/>
            <w:vAlign w:val="bottom"/>
          </w:tcPr>
          <w:p>
            <w:pPr>
              <w:spacing w:after="0"/>
              <w:rPr>
                <w:sz w:val="16"/>
                <w:szCs w:val="16"/>
                <w:color w:val="auto"/>
              </w:rPr>
            </w:pPr>
          </w:p>
        </w:tc>
        <w:tc>
          <w:tcPr>
            <w:tcW w:w="314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40" w:type="dxa"/>
            <w:vAlign w:val="bottom"/>
            <w:tcBorders>
              <w:bottom w:val="single" w:sz="8" w:color="auto"/>
            </w:tcBorders>
          </w:tcPr>
          <w:p>
            <w:pPr>
              <w:spacing w:after="0"/>
              <w:rPr>
                <w:sz w:val="16"/>
                <w:szCs w:val="16"/>
                <w:color w:val="auto"/>
              </w:rPr>
            </w:pPr>
          </w:p>
        </w:tc>
      </w:tr>
      <w:tr>
        <w:trPr>
          <w:trHeight w:val="169"/>
        </w:trPr>
        <w:tc>
          <w:tcPr>
            <w:tcW w:w="7460" w:type="dxa"/>
            <w:vAlign w:val="bottom"/>
          </w:tcPr>
          <w:p>
            <w:pPr>
              <w:spacing w:after="0"/>
              <w:rPr>
                <w:sz w:val="14"/>
                <w:szCs w:val="14"/>
                <w:color w:val="auto"/>
              </w:rPr>
            </w:pPr>
          </w:p>
        </w:tc>
        <w:tc>
          <w:tcPr>
            <w:tcW w:w="11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40" w:type="dxa"/>
            <w:vAlign w:val="bottom"/>
            <w:tcBorders>
              <w:bottom w:val="single" w:sz="8" w:color="auto"/>
            </w:tcBorders>
          </w:tcPr>
          <w:p>
            <w:pPr>
              <w:spacing w:after="0"/>
              <w:rPr>
                <w:sz w:val="14"/>
                <w:szCs w:val="14"/>
                <w:color w:val="auto"/>
              </w:rPr>
            </w:pPr>
          </w:p>
        </w:tc>
      </w:tr>
      <w:tr>
        <w:trPr>
          <w:trHeight w:val="272"/>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160" w:type="dxa"/>
            <w:vAlign w:val="bottom"/>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w:t>
            </w:r>
          </w:p>
        </w:tc>
        <w:tc>
          <w:tcPr>
            <w:tcW w:w="132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27"/>
        </w:trPr>
        <w:tc>
          <w:tcPr>
            <w:tcW w:w="7460" w:type="dxa"/>
            <w:vAlign w:val="bottom"/>
            <w:tcBorders>
              <w:top w:val="single" w:sz="8" w:color="CFF0FC"/>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average number of shares outstanding</w:t>
            </w:r>
          </w:p>
        </w:tc>
        <w:tc>
          <w:tcPr>
            <w:tcW w:w="116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107</w:t>
            </w: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average number of shares outstanding</w:t>
            </w:r>
          </w:p>
        </w:tc>
        <w:tc>
          <w:tcPr>
            <w:tcW w:w="1160" w:type="dxa"/>
            <w:vAlign w:val="bottom"/>
            <w:tcBorders>
              <w:bottom w:val="single" w:sz="8" w:color="auto"/>
            </w:tcBorders>
            <w:shd w:val="clear" w:color="auto" w:fill="CFF0FC"/>
          </w:tcPr>
          <w:p>
            <w:pPr>
              <w:spacing w:after="0"/>
              <w:rPr>
                <w:sz w:val="24"/>
                <w:szCs w:val="24"/>
                <w:color w:val="auto"/>
              </w:rPr>
            </w:pP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spacing w:after="0"/>
              <w:rPr>
                <w:sz w:val="24"/>
                <w:szCs w:val="24"/>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27"/>
        </w:trPr>
        <w:tc>
          <w:tcPr>
            <w:tcW w:w="7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43"/>
        </w:trPr>
        <w:tc>
          <w:tcPr>
            <w:tcW w:w="7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 earnings per share</w:t>
            </w:r>
          </w:p>
        </w:tc>
        <w:tc>
          <w:tcPr>
            <w:tcW w:w="1160" w:type="dxa"/>
            <w:vAlign w:val="bottom"/>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1.84</w:t>
            </w:r>
          </w:p>
        </w:tc>
        <w:tc>
          <w:tcPr>
            <w:tcW w:w="1320" w:type="dxa"/>
            <w:vAlign w:val="bottom"/>
            <w:gridSpan w:val="2"/>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1.89</w:t>
            </w:r>
          </w:p>
        </w:tc>
      </w:tr>
      <w:tr>
        <w:trPr>
          <w:trHeight w:val="238"/>
        </w:trPr>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Dilutive effect of potentially issuable shares</w:t>
            </w:r>
          </w:p>
        </w:tc>
        <w:tc>
          <w:tcPr>
            <w:tcW w:w="116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c>
          <w:tcPr>
            <w:tcW w:w="18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(0.01 )</w:t>
            </w:r>
          </w:p>
        </w:tc>
      </w:tr>
      <w:tr>
        <w:trPr>
          <w:trHeight w:val="276"/>
        </w:trPr>
        <w:tc>
          <w:tcPr>
            <w:tcW w:w="7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160" w:type="dxa"/>
            <w:vAlign w:val="bottom"/>
            <w:tcBorders>
              <w:bottom w:val="single" w:sz="8" w:color="auto"/>
            </w:tcBorders>
            <w:shd w:val="clear" w:color="auto" w:fill="CFF0FC"/>
          </w:tcPr>
          <w:p>
            <w:pPr>
              <w:jc w:val="right"/>
              <w:ind w:right="977"/>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1.83</w:t>
            </w:r>
          </w:p>
        </w:tc>
        <w:tc>
          <w:tcPr>
            <w:tcW w:w="1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5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-1326515</wp:posOffset>
            </wp:positionV>
            <wp:extent cx="12001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-1309370</wp:posOffset>
            </wp:positionV>
            <wp:extent cx="12001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-675640</wp:posOffset>
            </wp:positionV>
            <wp:extent cx="12001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-658495</wp:posOffset>
            </wp:positionV>
            <wp:extent cx="12001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-24765</wp:posOffset>
            </wp:positionV>
            <wp:extent cx="12001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12001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353" w:lineRule="exact"/>
        <w:rPr>
          <w:sz w:val="20"/>
          <w:szCs w:val="20"/>
          <w:color w:val="auto"/>
        </w:rPr>
      </w:pPr>
    </w:p>
    <w:p>
      <w:pPr>
        <w:ind w:right="2140"/>
        <w:spacing w:after="0" w:line="453" w:lineRule="auto"/>
        <w:rPr>
          <w:sz w:val="20"/>
          <w:szCs w:val="20"/>
          <w:color w:val="auto"/>
        </w:rPr>
      </w:pPr>
      <w:r>
        <w:rPr>
          <w:rFonts w:ascii="Times New Roman" w:cs="Times New Roman" w:eastAsia="Times New Roman" w:hAnsi="Times New Roman"/>
          <w:sz w:val="18"/>
          <w:szCs w:val="18"/>
          <w:color w:val="auto"/>
        </w:rPr>
        <w:t xml:space="preserve">There were no anti-dilutive restricted stock units or anti-dilutive options for the three months ended March 31, 2024 and 2023. </w:t>
      </w:r>
      <w:r>
        <w:rPr>
          <w:rFonts w:ascii="Times New Roman" w:cs="Times New Roman" w:eastAsia="Times New Roman" w:hAnsi="Times New Roman"/>
          <w:sz w:val="18"/>
          <w:szCs w:val="18"/>
          <w:b w:val="1"/>
          <w:bCs w:val="1"/>
          <w:color w:val="auto"/>
        </w:rPr>
        <w:t xml:space="preserve">Note 19 — Supplemental Disclosures of Cash Flow Information </w:t>
      </w:r>
      <w:r>
        <w:rPr>
          <w:rFonts w:ascii="Times New Roman" w:cs="Times New Roman" w:eastAsia="Times New Roman" w:hAnsi="Times New Roman"/>
          <w:sz w:val="18"/>
          <w:szCs w:val="18"/>
          <w:color w:val="auto"/>
        </w:rPr>
        <w:t>Supplemental disclosures regarding cash flow information are as follows: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6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Pr>
          <w:p>
            <w:pPr>
              <w:spacing w:after="0"/>
              <w:rPr>
                <w:sz w:val="14"/>
                <w:szCs w:val="14"/>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86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tcBorders>
              <w:top w:val="single" w:sz="8" w:color="auto"/>
            </w:tcBorders>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7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1,893</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1,135</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Fiduciary funds (included in fiduciary assets)</w:t>
            </w:r>
          </w:p>
        </w:tc>
        <w:tc>
          <w:tcPr>
            <w:tcW w:w="28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3,358</w:t>
            </w: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3,227</w:t>
            </w:r>
          </w:p>
        </w:tc>
        <w:tc>
          <w:tcPr>
            <w:tcW w:w="0" w:type="dxa"/>
            <w:vAlign w:val="bottom"/>
          </w:tcPr>
          <w:p>
            <w:pPr>
              <w:spacing w:after="0"/>
              <w:rPr>
                <w:sz w:val="1"/>
                <w:szCs w:val="1"/>
                <w:color w:val="auto"/>
              </w:rPr>
            </w:pPr>
          </w:p>
        </w:tc>
      </w:tr>
      <w:tr>
        <w:trPr>
          <w:trHeight w:val="236"/>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37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5,251</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5360" w:type="dxa"/>
            <w:vAlign w:val="bottom"/>
            <w:shd w:val="clear" w:color="auto" w:fill="CFF0FC"/>
          </w:tcPr>
          <w:p>
            <w:pPr>
              <w:spacing w:after="0"/>
              <w:rPr>
                <w:sz w:val="19"/>
                <w:szCs w:val="19"/>
                <w:color w:val="auto"/>
              </w:rPr>
            </w:pPr>
          </w:p>
        </w:tc>
        <w:tc>
          <w:tcPr>
            <w:tcW w:w="28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Increase/(decrease) in cash, cash equivalents and other restricted cash</w:t>
            </w:r>
          </w:p>
        </w:tc>
        <w:tc>
          <w:tcPr>
            <w:tcW w:w="37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487</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Increase/(decrease) in fiduciary funds</w:t>
            </w:r>
          </w:p>
        </w:tc>
        <w:tc>
          <w:tcPr>
            <w:tcW w:w="286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1,019</w:t>
            </w:r>
          </w:p>
        </w:tc>
        <w:tc>
          <w:tcPr>
            <w:tcW w:w="180" w:type="dxa"/>
            <w:vAlign w:val="bottom"/>
            <w:tcBorders>
              <w:bottom w:val="single" w:sz="8" w:color="CFF0FC"/>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(250 )</w:t>
            </w:r>
          </w:p>
        </w:tc>
        <w:tc>
          <w:tcPr>
            <w:tcW w:w="0" w:type="dxa"/>
            <w:vAlign w:val="bottom"/>
          </w:tcPr>
          <w:p>
            <w:pPr>
              <w:spacing w:after="0"/>
              <w:rPr>
                <w:sz w:val="1"/>
                <w:szCs w:val="1"/>
                <w:color w:val="auto"/>
              </w:rPr>
            </w:pPr>
          </w:p>
        </w:tc>
      </w:tr>
      <w:tr>
        <w:trPr>
          <w:trHeight w:val="234"/>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3720" w:type="dxa"/>
            <w:vAlign w:val="bottom"/>
            <w:gridSpan w:val="2"/>
          </w:tcPr>
          <w:p>
            <w:pPr>
              <w:jc w:val="right"/>
              <w:ind w:right="6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1,506</w:t>
            </w:r>
          </w:p>
        </w:tc>
        <w:tc>
          <w:tcPr>
            <w:tcW w:w="104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860" w:type="dxa"/>
            <w:vAlign w:val="bottom"/>
            <w:vMerge w:val="restart"/>
          </w:tcPr>
          <w:p>
            <w:pPr>
              <w:jc w:val="right"/>
              <w:ind w:right="2410"/>
              <w:spacing w:after="0"/>
              <w:rPr>
                <w:sz w:val="20"/>
                <w:szCs w:val="20"/>
                <w:color w:val="auto"/>
              </w:rPr>
            </w:pPr>
            <w:r>
              <w:rPr>
                <w:rFonts w:ascii="Times New Roman" w:cs="Times New Roman" w:eastAsia="Times New Roman" w:hAnsi="Times New Roman"/>
                <w:sz w:val="18"/>
                <w:szCs w:val="18"/>
                <w:color w:val="auto"/>
              </w:rPr>
              <w:t>26</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0"/>
        </w:trPr>
        <w:tc>
          <w:tcPr>
            <w:tcW w:w="5360" w:type="dxa"/>
            <w:vAlign w:val="bottom"/>
          </w:tcPr>
          <w:p>
            <w:pPr>
              <w:spacing w:after="0"/>
              <w:rPr>
                <w:sz w:val="24"/>
                <w:szCs w:val="24"/>
                <w:color w:val="auto"/>
              </w:rPr>
            </w:pPr>
          </w:p>
        </w:tc>
        <w:tc>
          <w:tcPr>
            <w:tcW w:w="286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60" w:type="dxa"/>
            <w:vAlign w:val="bottom"/>
            <w:tcBorders>
              <w:bottom w:val="single" w:sz="8" w:color="9A9A9A"/>
            </w:tcBorders>
          </w:tcPr>
          <w:p>
            <w:pPr>
              <w:spacing w:after="0"/>
              <w:rPr>
                <w:sz w:val="9"/>
                <w:szCs w:val="9"/>
                <w:color w:val="auto"/>
              </w:rPr>
            </w:pPr>
          </w:p>
        </w:tc>
        <w:tc>
          <w:tcPr>
            <w:tcW w:w="28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6127115</wp:posOffset>
            </wp:positionH>
            <wp:positionV relativeFrom="paragraph">
              <wp:posOffset>-1471930</wp:posOffset>
            </wp:positionV>
            <wp:extent cx="1111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6127115</wp:posOffset>
            </wp:positionH>
            <wp:positionV relativeFrom="paragraph">
              <wp:posOffset>-821055</wp:posOffset>
            </wp:positionV>
            <wp:extent cx="1111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73" w:lineRule="exact"/>
        <w:rPr>
          <w:sz w:val="20"/>
          <w:szCs w:val="20"/>
          <w:color w:val="auto"/>
        </w:rPr>
      </w:pPr>
    </w:p>
    <w:p>
      <w:pPr>
        <w:ind w:right="440"/>
        <w:spacing w:after="0" w:line="314" w:lineRule="auto"/>
        <w:rPr>
          <w:sz w:val="20"/>
          <w:szCs w:val="20"/>
          <w:color w:val="auto"/>
        </w:rPr>
      </w:pPr>
      <w:r>
        <w:rPr>
          <w:rFonts w:ascii="Times New Roman" w:cs="Times New Roman" w:eastAsia="Times New Roman" w:hAnsi="Times New Roman"/>
          <w:sz w:val="17"/>
          <w:szCs w:val="17"/>
          <w:i w:val="1"/>
          <w:iCs w:val="1"/>
          <w:color w:val="auto"/>
        </w:rPr>
        <w:t>This discussion includes forward-looking statements. See ‘Disclaimer Regarding Forward-looking Statements’ for certain cautionary information regarding forward-looking statements and a list of factors that could cause actual results to differ materially from those predicted in those statements.</w:t>
      </w:r>
    </w:p>
    <w:p>
      <w:pPr>
        <w:spacing w:after="0" w:line="8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7"/>
          <w:szCs w:val="17"/>
          <w:i w:val="1"/>
          <w:iCs w:val="1"/>
          <w:color w:val="auto"/>
        </w:rPr>
        <w:t>This discussion includes references to non-GAAP financial measures as defined in the rules of the SEC. We present such non-GAAP financial measures, specifically, adjusted, constant currency and organic non-GAAP financial measures, as we believe such information is of interest to the investment community because it provides additional meaningful methods of evaluating certain aspects of the Company’s operating performance from period to period on a basis that may not be otherwise apparent under U.S. GAAP, and these provide a measure against which our businesses may be assessed in the future.</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See ‘Non-GAAP Financial Measures’ below for further discussion of our adjusted, constant currency and organic non-GAAP financial measures.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Conditions</w:t>
      </w:r>
    </w:p>
    <w:p>
      <w:pPr>
        <w:spacing w:after="0" w:line="175" w:lineRule="exact"/>
        <w:rPr>
          <w:sz w:val="20"/>
          <w:szCs w:val="20"/>
          <w:color w:val="auto"/>
        </w:rPr>
      </w:pPr>
    </w:p>
    <w:p>
      <w:pPr>
        <w:ind w:right="480"/>
        <w:spacing w:after="0" w:line="265" w:lineRule="auto"/>
        <w:rPr>
          <w:sz w:val="20"/>
          <w:szCs w:val="20"/>
          <w:color w:val="auto"/>
        </w:rPr>
      </w:pPr>
      <w:r>
        <w:rPr>
          <w:rFonts w:ascii="Times New Roman" w:cs="Times New Roman" w:eastAsia="Times New Roman" w:hAnsi="Times New Roman"/>
          <w:sz w:val="18"/>
          <w:szCs w:val="18"/>
          <w:color w:val="auto"/>
        </w:rPr>
        <w:t>Typically, our business benefits from regulatory change, political risk or economic uncertainty. Insurance broking generally tracks the economy, but demand for both insurance broking and consulting services usually remains steady during times of uncertainty. We have some businesses, such as our health and benefits and administration businesses, which can be counter cyclical during the early period of a significant economic change.</w:t>
      </w:r>
    </w:p>
    <w:p>
      <w:pPr>
        <w:spacing w:after="0" w:line="12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Within our insurance and brokerage business, due to the cyclical nature of the insurance market and the impact of other market conditions on insurance premiums, commission revenue may vary widely between accounting periods. A period of low or declining premium rates, generally known as a ‘soft’ or ‘softening’ market, generally leads to downward pressure on commission revenue and can have a material adverse impact on our revenue and operating margin. A ‘hard’ or ‘firming’ market, during which premium rates rise, generally has a favorable impact on our revenue and operating margin. Rates, however, vary by geography, industry and client segment. As a result, and due to the global and diverse nature of our business, we view rates in the aggregate. Overall, we are currently seeing a stabilizing market.</w:t>
      </w:r>
    </w:p>
    <w:p>
      <w:pPr>
        <w:spacing w:after="0" w:line="132" w:lineRule="exact"/>
        <w:rPr>
          <w:sz w:val="20"/>
          <w:szCs w:val="20"/>
          <w:color w:val="auto"/>
        </w:rPr>
      </w:pPr>
    </w:p>
    <w:p>
      <w:pPr>
        <w:ind w:right="660"/>
        <w:spacing w:after="0" w:line="312" w:lineRule="auto"/>
        <w:rPr>
          <w:sz w:val="20"/>
          <w:szCs w:val="20"/>
          <w:color w:val="auto"/>
        </w:rPr>
      </w:pPr>
      <w:r>
        <w:rPr>
          <w:rFonts w:ascii="Times New Roman" w:cs="Times New Roman" w:eastAsia="Times New Roman" w:hAnsi="Times New Roman"/>
          <w:sz w:val="17"/>
          <w:szCs w:val="17"/>
          <w:color w:val="auto"/>
        </w:rPr>
        <w:t>Market conditions in the broking industry in which we operate are generally defined by factors such as the strength of the economies in the various geographic regions in which we serve around the world, insurance rate movements, and insurance and reinsurance buying patterns of our clients.</w:t>
      </w:r>
    </w:p>
    <w:p>
      <w:pPr>
        <w:spacing w:after="0" w:line="8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markets for our consulting, technology and solutions, and marketplace services are affected by economic, regulatory and legislative changes, technological developments, and increased competition from established and new competitors. We believe that the primary factors in selecting a human resources or risk management consulting company include reputation, the ability to provide measurable increases to shareholder value and return on investment, global scale, quality of service and the ability to tailor services to clients’ unique needs. In that regard, we are focused on developing and implementing technology, data and analytic solutions for both internal operations and for maintaining industry standards and meeting client preferences. We have made such investments from time to time and may decide, based on perceived business needs, to make investments in the future that may be different from past practice or what we currently anticipate.</w:t>
      </w:r>
    </w:p>
    <w:p>
      <w:pPr>
        <w:spacing w:after="0" w:line="133"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With regard to the market for exchanges, we believe that clients base their decisions on a variety of factors that include the ability of the provider to deliver measurable cost savings for clients, a strong reputation for efficient execution and an innovative service delivery model and platform. Part of the employer-sponsored insurance market has matured and become more fragmented while other segments remain in the entry phase. As these market segments continue to evolve, we may experience growth in intervals, with periods of accelerated expansion balanced by periods of modest growth. In recent years, growth in the market for exchanges has slowed, and this trend may continue.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 of the Economic Environment</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U.S. and global markets are continuing to experience volatility and disruption as a result of the ongoing Russia-Ukraine and Israel-Hamas wars. Although the length and impact of these situations are highly unpredictable, they have caused disruption in the global markets and could continue to lead to further market disruptions. The conflicts have contributed to negative impacts on and volatility of the global economy and capital markets, resulting in significant inflation and fluctuating interest rates in many of the markets in which we operate. This impacts not only the cost of and access to liquidity, but also other costs to run and invest in our business.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27" w:name="page28"/>
    <w:bookmarkEnd w:id="27"/>
    <w:p>
      <w:pPr>
        <w:ind w:right="120"/>
        <w:spacing w:after="0" w:line="255" w:lineRule="auto"/>
        <w:rPr>
          <w:sz w:val="20"/>
          <w:szCs w:val="20"/>
          <w:color w:val="auto"/>
        </w:rPr>
      </w:pPr>
      <w:r>
        <w:rPr>
          <w:rFonts w:ascii="Times New Roman" w:cs="Times New Roman" w:eastAsia="Times New Roman" w:hAnsi="Times New Roman"/>
          <w:sz w:val="18"/>
          <w:szCs w:val="18"/>
          <w:color w:val="auto"/>
        </w:rPr>
        <w:t>Other global economic events, such as accommodative monetary and fiscal policy, supply chain disruptions and geopolitical tensions beyond the aforementioned ongoing wars, have also contributed to significant inflation across the globe. In particular, inflation in the United States, Europe, and other geographies has risen to levels not experienced in recent decades and we are seeing its impact on various aspects of our business. Moreover, U.S. and global economic conditions have created market uncertainty and volatility. Such general economic conditions, including inflation, stagflation, political volatility, costs of labor, cost of capital, interest rates, bank stability, credit availability, and tax rates, affect our cost of doing business, including our operating and general and administrative expenses, and we have no control or limited ability to control such factors. These general economic conditions impact revenue, including revenue from customers as well as income from funds we hold on behalf of customers and pension-related income.</w:t>
      </w:r>
    </w:p>
    <w:p>
      <w:pPr>
        <w:spacing w:after="0" w:line="133" w:lineRule="exact"/>
        <w:rPr>
          <w:sz w:val="20"/>
          <w:szCs w:val="20"/>
          <w:color w:val="auto"/>
        </w:rPr>
      </w:pPr>
    </w:p>
    <w:p>
      <w:pPr>
        <w:jc w:val="both"/>
        <w:ind w:right="500"/>
        <w:spacing w:after="0" w:line="312" w:lineRule="auto"/>
        <w:rPr>
          <w:sz w:val="20"/>
          <w:szCs w:val="20"/>
          <w:color w:val="auto"/>
        </w:rPr>
      </w:pPr>
      <w:r>
        <w:rPr>
          <w:rFonts w:ascii="Times New Roman" w:cs="Times New Roman" w:eastAsia="Times New Roman" w:hAnsi="Times New Roman"/>
          <w:sz w:val="17"/>
          <w:szCs w:val="17"/>
          <w:color w:val="auto"/>
        </w:rPr>
        <w:t>If our costs grow significantly in excess of our ability to raise revenue, whether as a result of the foregoing global economic factors or otherwise, our margins and results of operations may be materially and adversely impacted and we may not be able to achieve our strategic and financial objectives.</w:t>
      </w:r>
    </w:p>
    <w:p>
      <w:pPr>
        <w:spacing w:after="0" w:line="8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See Part I, Item 1A ‘Risk Factors’ in our Annual Report on Form 10-K, filed with the SEC on February 22, 2024, for a discussion of risks that may affect, among other things, our growth relative to expectation and our ability to achieve our objectives.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Transformation Program</w:t>
      </w:r>
    </w:p>
    <w:p>
      <w:pPr>
        <w:spacing w:after="0" w:line="17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the fourth quarter of 2021, the Company initiated a three-year ‘Transformation program’ designed to enhance operations, optimize technology and align its real estate footprint to its new ways of working. During the fourth quarter of 2023, we revised the expected costs and savings under the program and we now expect the program to generate annual cost savings in excess of $425 million by the end of 2024. The program is expected to incur cumulative costs of approximately $995 million and capital expenditures of approximately $130 million, for a total investment of $1.125 billion. The main categories of charges have been in the following four areas:</w:t>
      </w:r>
    </w:p>
    <w:p>
      <w:pPr>
        <w:spacing w:after="0" w:line="74" w:lineRule="exact"/>
        <w:rPr>
          <w:sz w:val="20"/>
          <w:szCs w:val="20"/>
          <w:color w:val="auto"/>
        </w:rPr>
      </w:pPr>
    </w:p>
    <w:p>
      <w:pPr>
        <w:ind w:left="760" w:right="30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rationalization — includes costs to align the real estate footprint to our new ways of working (hybrid work) and includes breakage fees and the impairment of right-of-use assets and other related leasehold assets.</w:t>
      </w:r>
    </w:p>
    <w:p>
      <w:pPr>
        <w:spacing w:after="0" w:line="54" w:lineRule="exact"/>
        <w:rPr>
          <w:rFonts w:ascii="Times New Roman" w:cs="Times New Roman" w:eastAsia="Times New Roman" w:hAnsi="Times New Roman"/>
          <w:sz w:val="18"/>
          <w:szCs w:val="18"/>
          <w:color w:val="auto"/>
        </w:rPr>
      </w:pPr>
    </w:p>
    <w:p>
      <w:pPr>
        <w:ind w:left="7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modernization — these charges are incurred in moving to common platforms and technologies, including migrating certain platforms and applications to the cloud. This category includes the impairment of technology assets that are duplicative or no longer revenue-producing, as well as costs for technology investments that do not qualify for capitalization.</w:t>
      </w:r>
    </w:p>
    <w:p>
      <w:pPr>
        <w:spacing w:after="0" w:line="69" w:lineRule="exact"/>
        <w:rPr>
          <w:rFonts w:ascii="Times New Roman" w:cs="Times New Roman" w:eastAsia="Times New Roman" w:hAnsi="Times New Roman"/>
          <w:sz w:val="18"/>
          <w:szCs w:val="18"/>
          <w:color w:val="auto"/>
        </w:rPr>
      </w:pPr>
    </w:p>
    <w:p>
      <w:pPr>
        <w:ind w:left="760" w:right="560" w:hanging="378"/>
        <w:spacing w:after="0" w:line="265"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Process optimization — these costs are incurred in the right-shoring strategy and automation of our operations, which includes optimizing resource deployment and appropriate colleague alignment. These costs include process and organizational design costs, severance and separation-related costs and temporary retention costs.</w:t>
      </w:r>
    </w:p>
    <w:p>
      <w:pPr>
        <w:spacing w:after="0" w:line="69" w:lineRule="exact"/>
        <w:rPr>
          <w:rFonts w:ascii="Times New Roman" w:cs="Times New Roman" w:eastAsia="Times New Roman" w:hAnsi="Times New Roman"/>
          <w:sz w:val="18"/>
          <w:szCs w:val="18"/>
          <w:color w:val="auto"/>
        </w:rPr>
      </w:pPr>
    </w:p>
    <w:p>
      <w:pPr>
        <w:ind w:left="760" w:right="220" w:hanging="378"/>
        <w:spacing w:after="0" w:line="28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 other costs not included above including fees for professional services, other contract terminations not related to the above categories and supplier migration costs.</w:t>
      </w:r>
    </w:p>
    <w:p>
      <w:pPr>
        <w:spacing w:after="0" w:line="16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Certain costs under the Transformation program are accounted for under ASC 420, </w:t>
      </w:r>
      <w:r>
        <w:rPr>
          <w:rFonts w:ascii="Times New Roman" w:cs="Times New Roman" w:eastAsia="Times New Roman" w:hAnsi="Times New Roman"/>
          <w:sz w:val="18"/>
          <w:szCs w:val="18"/>
          <w:i w:val="1"/>
          <w:iCs w:val="1"/>
          <w:color w:val="auto"/>
        </w:rPr>
        <w:t>Exit or Disposal Cost Obligation</w:t>
      </w:r>
      <w:r>
        <w:rPr>
          <w:rFonts w:ascii="Times New Roman" w:cs="Times New Roman" w:eastAsia="Times New Roman" w:hAnsi="Times New Roman"/>
          <w:sz w:val="18"/>
          <w:szCs w:val="18"/>
          <w:color w:val="auto"/>
        </w:rPr>
        <w:t>, and are included as restructuring costs in the condensed consolidated statements of comprehensive income. For the three months ended March 31, 2024 and 2023, restructuring charges under our Transformation program totaled $18 million and $3 million, respectively. Other costs incurred under the Transformation program are included in transaction and transformation and were $119 million and $45 million for the three months ended March 31, 2024 and 2023, respectively.</w:t>
      </w:r>
    </w:p>
    <w:p>
      <w:pPr>
        <w:spacing w:after="0" w:line="180"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 xml:space="preserve">From the actions taken during the first quarter of 2024, we have identified an additional $33 million of annualized run-rate savings during the year due to newly-realized opportunities and incremental sources of value. Since the inception of the program, we have identified $370 million of cumulative annualized run-rate savings, which overall are primarily </w:t>
      </w:r>
      <w:r>
        <w:rPr>
          <w:rFonts w:ascii="Times New Roman" w:cs="Times New Roman" w:eastAsia="Times New Roman" w:hAnsi="Times New Roman"/>
          <w:sz w:val="18"/>
          <w:szCs w:val="18"/>
          <w:color w:val="212121"/>
        </w:rPr>
        <w:t>attributable to process optimization. We began to recognize the benefits</w:t>
      </w:r>
      <w:r>
        <w:rPr>
          <w:rFonts w:ascii="Times New Roman" w:cs="Times New Roman" w:eastAsia="Times New Roman" w:hAnsi="Times New Roman"/>
          <w:sz w:val="18"/>
          <w:szCs w:val="18"/>
          <w:color w:val="auto"/>
        </w:rPr>
        <w:t xml:space="preserve"> from the program during 2022.</w:t>
      </w:r>
    </w:p>
    <w:p>
      <w:pPr>
        <w:spacing w:after="0" w:line="182"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18"/>
          <w:szCs w:val="18"/>
          <w:color w:val="auto"/>
        </w:rPr>
        <w:t>For a discussion of some of the risks associated with the Transformation program, see Part I, Item 1A ‘Risk Factors’ in our Annual Report on Form 10-K, filed with the SEC on February 22,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Financial Statement Overview</w:t>
      </w:r>
    </w:p>
    <w:p>
      <w:pPr>
        <w:spacing w:after="0" w:line="175"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table below sets forth our summarized condensed consolidated statements of comprehensive income and data as a percentage of revenue for the periods indicated.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9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6"/>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9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96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69"/>
        </w:trPr>
        <w:tc>
          <w:tcPr>
            <w:tcW w:w="6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80" w:type="dxa"/>
            <w:vAlign w:val="bottom"/>
            <w:gridSpan w:val="6"/>
          </w:tcPr>
          <w:p>
            <w:pPr>
              <w:jc w:val="center"/>
              <w:ind w:left="113"/>
              <w:spacing w:after="0"/>
              <w:rPr>
                <w:sz w:val="20"/>
                <w:szCs w:val="20"/>
                <w:color w:val="auto"/>
              </w:rPr>
            </w:pPr>
            <w:r>
              <w:rPr>
                <w:rFonts w:ascii="Times New Roman" w:cs="Times New Roman" w:eastAsia="Times New Roman" w:hAnsi="Times New Roman"/>
                <w:sz w:val="14"/>
                <w:szCs w:val="14"/>
                <w:b w:val="1"/>
                <w:bCs w:val="1"/>
                <w:color w:val="auto"/>
              </w:rPr>
              <w:t>($ in millions, except per share data)</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2,341</w:t>
            </w:r>
          </w:p>
        </w:tc>
        <w:tc>
          <w:tcPr>
            <w:tcW w:w="144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100 % $</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2,244</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23"/>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providing services</w:t>
            </w:r>
          </w:p>
        </w:tc>
        <w:tc>
          <w:tcPr>
            <w:tcW w:w="3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Salaries and benefits</w:t>
            </w:r>
          </w:p>
        </w:tc>
        <w:tc>
          <w:tcPr>
            <w:tcW w:w="3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1,342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57 %</w:t>
            </w:r>
          </w:p>
        </w:tc>
        <w:tc>
          <w:tcPr>
            <w:tcW w:w="3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1,313</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59 %</w:t>
            </w: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457</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20 %</w:t>
            </w:r>
          </w:p>
        </w:tc>
        <w:tc>
          <w:tcPr>
            <w:tcW w:w="3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453</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20 %</w:t>
            </w: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3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59</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3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60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43"/>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340" w:type="dxa"/>
            <w:vAlign w:val="bottom"/>
          </w:tcPr>
          <w:p>
            <w:pPr>
              <w:spacing w:after="0"/>
              <w:rPr>
                <w:sz w:val="21"/>
                <w:szCs w:val="21"/>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18</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Pr>
          <w:p>
            <w:pPr>
              <w:spacing w:after="0"/>
              <w:rPr>
                <w:sz w:val="21"/>
                <w:szCs w:val="21"/>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tcPr>
          <w:p>
            <w:pPr>
              <w:spacing w:after="0"/>
              <w:rPr>
                <w:sz w:val="21"/>
                <w:szCs w:val="21"/>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56"/>
        </w:trPr>
        <w:tc>
          <w:tcPr>
            <w:tcW w:w="69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125</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5 %</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59</w:t>
            </w:r>
          </w:p>
        </w:tc>
        <w:tc>
          <w:tcPr>
            <w:tcW w:w="2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32"/>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costs of providing services</w:t>
            </w:r>
          </w:p>
        </w:tc>
        <w:tc>
          <w:tcPr>
            <w:tcW w:w="340" w:type="dxa"/>
            <w:vAlign w:val="bottom"/>
            <w:tcBorders>
              <w:bottom w:val="single" w:sz="8" w:color="auto"/>
            </w:tcBorders>
            <w:shd w:val="clear" w:color="auto" w:fill="CFF0FC"/>
          </w:tcPr>
          <w:p>
            <w:pPr>
              <w:spacing w:after="0"/>
              <w:rPr>
                <w:sz w:val="20"/>
                <w:szCs w:val="20"/>
                <w:color w:val="auto"/>
              </w:rPr>
            </w:pP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2,061</w:t>
            </w:r>
          </w:p>
        </w:tc>
        <w:tc>
          <w:tcPr>
            <w:tcW w:w="9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1,959</w:t>
            </w:r>
          </w:p>
        </w:tc>
        <w:tc>
          <w:tcPr>
            <w:tcW w:w="280" w:type="dxa"/>
            <w:vAlign w:val="bottom"/>
            <w:tcBorders>
              <w:bottom w:val="single" w:sz="8" w:color="CFF0FC"/>
            </w:tcBorders>
            <w:shd w:val="clear" w:color="auto" w:fill="CFF0FC"/>
          </w:tcPr>
          <w:p>
            <w:pPr>
              <w:spacing w:after="0"/>
              <w:rPr>
                <w:sz w:val="20"/>
                <w:szCs w:val="20"/>
                <w:color w:val="auto"/>
              </w:rPr>
            </w:pPr>
          </w:p>
        </w:tc>
        <w:tc>
          <w:tcPr>
            <w:tcW w:w="660" w:type="dxa"/>
            <w:vAlign w:val="bottom"/>
            <w:tcBorders>
              <w:bottom w:val="single" w:sz="8" w:color="CFF0FC"/>
            </w:tcBorders>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2"/>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340" w:type="dxa"/>
            <w:vAlign w:val="bottom"/>
          </w:tcPr>
          <w:p>
            <w:pPr>
              <w:spacing w:after="0"/>
              <w:rPr>
                <w:sz w:val="20"/>
                <w:szCs w:val="20"/>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280</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12 %</w:t>
            </w:r>
          </w:p>
        </w:tc>
        <w:tc>
          <w:tcPr>
            <w:tcW w:w="340" w:type="dxa"/>
            <w:vAlign w:val="bottom"/>
          </w:tcPr>
          <w:p>
            <w:pPr>
              <w:spacing w:after="0"/>
              <w:rPr>
                <w:sz w:val="20"/>
                <w:szCs w:val="20"/>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2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26</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2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340" w:type="dxa"/>
            <w:vAlign w:val="bottom"/>
          </w:tcPr>
          <w:p>
            <w:pPr>
              <w:spacing w:after="0"/>
              <w:rPr>
                <w:sz w:val="19"/>
                <w:szCs w:val="19"/>
                <w:color w:val="auto"/>
              </w:rPr>
            </w:pP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242</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10 %</w:t>
            </w:r>
          </w:p>
        </w:tc>
        <w:tc>
          <w:tcPr>
            <w:tcW w:w="340" w:type="dxa"/>
            <w:vAlign w:val="bottom"/>
          </w:tcPr>
          <w:p>
            <w:pPr>
              <w:spacing w:after="0"/>
              <w:rPr>
                <w:sz w:val="19"/>
                <w:szCs w:val="19"/>
                <w:color w:val="auto"/>
              </w:rPr>
            </w:pP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256</w:t>
            </w:r>
          </w:p>
        </w:tc>
        <w:tc>
          <w:tcPr>
            <w:tcW w:w="28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c>
          <w:tcPr>
            <w:tcW w:w="3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2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5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attributable to non-controlling interests</w:t>
            </w: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 %</w:t>
            </w:r>
          </w:p>
        </w:tc>
        <w:tc>
          <w:tcPr>
            <w:tcW w:w="3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280" w:type="dxa"/>
            <w:vAlign w:val="bottom"/>
          </w:tcPr>
          <w:p>
            <w:pPr>
              <w:spacing w:after="0"/>
              <w:rPr>
                <w:sz w:val="22"/>
                <w:szCs w:val="22"/>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w:t>
            </w:r>
          </w:p>
        </w:tc>
      </w:tr>
      <w:tr>
        <w:trPr>
          <w:trHeight w:val="236"/>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190</w:t>
            </w:r>
          </w:p>
        </w:tc>
        <w:tc>
          <w:tcPr>
            <w:tcW w:w="1440" w:type="dxa"/>
            <w:vAlign w:val="bottom"/>
            <w:gridSpan w:val="3"/>
          </w:tcPr>
          <w:p>
            <w:pPr>
              <w:jc w:val="right"/>
              <w:ind w:right="150"/>
              <w:spacing w:after="0" w:line="236" w:lineRule="exact"/>
              <w:rPr>
                <w:sz w:val="20"/>
                <w:szCs w:val="20"/>
                <w:color w:val="auto"/>
              </w:rPr>
            </w:pPr>
            <w:r>
              <w:rPr>
                <w:rFonts w:ascii="Times New Roman" w:cs="Times New Roman" w:eastAsia="Times New Roman" w:hAnsi="Times New Roman"/>
                <w:sz w:val="15"/>
                <w:szCs w:val="15"/>
                <w:color w:val="auto"/>
              </w:rPr>
              <w:t xml:space="preserve">8 % </w:t>
            </w:r>
            <w:r>
              <w:rPr>
                <w:rFonts w:ascii="Times New Roman" w:cs="Times New Roman" w:eastAsia="Times New Roman" w:hAnsi="Times New Roman"/>
                <w:sz w:val="27"/>
                <w:szCs w:val="27"/>
                <w:color w:val="auto"/>
                <w:vertAlign w:val="superscript"/>
              </w:rPr>
              <w:t>$</w:t>
            </w:r>
          </w:p>
        </w:tc>
        <w:tc>
          <w:tcPr>
            <w:tcW w:w="7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r>
      <w:tr>
        <w:trPr>
          <w:trHeight w:val="20"/>
        </w:trPr>
        <w:tc>
          <w:tcPr>
            <w:tcW w:w="6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9"/>
        </w:trPr>
        <w:tc>
          <w:tcPr>
            <w:tcW w:w="69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FF0FC"/>
          </w:tcPr>
          <w:p>
            <w:pPr>
              <w:jc w:val="right"/>
              <w:ind w:right="53"/>
              <w:spacing w:after="0"/>
              <w:rPr>
                <w:sz w:val="20"/>
                <w:szCs w:val="20"/>
                <w:color w:val="auto"/>
              </w:rPr>
            </w:pPr>
            <w:r>
              <w:rPr>
                <w:rFonts w:ascii="Times New Roman" w:cs="Times New Roman" w:eastAsia="Times New Roman" w:hAnsi="Times New Roman"/>
                <w:sz w:val="18"/>
                <w:szCs w:val="18"/>
                <w:color w:val="auto"/>
              </w:rPr>
              <w:t>1.83</w:t>
            </w:r>
          </w:p>
        </w:tc>
        <w:tc>
          <w:tcPr>
            <w:tcW w:w="1100" w:type="dxa"/>
            <w:vAlign w:val="bottom"/>
            <w:tcBorders>
              <w:bottom w:val="single" w:sz="8" w:color="CFF0FC"/>
            </w:tcBorders>
            <w:gridSpan w:val="2"/>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tcBorders>
              <w:bottom w:val="single" w:sz="8" w:color="CFF0FC"/>
            </w:tcBorders>
            <w:shd w:val="clear" w:color="auto" w:fill="CFF0FC"/>
          </w:tcPr>
          <w:p>
            <w:pPr>
              <w:spacing w:after="0"/>
              <w:rPr>
                <w:sz w:val="22"/>
                <w:szCs w:val="22"/>
                <w:color w:val="auto"/>
              </w:rPr>
            </w:pPr>
          </w:p>
        </w:tc>
        <w:tc>
          <w:tcPr>
            <w:tcW w:w="660" w:type="dxa"/>
            <w:vAlign w:val="bottom"/>
            <w:tcBorders>
              <w:bottom w:val="single" w:sz="8" w:color="CFF0FC"/>
            </w:tcBorders>
            <w:shd w:val="clear" w:color="auto" w:fill="CFF0FC"/>
          </w:tcPr>
          <w:p>
            <w:pPr>
              <w:spacing w:after="0"/>
              <w:rPr>
                <w:sz w:val="22"/>
                <w:szCs w:val="22"/>
                <w:color w:val="auto"/>
              </w:rPr>
            </w:pPr>
          </w:p>
        </w:tc>
        <w:tc>
          <w:tcPr>
            <w:tcW w:w="10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-2397125</wp:posOffset>
            </wp:positionV>
            <wp:extent cx="7132320" cy="15430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-2088515</wp:posOffset>
            </wp:positionV>
            <wp:extent cx="7132320" cy="15430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5430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-1146810</wp:posOffset>
            </wp:positionV>
            <wp:extent cx="7132320" cy="1543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-829945</wp:posOffset>
            </wp:positionV>
            <wp:extent cx="7132320" cy="1543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-2713355</wp:posOffset>
            </wp:positionV>
            <wp:extent cx="7132320" cy="16256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-1309370</wp:posOffset>
            </wp:positionV>
            <wp:extent cx="7683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-1309370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-521970</wp:posOffset>
            </wp:positionV>
            <wp:extent cx="7132320" cy="1625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32320" cy="162560"/>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-24765</wp:posOffset>
            </wp:positionV>
            <wp:extent cx="7683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5142230</wp:posOffset>
            </wp:positionH>
            <wp:positionV relativeFrom="paragraph">
              <wp:posOffset>-7620</wp:posOffset>
            </wp:positionV>
            <wp:extent cx="768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-24765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6546850</wp:posOffset>
            </wp:positionH>
            <wp:positionV relativeFrom="paragraph">
              <wp:posOffset>-7620</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Revenue</w:t>
      </w:r>
    </w:p>
    <w:p>
      <w:pPr>
        <w:spacing w:after="0" w:line="175"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Revenue for the three months ended March 31, 2024 was $2.3 billion, compared to $2.2 billion for the three months ended March 31, 2023, an increase of $97 million, or 4%, on an as-reported basis. Adjusting for the impacts of foreign currency and acquisitions and disposals, our organic revenue growth was 5% for the three months ended March 31, 2024. The increases in both as-reported and organic revenue were driven by strong performances in both segments.</w:t>
      </w:r>
    </w:p>
    <w:p>
      <w:pPr>
        <w:spacing w:after="0" w:line="128" w:lineRule="exact"/>
        <w:rPr>
          <w:sz w:val="20"/>
          <w:szCs w:val="20"/>
          <w:color w:val="auto"/>
        </w:rPr>
      </w:pPr>
    </w:p>
    <w:p>
      <w:pPr>
        <w:jc w:val="both"/>
        <w:ind w:right="340"/>
        <w:spacing w:after="0" w:line="265" w:lineRule="auto"/>
        <w:rPr>
          <w:sz w:val="20"/>
          <w:szCs w:val="20"/>
          <w:color w:val="auto"/>
        </w:rPr>
      </w:pPr>
      <w:r>
        <w:rPr>
          <w:rFonts w:ascii="Times New Roman" w:cs="Times New Roman" w:eastAsia="Times New Roman" w:hAnsi="Times New Roman"/>
          <w:sz w:val="18"/>
          <w:szCs w:val="18"/>
          <w:color w:val="auto"/>
        </w:rPr>
        <w:t>Our revenue can be materially impacted by changes in currency conversions, which can fluctuate significantly over the course of a calendar year. For the three months ended March 31, 2024, currency translation increased our consolidated revenue by $10 million. The primary currencies driving this change were the Pound sterling and Euro.</w:t>
      </w:r>
    </w:p>
    <w:p>
      <w:pPr>
        <w:spacing w:after="0" w:line="123" w:lineRule="exact"/>
        <w:rPr>
          <w:sz w:val="20"/>
          <w:szCs w:val="20"/>
          <w:color w:val="auto"/>
        </w:rPr>
      </w:pPr>
    </w:p>
    <w:p>
      <w:pPr>
        <w:ind w:right="380"/>
        <w:spacing w:after="0" w:line="265" w:lineRule="auto"/>
        <w:rPr>
          <w:sz w:val="20"/>
          <w:szCs w:val="20"/>
          <w:color w:val="auto"/>
        </w:rPr>
      </w:pPr>
      <w:r>
        <w:rPr>
          <w:rFonts w:ascii="Times New Roman" w:cs="Times New Roman" w:eastAsia="Times New Roman" w:hAnsi="Times New Roman"/>
          <w:sz w:val="18"/>
          <w:szCs w:val="18"/>
          <w:color w:val="auto"/>
        </w:rPr>
        <w:t>The following table details our top five markets based on the percentage of consolidated revenue (in U.S. dollars) from the countries where work was performed for the three months ended March 31, 2024. These figures do not represent the currency of the related revenue, which is presented in the next table.</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Geographic Region</w:t>
            </w:r>
          </w:p>
        </w:tc>
        <w:tc>
          <w:tcPr>
            <w:tcW w:w="200" w:type="dxa"/>
            <w:vAlign w:val="bottom"/>
          </w:tcPr>
          <w:p>
            <w:pPr>
              <w:spacing w:after="0"/>
              <w:rPr>
                <w:sz w:val="16"/>
                <w:szCs w:val="16"/>
                <w:color w:val="auto"/>
              </w:rPr>
            </w:pPr>
          </w:p>
        </w:tc>
        <w:tc>
          <w:tcPr>
            <w:tcW w:w="20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4"/>
                <w:szCs w:val="14"/>
                <w:b w:val="1"/>
                <w:bCs w:val="1"/>
                <w:color w:val="auto"/>
              </w:rPr>
              <w:t>% of Revenue</w:t>
            </w:r>
          </w:p>
        </w:tc>
        <w:tc>
          <w:tcPr>
            <w:tcW w:w="60" w:type="dxa"/>
            <w:vAlign w:val="bottom"/>
          </w:tcPr>
          <w:p>
            <w:pPr>
              <w:spacing w:after="0"/>
              <w:rPr>
                <w:sz w:val="16"/>
                <w:szCs w:val="16"/>
                <w:color w:val="auto"/>
              </w:rPr>
            </w:pPr>
          </w:p>
        </w:tc>
      </w:tr>
      <w:tr>
        <w:trPr>
          <w:trHeight w:val="22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States</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47 %</w:t>
            </w: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United Kingdom</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Germany</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43"/>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2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details the approximate percentage of our revenue and expenses by transactional currency for the three months ended March 31, 2024.</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Transactional Currency</w:t>
            </w:r>
          </w:p>
        </w:tc>
        <w:tc>
          <w:tcPr>
            <w:tcW w:w="140" w:type="dxa"/>
            <w:vAlign w:val="bottom"/>
          </w:tcPr>
          <w:p>
            <w:pPr>
              <w:spacing w:after="0"/>
              <w:rPr>
                <w:sz w:val="18"/>
                <w:szCs w:val="18"/>
                <w:color w:val="auto"/>
              </w:rPr>
            </w:pPr>
          </w:p>
        </w:tc>
        <w:tc>
          <w:tcPr>
            <w:tcW w:w="174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Pr>
          <w:p>
            <w:pPr>
              <w:spacing w:after="0"/>
              <w:rPr>
                <w:sz w:val="18"/>
                <w:szCs w:val="18"/>
                <w:color w:val="auto"/>
              </w:rPr>
            </w:pPr>
          </w:p>
        </w:tc>
        <w:tc>
          <w:tcPr>
            <w:tcW w:w="17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 xml:space="preserve">Expenses </w:t>
            </w:r>
            <w:r>
              <w:rPr>
                <w:rFonts w:ascii="Times New Roman" w:cs="Times New Roman" w:eastAsia="Times New Roman" w:hAnsi="Times New Roman"/>
                <w:sz w:val="19"/>
                <w:szCs w:val="19"/>
                <w:b w:val="1"/>
                <w:bCs w:val="1"/>
                <w:color w:val="auto"/>
                <w:vertAlign w:val="superscript"/>
              </w:rPr>
              <w:t>(i)</w:t>
            </w:r>
          </w:p>
        </w:tc>
        <w:tc>
          <w:tcPr>
            <w:tcW w:w="60" w:type="dxa"/>
            <w:vAlign w:val="bottom"/>
          </w:tcPr>
          <w:p>
            <w:pPr>
              <w:spacing w:after="0"/>
              <w:rPr>
                <w:sz w:val="18"/>
                <w:szCs w:val="18"/>
                <w:color w:val="auto"/>
              </w:rPr>
            </w:pPr>
          </w:p>
        </w:tc>
      </w:tr>
      <w:tr>
        <w:trPr>
          <w:trHeight w:val="22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dollars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53 %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53 %</w:t>
            </w:r>
          </w:p>
        </w:tc>
      </w:tr>
      <w:tr>
        <w:trPr>
          <w:trHeight w:val="238"/>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Pounds sterling</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11 %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43"/>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currencies</w:t>
            </w:r>
          </w:p>
        </w:tc>
        <w:tc>
          <w:tcPr>
            <w:tcW w:w="20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17 %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-607060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ind w:left="280" w:right="200" w:hanging="272"/>
        <w:spacing w:after="0" w:line="258" w:lineRule="auto"/>
        <w:tabs>
          <w:tab w:leader="none" w:pos="28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percentages exclude certain expenses for significant items which will not be settled in cash, or which we believe to be items that are not core to our current or future operations. These items include amortization of intangible assets and transaction and transformation costs.</w:t>
      </w:r>
    </w:p>
    <w:p>
      <w:pPr>
        <w:spacing w:after="0" w:line="3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26" w:right="239" w:bottom="1440" w:gutter="0" w:footer="0" w:header="0"/>
        </w:sectPr>
      </w:pPr>
    </w:p>
    <w:bookmarkStart w:id="29" w:name="page30"/>
    <w:bookmarkEnd w:id="29"/>
    <w:p>
      <w:pPr>
        <w:ind w:right="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total revenue for the three months ended March 31, 2024 and 2023, and the components of the change in total revenue for the three months ended March 31, 2024, as compared to the prior-year period. The components of the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2,244</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140" w:hanging="272"/>
        <w:spacing w:after="0" w:line="258" w:lineRule="auto"/>
        <w:tabs>
          <w:tab w:leader="none" w:pos="28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contributed 1% to organic change for total revenue for the three months ended March 31, 2024. Organic change for total revenue excluding this contribution was 4% for the three months ended March 31, 2024.</w:t>
      </w:r>
    </w:p>
    <w:p>
      <w:pPr>
        <w:spacing w:after="0" w:line="11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Definitions of Constant Currency Change and Organic Change are included under the section entitled ‘Non-GAAP Financial Measures’ elsewhere within Item 2 of this Form 10-Q.</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Revenue</w:t>
      </w:r>
    </w:p>
    <w:p>
      <w:pPr>
        <w:spacing w:after="0" w:line="17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segment descriptions below should be read in conjunction with the full descriptions of our businesses contained in Part I, Item 1. ‘Business’, within our Annual Report on Form 10-K, filed with the SEC on February 22, 2024.</w:t>
      </w:r>
    </w:p>
    <w:p>
      <w:pPr>
        <w:spacing w:after="0" w:line="109"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18"/>
          <w:szCs w:val="18"/>
          <w:color w:val="auto"/>
        </w:rPr>
        <w:t>Segment revenue excludes amounts that were directly incurred on behalf of our clients and reimbursed by them (reimbursed expenses); however, these amounts are included in consolidated revenue, as permitted by applicable accounting standards and SEC rules.</w:t>
      </w:r>
    </w:p>
    <w:p>
      <w:pPr>
        <w:spacing w:after="0" w:line="109"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experiences seasonal fluctuations in its revenue. Revenue is typically higher during the Company’s first and fourth quarters due primarily to the timing of broking-related activities.</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each table presented below, the components of the revenue change may not add due to rounding.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 Wealth &amp; Career</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The Health, Wealth &amp; Career (‘HWC’) segment provides an array of advice, broking, solutions and technology for employee benefit plans, institutional investors, compensation and career programs, and the employee experience overall. Our portfolio of services supports the interrelated challenges that the management teams of our clients face across human resources and finance.</w:t>
      </w:r>
    </w:p>
    <w:p>
      <w:pPr>
        <w:spacing w:after="0" w:line="123"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HWC is the larger of the two segments of the Company. Addressing four key areas, Health, Wealth, Career and Benefits Delivery &amp; Outsourcing, the segment is focused on addressing our clients’ people and risk needs to help them succeed in a global marketplace.</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The following table sets forth HWC revenue for the three months ended March 31, 2024 and 2023, and the components of the change in revenue for the three months ended March 31, 2024 from the three months ended March 31,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2020" w:type="dxa"/>
            <w:vAlign w:val="bottom"/>
            <w:gridSpan w:val="6"/>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in</w:t>
            </w:r>
          </w:p>
        </w:tc>
        <w:tc>
          <w:tcPr>
            <w:tcW w:w="10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 interest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4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1,282</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1,287</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3%</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HWC segment revenue for both the three months ended March 31, 2024 and 2023 was $1.3 billion. Organic revenue growth in Health was driven by the continued expansion of our Global Benefits Management client portfolio in International and Europe. Our Wealth businesses generated organic revenue growth from higher levels of Retirement work in North America and Europe. Career had organic revenue growth from increased project work in Employee Experience and Work &amp; Rewards. Organic growth in Benefits Delivery &amp; Outsourcing was driven by higher volumes and placements of Medicare Advantage and life policies in Individual Marketplace.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Risk &amp; Broking</w:t>
      </w:r>
    </w:p>
    <w:p>
      <w:pPr>
        <w:spacing w:after="0" w:line="1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The Risk &amp; Broking (‘R&amp;B’) segment provides a broad range of risk advice, insurance brokerage and consulting services to clients worldwide ranging from small businesses to multinational corporations. The segment comprises two primary businesses - Corporate Risk &amp; Broking and Insurance Consulting and Technology.</w:t>
      </w:r>
    </w:p>
    <w:p>
      <w:pPr>
        <w:spacing w:after="0" w:line="12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18"/>
          <w:szCs w:val="18"/>
          <w:color w:val="auto"/>
        </w:rPr>
        <w:t>The following table sets forth R&amp;B revenue for the three months ended March 31, 2024 and 2023, and the components of the change in revenue for the three months ended March 31, 2024 from the three months ended March 31, 2023.</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60" w:type="dxa"/>
            <w:vAlign w:val="bottom"/>
          </w:tcPr>
          <w:p>
            <w:pPr>
              <w:spacing w:after="0"/>
              <w:rPr>
                <w:sz w:val="15"/>
                <w:szCs w:val="15"/>
                <w:color w:val="auto"/>
              </w:rPr>
            </w:pPr>
          </w:p>
        </w:tc>
        <w:tc>
          <w:tcPr>
            <w:tcW w:w="2020" w:type="dxa"/>
            <w:vAlign w:val="bottom"/>
            <w:gridSpan w:val="6"/>
            <w:vMerge w:val="restart"/>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c>
          <w:tcPr>
            <w:tcW w:w="100" w:type="dxa"/>
            <w:vAlign w:val="bottom"/>
          </w:tcPr>
          <w:p>
            <w:pPr>
              <w:spacing w:after="0"/>
              <w:rPr>
                <w:sz w:val="15"/>
                <w:szCs w:val="15"/>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960" w:type="dxa"/>
            <w:vAlign w:val="bottom"/>
          </w:tcPr>
          <w:p>
            <w:pPr>
              <w:spacing w:after="0"/>
              <w:rPr>
                <w:sz w:val="10"/>
                <w:szCs w:val="10"/>
                <w:color w:val="auto"/>
              </w:rPr>
            </w:pPr>
          </w:p>
        </w:tc>
        <w:tc>
          <w:tcPr>
            <w:tcW w:w="2020" w:type="dxa"/>
            <w:vAlign w:val="bottom"/>
            <w:gridSpan w:val="6"/>
            <w:vMerge w:val="continue"/>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7"/>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31,</w:t>
            </w: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Reported</w:t>
            </w: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6"/>
                <w:szCs w:val="16"/>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12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4"/>
                <w:szCs w:val="14"/>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69"/>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 in</w:t>
            </w:r>
          </w:p>
        </w:tc>
        <w:tc>
          <w:tcPr>
            <w:tcW w:w="1080" w:type="dxa"/>
            <w:vAlign w:val="bottom"/>
            <w:gridSpan w:val="3"/>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w w:val="76"/>
              </w:rPr>
              <w:t>millions)</w:t>
            </w: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Segment revenue excluding interest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w:t>
            </w:r>
          </w:p>
        </w:tc>
        <w:tc>
          <w:tcPr>
            <w:tcW w:w="4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892</w:t>
            </w:r>
          </w:p>
        </w:tc>
        <w:tc>
          <w:tcPr>
            <w:tcW w:w="126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7%</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6%</w:t>
            </w:r>
          </w:p>
        </w:tc>
        <w:tc>
          <w:tcPr>
            <w:tcW w:w="0" w:type="dxa"/>
            <w:vAlign w:val="bottom"/>
          </w:tcPr>
          <w:p>
            <w:pPr>
              <w:spacing w:after="0"/>
              <w:rPr>
                <w:sz w:val="1"/>
                <w:szCs w:val="1"/>
                <w:color w:val="auto"/>
              </w:rPr>
            </w:pPr>
          </w:p>
        </w:tc>
      </w:tr>
      <w:tr>
        <w:trPr>
          <w:trHeight w:val="238"/>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segment revenue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w:t>
            </w:r>
          </w:p>
        </w:tc>
        <w:tc>
          <w:tcPr>
            <w:tcW w:w="1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904</w:t>
            </w:r>
          </w:p>
        </w:tc>
        <w:tc>
          <w:tcPr>
            <w:tcW w:w="1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9"/>
              </w:rPr>
              <w:t>8%</w:t>
            </w:r>
          </w:p>
        </w:tc>
        <w:tc>
          <w:tcPr>
            <w:tcW w:w="10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2479675</wp:posOffset>
            </wp:positionH>
            <wp:positionV relativeFrom="paragraph">
              <wp:posOffset>-24765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2479675</wp:posOffset>
            </wp:positionH>
            <wp:positionV relativeFrom="paragraph">
              <wp:posOffset>-7620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3155950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R&amp;B segment revenue for the three months ended March 31, 2024 and 2023 was $978 million and $904 million, respectively. Corporate Risk &amp; Broking had organic revenue growth primarily driven by strong client retention across all geographies and higher levels of new business activity. Insurance Consulting and Technology had flat organic revenue growth for the quarter primarily due to the timing of consulting and technology revenue between quarters.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Costs of Providing Services</w:t>
      </w:r>
    </w:p>
    <w:p>
      <w:pPr>
        <w:spacing w:after="0" w:line="17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Total costs of providing services for the three months ended March 31, 2024 was $2.1 billion, compared to $2.0 billion for the three months ended March 31, 2023, an increase of $102 million, or 5%. See the following discussion for further details.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Salaries and Benefits</w:t>
      </w:r>
    </w:p>
    <w:p>
      <w:pPr>
        <w:spacing w:after="0" w:line="173" w:lineRule="exact"/>
        <w:rPr>
          <w:sz w:val="20"/>
          <w:szCs w:val="20"/>
          <w:color w:val="auto"/>
        </w:rPr>
      </w:pPr>
    </w:p>
    <w:p>
      <w:pPr>
        <w:jc w:val="both"/>
        <w:ind w:right="280"/>
        <w:spacing w:after="0" w:line="265" w:lineRule="auto"/>
        <w:rPr>
          <w:sz w:val="20"/>
          <w:szCs w:val="20"/>
          <w:color w:val="auto"/>
        </w:rPr>
      </w:pPr>
      <w:r>
        <w:rPr>
          <w:rFonts w:ascii="Times New Roman" w:cs="Times New Roman" w:eastAsia="Times New Roman" w:hAnsi="Times New Roman"/>
          <w:sz w:val="18"/>
          <w:szCs w:val="18"/>
          <w:color w:val="auto"/>
        </w:rPr>
        <w:t>Salaries and benefits for both the three months ended March 31, 2024 and 2023 were $1.3 billion, an increase of $29 million. The increase in the current year is primarily due to higher salary expense, driven by increased colleague headcount and cost-of-living compensation adjustments and higher benefit costs for the period, partially offset by lower incentive costs.</w:t>
      </w:r>
    </w:p>
    <w:p>
      <w:pPr>
        <w:spacing w:after="0" w:line="123" w:lineRule="exact"/>
        <w:rPr>
          <w:sz w:val="20"/>
          <w:szCs w:val="20"/>
          <w:color w:val="auto"/>
        </w:rPr>
      </w:pPr>
    </w:p>
    <w:p>
      <w:pPr>
        <w:ind w:right="920"/>
        <w:spacing w:after="0" w:line="437" w:lineRule="auto"/>
        <w:rPr>
          <w:sz w:val="20"/>
          <w:szCs w:val="20"/>
          <w:color w:val="auto"/>
        </w:rPr>
      </w:pPr>
      <w:r>
        <w:rPr>
          <w:rFonts w:ascii="Times New Roman" w:cs="Times New Roman" w:eastAsia="Times New Roman" w:hAnsi="Times New Roman"/>
          <w:sz w:val="18"/>
          <w:szCs w:val="18"/>
          <w:color w:val="auto"/>
        </w:rPr>
        <w:t xml:space="preserve">Salaries and benefits, as a percentage of revenue, represented 57% and 59% for the three months ended March 31, 2024 and 2023, respectively. </w:t>
      </w:r>
      <w:r>
        <w:rPr>
          <w:rFonts w:ascii="Times New Roman" w:cs="Times New Roman" w:eastAsia="Times New Roman" w:hAnsi="Times New Roman"/>
          <w:sz w:val="18"/>
          <w:szCs w:val="18"/>
          <w:i w:val="1"/>
          <w:iCs w:val="1"/>
          <w:color w:val="auto"/>
        </w:rPr>
        <w:t>Other Operating Expenses</w:t>
      </w:r>
    </w:p>
    <w:p>
      <w:pPr>
        <w:spacing w:after="0" w:line="1"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Other operating expenses for the three months ended March 31, 2024 were $457 million, compared to $453 million for the three months ended March 31, 2023, an increase of $4 million. The increase was primarily due to increased marketing expenses, partially offset by lower occupancy costs for the current year as compared to the prior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w:t>
      </w:r>
    </w:p>
    <w:p>
      <w:pPr>
        <w:spacing w:after="0" w:line="173"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8"/>
          <w:szCs w:val="18"/>
          <w:color w:val="auto"/>
        </w:rPr>
        <w:t>Depreciation for the three months ended March 31, 2024 was $59 million, compared to $60 million for the three months ended March 31, 2023, a decrease of $1 million, or 2%. The year-over-year decrease was primarily due to a lower depreciable base of assets resulting from business disposals and a lower dollar value of assets placed in service during the past few years.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Amortization</w:t>
      </w:r>
    </w:p>
    <w:p>
      <w:pPr>
        <w:spacing w:after="0" w:line="173"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Amortization for the three months ended March 31, 2024 was $60 million, compared to $71 million for the three months ended March 31, 2023, a decrease of $11 million, or 15%. Our intangible amortization is generally more heavily weighted to the initial years of the useful lives of the related intangibles, and therefore amortization related to intangible assets has decreased and will continue to decrease over time.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Restructuring Costs</w:t>
      </w:r>
    </w:p>
    <w:p>
      <w:pPr>
        <w:spacing w:after="0" w:line="173" w:lineRule="exact"/>
        <w:rPr>
          <w:sz w:val="20"/>
          <w:szCs w:val="20"/>
          <w:color w:val="auto"/>
        </w:rPr>
      </w:pPr>
    </w:p>
    <w:p>
      <w:pPr>
        <w:jc w:val="both"/>
        <w:ind w:right="440"/>
        <w:spacing w:after="0" w:line="265" w:lineRule="auto"/>
        <w:rPr>
          <w:sz w:val="20"/>
          <w:szCs w:val="20"/>
          <w:color w:val="auto"/>
        </w:rPr>
      </w:pPr>
      <w:r>
        <w:rPr>
          <w:rFonts w:ascii="Times New Roman" w:cs="Times New Roman" w:eastAsia="Times New Roman" w:hAnsi="Times New Roman"/>
          <w:sz w:val="18"/>
          <w:szCs w:val="18"/>
          <w:color w:val="auto"/>
        </w:rPr>
        <w:t>Restructuring costs for the three months ended March 31, 2024 were $18 million, compared to $3 million for the three months ended March 31, 2023. Restructuring costs in both the current-year and prior-year periods primarily related to the real estate rationalization component of the Transformation program commenced by the Company during the fourth quarter of 2021 (see ‘Transformation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1" w:name="page32"/>
    <w:bookmarkEnd w:id="31"/>
    <w:p>
      <w:pPr>
        <w:ind w:right="100"/>
        <w:spacing w:after="0" w:line="437" w:lineRule="auto"/>
        <w:rPr>
          <w:sz w:val="20"/>
          <w:szCs w:val="20"/>
          <w:color w:val="auto"/>
        </w:rPr>
      </w:pPr>
      <w:r>
        <w:rPr>
          <w:rFonts w:ascii="Times New Roman" w:cs="Times New Roman" w:eastAsia="Times New Roman" w:hAnsi="Times New Roman"/>
          <w:sz w:val="18"/>
          <w:szCs w:val="18"/>
          <w:color w:val="auto"/>
        </w:rPr>
        <w:t xml:space="preserve">Program’ within this Part I, Item 2 and Note 6 — Restructuring Costs within Part I, Item 1 ‘Financial Statements’ of this Quarterly Report on Form 10-Q). </w:t>
      </w:r>
      <w:r>
        <w:rPr>
          <w:rFonts w:ascii="Times New Roman" w:cs="Times New Roman" w:eastAsia="Times New Roman" w:hAnsi="Times New Roman"/>
          <w:sz w:val="18"/>
          <w:szCs w:val="18"/>
          <w:i w:val="1"/>
          <w:iCs w:val="1"/>
          <w:color w:val="auto"/>
        </w:rPr>
        <w:t>Transaction and Transformation</w:t>
      </w:r>
    </w:p>
    <w:p>
      <w:pPr>
        <w:spacing w:after="0" w:line="1"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8"/>
          <w:szCs w:val="18"/>
          <w:color w:val="auto"/>
        </w:rPr>
        <w:t>Transaction and transformation for the three months ended March 31, 2024 were $125 million, compared to $59 million for the three months ended March 31, 2023, an increase of $66 million. Transaction and transformation costs for the current year were higher primarily due to increased consulting and compensation costs related to our Transformation program (see ‘Transformation Program’ within this Part I, Item 2) incurred in the current period as compared to the prior-year comparable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p>
      <w:pPr>
        <w:spacing w:after="0" w:line="175"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Income from operations for the three months ended March 31, 2024 was $280 million, compared to $285 million for the three months ended March 31, 2023, a decrease of $5 million. This decrease resulted primarily from higher transformation and transaction costs, higher salary expense, higher restructuring costs and higher marketing costs in the current year, partially offset by higher revenue and lower incentive and occupancy costs in the current-year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75"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18"/>
          <w:szCs w:val="18"/>
          <w:color w:val="auto"/>
        </w:rPr>
        <w:t>Interest expense for the three months ended March 31, 2024 was $64 million, compared to $54 million for the three months ended March 31, 2023, an increase of $10 million, or 19%. This increase was primarily the result of higher levels of indebtedness in the current year.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 Net</w:t>
      </w:r>
    </w:p>
    <w:p>
      <w:pPr>
        <w:spacing w:after="0" w:line="175"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8"/>
          <w:szCs w:val="18"/>
          <w:color w:val="auto"/>
        </w:rPr>
        <w:t>Other income, net for the three months ended March 31, 2024 was $26 million, compared to $25 million for the three months ended March 31, 2023, an increase of $1 million. The increase was due primarily to favorable foreign currency movement in the current-year period, partially offset by lower pension income.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7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Provision for income taxes for the three months ended March 31, 2024 was $48 million, compared to $50 million for the three months ended March 31, 2023, a decrease of $2 million. The effective tax rate was 19.9% for the three months ended March 31, 2024, and 19.5% for the three months ended March 31, 2023. These effective tax rates are calculated using extended values from our condensed consolidated statements of comprehensive income and are therefore more precise tax rates than can be calculated from rounded values. The current-year quarter’s effective tax rate is higher due to the distribution of geographical income.</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 Attributable to WTW</w:t>
      </w:r>
    </w:p>
    <w:p>
      <w:pPr>
        <w:spacing w:after="0" w:line="17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Net income attributable to WTW for the three months ended March 31, 2024 was $190 million, compared to $203 million for the three months ended March 31, 2023, a decrease of $13 million, or 6%. This decrease resulted primarily from higher transformation and transaction costs, higher salary expense, higher restructuring costs and higher marketing costs in the current year, partially offset by higher revenue and lower incentive and occupancy costs in the current-year period.</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75"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Our principal sources of liquidity are funds generated by operating activities, available cash and cash equivalents and amounts available under our revolving credit facility and any new debt offerings.</w:t>
      </w:r>
    </w:p>
    <w:p>
      <w:pPr>
        <w:spacing w:after="0" w:line="109"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18"/>
          <w:szCs w:val="18"/>
          <w:color w:val="auto"/>
        </w:rPr>
        <w:t>There has been significant volatility in financial markets, including occasional declines in equity markets, inflation and changes in interest rates and reduced liquidity on a global basis and we expect this volatility could continue.</w:t>
      </w:r>
    </w:p>
    <w:p>
      <w:pPr>
        <w:spacing w:after="0" w:line="10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Based on our current balance sheet and cash flows, current market conditions and information available to us at this time, we believe that WTW has access to sufficient liquidity, which includes all of the borrowing capacity available to draw against our $1.5 billion revolving credit facility, to meet our cash needs for the next twelve months, including investments in the business for growth and those related to our Transformation program, scheduled debt repayments, share repurchases and dividend payments. During the first quarter of 2024, we completed an offering of $750 million aggregate principal amount of 5.900% senior notes due 2054. We plan to use the proceeds to repay in full the $650 million aggregate principal amount of 3.600% senior notes (which will mature during the second quarter of 2024) and related accrued interest, and for general corporate purposes. Additionally, during the three months ended March 31, 2024, we repurchased $101 million of shares, and have authorization to repurchase an additional $1.2 billion.</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0" w:right="359" w:bottom="1440" w:gutter="0" w:footer="0" w:header="0"/>
        </w:sectPr>
      </w:pPr>
    </w:p>
    <w:bookmarkStart w:id="32" w:name="page33"/>
    <w:bookmarkEnd w:id="32"/>
    <w:p>
      <w:pPr>
        <w:jc w:val="both"/>
        <w:ind w:right="180"/>
        <w:spacing w:after="0" w:line="265" w:lineRule="auto"/>
        <w:rPr>
          <w:sz w:val="20"/>
          <w:szCs w:val="20"/>
          <w:color w:val="auto"/>
        </w:rPr>
      </w:pPr>
      <w:r>
        <w:rPr>
          <w:rFonts w:ascii="Times New Roman" w:cs="Times New Roman" w:eastAsia="Times New Roman" w:hAnsi="Times New Roman"/>
          <w:sz w:val="18"/>
          <w:szCs w:val="18"/>
          <w:color w:val="auto"/>
        </w:rPr>
        <w:t>We consider many factors, including market and economic conditions, applicable legal requirements and other business considerations, when considering whether to repurchase shares. Our share repurchase program (as further described below under ‘Share Repurchase Program’) has no termination date and may be suspended or discontinued at any time.</w:t>
      </w:r>
    </w:p>
    <w:p>
      <w:pPr>
        <w:spacing w:after="0" w:line="123"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Events that could change the historical cash flow dynamics discussed above include significant changes in operating results, potential future acquisitions or divestitures, material changes in geographic sources of cash, unexpected adverse impacts from litigation or regulatory matters, or future pension funding during periods of severe downturn in the capital markets.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Undistributed Earnings of Foreign Subsidiaries</w:t>
      </w:r>
    </w:p>
    <w:p>
      <w:pPr>
        <w:spacing w:after="0" w:line="173"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Company recognizes deferred tax balances related to the undistributed earnings of subsidiaries when it expects that it will recover those undistributed earnings in a taxable manner, such as through receipt of dividends or sale of the investments.</w:t>
      </w:r>
    </w:p>
    <w:p>
      <w:pPr>
        <w:spacing w:after="0" w:line="10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We continue to have certain subsidiaries whose earnings have not been deemed permanently reinvested, for which we have been accruing estimates of the tax effects of such repatriation. Excluding these certain subsidiaries, we continue to assert that the historical cumulative earnings for the remainder of our subsidiaries have been reinvested indefinitely and therefore do not provide deferred taxes on these amounts. If future events, including material changes in estimates of cash, working capital, long-term investment requirements or additional legislation, necessitate that these earnings be distributed, an additional provision for income and foreign withholding taxes, net of credits, may be necessary. Other potential sources of cash may be through the settlement of intercompany loans or return of capital distributions in a tax-efficient manner.</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175" w:lineRule="exact"/>
        <w:rPr>
          <w:sz w:val="20"/>
          <w:szCs w:val="20"/>
          <w:color w:val="auto"/>
        </w:rPr>
      </w:pPr>
    </w:p>
    <w:p>
      <w:pPr>
        <w:jc w:val="both"/>
        <w:ind w:right="60"/>
        <w:spacing w:after="0" w:line="265" w:lineRule="auto"/>
        <w:rPr>
          <w:sz w:val="20"/>
          <w:szCs w:val="20"/>
          <w:color w:val="auto"/>
        </w:rPr>
      </w:pPr>
      <w:r>
        <w:rPr>
          <w:rFonts w:ascii="Times New Roman" w:cs="Times New Roman" w:eastAsia="Times New Roman" w:hAnsi="Times New Roman"/>
          <w:sz w:val="18"/>
          <w:szCs w:val="18"/>
          <w:color w:val="auto"/>
        </w:rPr>
        <w:t>Our cash and cash equivalents at March 31, 2024 totaled $1.9 billion, compared to $1.4 billion at December 31, 2023. The increase in cash from December 31, 2023 to March 31, 2024 was due primarily to $739 million of net proceeds from the issuance of 5.900% senior notes due 2054, partially offset by $101 million of share repurchases and $86 million of dividend payments.</w:t>
      </w:r>
    </w:p>
    <w:p>
      <w:pPr>
        <w:spacing w:after="0" w:line="123" w:lineRule="exact"/>
        <w:rPr>
          <w:sz w:val="20"/>
          <w:szCs w:val="20"/>
          <w:color w:val="auto"/>
        </w:rPr>
      </w:pPr>
    </w:p>
    <w:p>
      <w:pPr>
        <w:jc w:val="both"/>
        <w:ind w:right="60"/>
        <w:spacing w:after="0" w:line="281" w:lineRule="auto"/>
        <w:rPr>
          <w:sz w:val="20"/>
          <w:szCs w:val="20"/>
          <w:color w:val="auto"/>
        </w:rPr>
      </w:pPr>
      <w:r>
        <w:rPr>
          <w:rFonts w:ascii="Times New Roman" w:cs="Times New Roman" w:eastAsia="Times New Roman" w:hAnsi="Times New Roman"/>
          <w:sz w:val="18"/>
          <w:szCs w:val="18"/>
          <w:color w:val="auto"/>
        </w:rPr>
        <w:t>Additionally, we had all of the borrowing capacity available to draw against our $1.5 billion revolving credit facility at both March 31, 2024 and December 31, 2023.</w:t>
      </w:r>
    </w:p>
    <w:p>
      <w:pPr>
        <w:spacing w:after="0" w:line="109"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Included within cash and cash equivalents at March 31, 2024 and December 31, 2023 are amounts held for regulatory capital adequacy requirements, including $105 million held at both periods, within our regulated U.K. entities.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Summarized Condensed Consolidated 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summarized condensed consolidated cash flow information for the three months ended March 31, 2024 and 2023:</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92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9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79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from/(used in):</w:t>
            </w:r>
          </w:p>
        </w:tc>
        <w:tc>
          <w:tcPr>
            <w:tcW w:w="960" w:type="dxa"/>
            <w:vAlign w:val="bottom"/>
          </w:tcPr>
          <w:p>
            <w:pPr>
              <w:spacing w:after="0"/>
              <w:rPr>
                <w:sz w:val="15"/>
                <w:szCs w:val="15"/>
                <w:color w:val="auto"/>
              </w:rPr>
            </w:pPr>
          </w:p>
        </w:tc>
        <w:tc>
          <w:tcPr>
            <w:tcW w:w="1760" w:type="dxa"/>
            <w:vAlign w:val="bottom"/>
            <w:gridSpan w:val="3"/>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7920" w:type="dxa"/>
            <w:vAlign w:val="bottom"/>
            <w:vMerge w:val="continue"/>
          </w:tcPr>
          <w:p>
            <w:pPr>
              <w:spacing w:after="0"/>
              <w:rPr>
                <w:sz w:val="19"/>
                <w:szCs w:val="19"/>
                <w:color w:val="auto"/>
              </w:rPr>
            </w:pPr>
          </w:p>
        </w:tc>
        <w:tc>
          <w:tcPr>
            <w:tcW w:w="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79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24</w:t>
            </w:r>
          </w:p>
        </w:tc>
        <w:tc>
          <w:tcPr>
            <w:tcW w:w="1120" w:type="dxa"/>
            <w:vAlign w:val="bottom"/>
            <w:gridSpan w:val="2"/>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38"/>
        </w:trPr>
        <w:tc>
          <w:tcPr>
            <w:tcW w:w="7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(61 )</w:t>
            </w:r>
          </w:p>
        </w:tc>
        <w:tc>
          <w:tcPr>
            <w:tcW w:w="0" w:type="dxa"/>
            <w:vAlign w:val="bottom"/>
          </w:tcPr>
          <w:p>
            <w:pPr>
              <w:spacing w:after="0"/>
              <w:rPr>
                <w:sz w:val="1"/>
                <w:szCs w:val="1"/>
                <w:color w:val="auto"/>
              </w:rPr>
            </w:pPr>
          </w:p>
        </w:tc>
      </w:tr>
      <w:tr>
        <w:trPr>
          <w:trHeight w:val="243"/>
        </w:trPr>
        <w:tc>
          <w:tcPr>
            <w:tcW w:w="79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1,556</w:t>
            </w:r>
          </w:p>
        </w:tc>
        <w:tc>
          <w:tcPr>
            <w:tcW w:w="16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(453 )</w:t>
            </w:r>
          </w:p>
        </w:tc>
        <w:tc>
          <w:tcPr>
            <w:tcW w:w="0" w:type="dxa"/>
            <w:vAlign w:val="bottom"/>
          </w:tcPr>
          <w:p>
            <w:pPr>
              <w:spacing w:after="0"/>
              <w:rPr>
                <w:sz w:val="1"/>
                <w:szCs w:val="1"/>
                <w:color w:val="auto"/>
              </w:rPr>
            </w:pPr>
          </w:p>
        </w:tc>
      </w:tr>
      <w:tr>
        <w:trPr>
          <w:trHeight w:val="189"/>
        </w:trPr>
        <w:tc>
          <w:tcPr>
            <w:tcW w:w="792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INCREASE/(DECREASE) IN CASH, CASH EQUIVALENTS AND RESTRICTED</w:t>
            </w:r>
          </w:p>
        </w:tc>
        <w:tc>
          <w:tcPr>
            <w:tcW w:w="9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8"/>
        </w:trPr>
        <w:tc>
          <w:tcPr>
            <w:tcW w:w="792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 xml:space="preserve">CASH </w:t>
            </w:r>
            <w:r>
              <w:rPr>
                <w:rFonts w:ascii="Times New Roman" w:cs="Times New Roman" w:eastAsia="Times New Roman" w:hAnsi="Times New Roman"/>
                <w:sz w:val="24"/>
                <w:szCs w:val="24"/>
                <w:color w:val="auto"/>
                <w:vertAlign w:val="superscript"/>
              </w:rPr>
              <w:t>(i)</w:t>
            </w:r>
          </w:p>
        </w:tc>
        <w:tc>
          <w:tcPr>
            <w:tcW w:w="960" w:type="dxa"/>
            <w:vAlign w:val="bottom"/>
          </w:tcPr>
          <w:p>
            <w:pPr>
              <w:spacing w:after="0"/>
              <w:rPr>
                <w:sz w:val="23"/>
                <w:szCs w:val="23"/>
                <w:color w:val="auto"/>
              </w:rPr>
            </w:pPr>
          </w:p>
        </w:tc>
        <w:tc>
          <w:tcPr>
            <w:tcW w:w="6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1,506</w:t>
            </w: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(380 )</w:t>
            </w:r>
          </w:p>
        </w:tc>
        <w:tc>
          <w:tcPr>
            <w:tcW w:w="0" w:type="dxa"/>
            <w:vAlign w:val="bottom"/>
          </w:tcPr>
          <w:p>
            <w:pPr>
              <w:spacing w:after="0"/>
              <w:rPr>
                <w:sz w:val="1"/>
                <w:szCs w:val="1"/>
                <w:color w:val="auto"/>
              </w:rPr>
            </w:pPr>
          </w:p>
        </w:tc>
      </w:tr>
      <w:tr>
        <w:trPr>
          <w:trHeight w:val="243"/>
        </w:trPr>
        <w:tc>
          <w:tcPr>
            <w:tcW w:w="7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9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16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3"/>
        </w:trPr>
        <w:tc>
          <w:tcPr>
            <w:tcW w:w="792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BEGINNING OF PERIOD </w:t>
            </w:r>
            <w:r>
              <w:rPr>
                <w:rFonts w:ascii="Times New Roman" w:cs="Times New Roman" w:eastAsia="Times New Roman" w:hAnsi="Times New Roman"/>
                <w:sz w:val="24"/>
                <w:szCs w:val="24"/>
                <w:color w:val="auto"/>
                <w:vertAlign w:val="superscript"/>
              </w:rPr>
              <w:t>(i)</w:t>
            </w:r>
          </w:p>
        </w:tc>
        <w:tc>
          <w:tcPr>
            <w:tcW w:w="9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3,792</w:t>
            </w:r>
          </w:p>
        </w:tc>
        <w:tc>
          <w:tcPr>
            <w:tcW w:w="1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4,721</w:t>
            </w:r>
          </w:p>
        </w:tc>
        <w:tc>
          <w:tcPr>
            <w:tcW w:w="0" w:type="dxa"/>
            <w:vAlign w:val="bottom"/>
          </w:tcPr>
          <w:p>
            <w:pPr>
              <w:spacing w:after="0"/>
              <w:rPr>
                <w:sz w:val="1"/>
                <w:szCs w:val="1"/>
                <w:color w:val="auto"/>
              </w:rPr>
            </w:pPr>
          </w:p>
        </w:tc>
      </w:tr>
      <w:tr>
        <w:trPr>
          <w:trHeight w:val="276"/>
        </w:trPr>
        <w:tc>
          <w:tcPr>
            <w:tcW w:w="7920" w:type="dxa"/>
            <w:vAlign w:val="bottom"/>
            <w:tcBorders>
              <w:bottom w:val="single" w:sz="8" w:color="CFF0FC"/>
            </w:tcBorders>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CASH, CASH EQUIVALENTS AND RESTRICTED CASH, END OF PERIOD </w:t>
            </w:r>
            <w:r>
              <w:rPr>
                <w:rFonts w:ascii="Times New Roman" w:cs="Times New Roman" w:eastAsia="Times New Roman" w:hAnsi="Times New Roman"/>
                <w:sz w:val="24"/>
                <w:szCs w:val="24"/>
                <w:color w:val="auto"/>
                <w:vertAlign w:val="superscript"/>
              </w:rPr>
              <w:t>(i)</w:t>
            </w: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5,251</w:t>
            </w:r>
          </w:p>
        </w:tc>
        <w:tc>
          <w:tcPr>
            <w:tcW w:w="16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9"/>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4,362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-795655</wp:posOffset>
            </wp:positionV>
            <wp:extent cx="10287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-24765</wp:posOffset>
            </wp:positionV>
            <wp:extent cx="1028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-7620</wp:posOffset>
            </wp:positionV>
            <wp:extent cx="10287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jc w:val="both"/>
        <w:ind w:left="280" w:right="160" w:hanging="272"/>
        <w:spacing w:after="0" w:line="252" w:lineRule="auto"/>
        <w:tabs>
          <w:tab w:leader="none" w:pos="2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amounts of cash, cash equivalents and restricted cash, their respective classification on the condensed consolidated balance sheets, as well as their respective portions of the increase or decrease in cash, cash equivalents and restricted cash for each of the periods presented, have been included in Note 19 </w:t>
      </w:r>
      <w:r>
        <w:rPr>
          <w:rFonts w:ascii="Calibri" w:cs="Calibri" w:eastAsia="Calibri" w:hAnsi="Calibri"/>
          <w:sz w:val="14"/>
          <w:szCs w:val="14"/>
          <w:color w:val="auto"/>
        </w:rPr>
        <w:t>—</w:t>
      </w:r>
      <w:r>
        <w:rPr>
          <w:rFonts w:ascii="Times New Roman" w:cs="Times New Roman" w:eastAsia="Times New Roman" w:hAnsi="Times New Roman"/>
          <w:sz w:val="14"/>
          <w:szCs w:val="14"/>
          <w:color w:val="auto"/>
        </w:rPr>
        <w:t xml:space="preserve"> Supplemental Disclosures of Cash Flow Information within Part I, Item I ‘Financial Statements’ within this Quarterly Report on Form 10-Q.</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Cash flows from operating activities were $24 million for the three months ended March 31, 2024, compared to $134 million for the three months ended March 31, 2023. The $24 million of net cash from operating activities for the three months ended March 31, 2024 included net income of $194 million and $183 million of favorable non-cash adjustments, partially offset by unfavorable changes in operating assets and liabilities of $353 million. This decrease in cash flows from operations as compared to the prior year was primarily driven by increased cash outflows related to the Transformation program and discretionary compensation payments, partially offset by higher collections in the current-year quarter as compared to the prior-year quarter.</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33" w:name="page34"/>
    <w:bookmarkEnd w:id="33"/>
    <w:p>
      <w:pPr>
        <w:ind w:right="120"/>
        <w:spacing w:after="0" w:line="281" w:lineRule="auto"/>
        <w:rPr>
          <w:sz w:val="20"/>
          <w:szCs w:val="20"/>
          <w:color w:val="auto"/>
        </w:rPr>
      </w:pPr>
      <w:r>
        <w:rPr>
          <w:rFonts w:ascii="Times New Roman" w:cs="Times New Roman" w:eastAsia="Times New Roman" w:hAnsi="Times New Roman"/>
          <w:sz w:val="18"/>
          <w:szCs w:val="18"/>
          <w:color w:val="auto"/>
        </w:rPr>
        <w:t>The $134 million of net cash from operating activities for the three months ended March 31, 2023 included net income of $206 million and $191 million of favorable non-cash adjustments, partially offset by unfavorable changes in operating assets and liabilities of $263 million.</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Investing Activities</w:t>
      </w:r>
    </w:p>
    <w:p>
      <w:pPr>
        <w:spacing w:after="0" w:line="175" w:lineRule="exact"/>
        <w:rPr>
          <w:sz w:val="20"/>
          <w:szCs w:val="20"/>
          <w:color w:val="auto"/>
        </w:rPr>
      </w:pPr>
    </w:p>
    <w:p>
      <w:pPr>
        <w:ind w:right="300"/>
        <w:spacing w:after="0" w:line="265" w:lineRule="auto"/>
        <w:rPr>
          <w:sz w:val="20"/>
          <w:szCs w:val="20"/>
          <w:color w:val="auto"/>
        </w:rPr>
      </w:pPr>
      <w:r>
        <w:rPr>
          <w:rFonts w:ascii="Times New Roman" w:cs="Times New Roman" w:eastAsia="Times New Roman" w:hAnsi="Times New Roman"/>
          <w:sz w:val="18"/>
          <w:szCs w:val="18"/>
          <w:color w:val="auto"/>
        </w:rPr>
        <w:t>Cash flows used in investing activities for the three months ended March 31, 2024 were $74 million as compared $61 million for the three months ended March 31, 2023. The cash flows used in investing activities for both the current- and prior-year periods consisted primarily of capital expenditures and capitalized software additions.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From/(Used In) Financing Activities</w:t>
      </w:r>
    </w:p>
    <w:p>
      <w:pPr>
        <w:spacing w:after="0" w:line="175" w:lineRule="exact"/>
        <w:rPr>
          <w:sz w:val="20"/>
          <w:szCs w:val="20"/>
          <w:color w:val="auto"/>
        </w:rPr>
      </w:pPr>
    </w:p>
    <w:p>
      <w:pPr>
        <w:ind w:right="740"/>
        <w:spacing w:after="0" w:line="265" w:lineRule="auto"/>
        <w:rPr>
          <w:sz w:val="20"/>
          <w:szCs w:val="20"/>
          <w:color w:val="auto"/>
        </w:rPr>
      </w:pPr>
      <w:r>
        <w:rPr>
          <w:rFonts w:ascii="Times New Roman" w:cs="Times New Roman" w:eastAsia="Times New Roman" w:hAnsi="Times New Roman"/>
          <w:sz w:val="18"/>
          <w:szCs w:val="18"/>
          <w:color w:val="auto"/>
        </w:rPr>
        <w:t>Cash flows from financing activities for the three months ended March 31, 2024 were $1.6 billion. The significant financing activities included net proceeds from fiduciary funds held for clients of $1.0 billion and $739 million of net proceeds from the issuance of debt, partially offset by share repurchases of $101 million and dividend payments of $86 million.</w:t>
      </w:r>
    </w:p>
    <w:p>
      <w:pPr>
        <w:spacing w:after="0" w:line="123"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8"/>
          <w:szCs w:val="18"/>
          <w:color w:val="auto"/>
        </w:rPr>
        <w:t>Cash flows used in financing activities for the three months ended March 31, 2023 were $453 million. The significant financing activities included net payments from fiduciary funds held for clients of $250 million, share repurchases of $104 million and dividend payments of $87 million.</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debt, total equity, and the capitalization ratios at March 31, 2024 and December 31, 2023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1100" w:type="dxa"/>
            <w:vAlign w:val="bottom"/>
            <w:tcBorders>
              <w:bottom w:val="single" w:sz="8" w:color="auto"/>
            </w:tcBorders>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60" w:type="dxa"/>
            <w:vAlign w:val="bottom"/>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 in</w:t>
            </w:r>
          </w:p>
        </w:tc>
        <w:tc>
          <w:tcPr>
            <w:tcW w:w="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13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5,307</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4,567</w:t>
            </w:r>
          </w:p>
        </w:tc>
        <w:tc>
          <w:tcPr>
            <w:tcW w:w="60" w:type="dxa"/>
            <w:vAlign w:val="bottom"/>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debt</w:t>
            </w: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650</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650</w:t>
            </w:r>
          </w:p>
        </w:tc>
        <w:tc>
          <w:tcPr>
            <w:tcW w:w="6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100" w:type="dxa"/>
            <w:vAlign w:val="bottom"/>
            <w:tcBorders>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5,957</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5,217</w:t>
            </w:r>
          </w:p>
        </w:tc>
        <w:tc>
          <w:tcPr>
            <w:tcW w:w="60" w:type="dxa"/>
            <w:vAlign w:val="bottom"/>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78"/>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WTW shareholders’ equity</w:t>
            </w:r>
          </w:p>
        </w:tc>
        <w:tc>
          <w:tcPr>
            <w:tcW w:w="1100" w:type="dxa"/>
            <w:vAlign w:val="bottom"/>
            <w:tcBorders>
              <w:bottom w:val="single" w:sz="8" w:color="auto"/>
            </w:tcBorders>
            <w:shd w:val="clear" w:color="auto" w:fill="CFF0FC"/>
          </w:tcPr>
          <w:p>
            <w:pPr>
              <w:jc w:val="right"/>
              <w:ind w:right="917"/>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8"/>
                <w:szCs w:val="18"/>
                <w:color w:val="auto"/>
              </w:rPr>
              <w:t>9,489</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center"/>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9,520</w:t>
            </w:r>
          </w:p>
        </w:tc>
        <w:tc>
          <w:tcPr>
            <w:tcW w:w="60" w:type="dxa"/>
            <w:vAlign w:val="bottom"/>
          </w:tcPr>
          <w:p>
            <w:pPr>
              <w:spacing w:after="0"/>
              <w:rPr>
                <w:sz w:val="24"/>
                <w:szCs w:val="24"/>
                <w:color w:val="auto"/>
              </w:rPr>
            </w:pPr>
          </w:p>
        </w:tc>
      </w:tr>
      <w:tr>
        <w:trPr>
          <w:trHeight w:val="46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 ratio</w:t>
            </w:r>
          </w:p>
        </w:tc>
        <w:tc>
          <w:tcPr>
            <w:tcW w:w="1100" w:type="dxa"/>
            <w:vAlign w:val="bottom"/>
          </w:tcPr>
          <w:p>
            <w:pPr>
              <w:spacing w:after="0"/>
              <w:rPr>
                <w:sz w:val="24"/>
                <w:szCs w:val="24"/>
                <w:color w:val="auto"/>
              </w:rPr>
            </w:pPr>
          </w:p>
        </w:tc>
        <w:tc>
          <w:tcPr>
            <w:tcW w:w="74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38.6 %</w:t>
            </w:r>
          </w:p>
        </w:tc>
        <w:tc>
          <w:tcPr>
            <w:tcW w:w="300" w:type="dxa"/>
            <w:vAlign w:val="bottom"/>
          </w:tcPr>
          <w:p>
            <w:pPr>
              <w:spacing w:after="0"/>
              <w:rPr>
                <w:sz w:val="24"/>
                <w:szCs w:val="24"/>
                <w:color w:val="auto"/>
              </w:rPr>
            </w:pP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0"/>
        </w:trPr>
        <w:tc>
          <w:tcPr>
            <w:tcW w:w="77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-692785</wp:posOffset>
            </wp:positionV>
            <wp:extent cx="11112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-675640</wp:posOffset>
            </wp:positionV>
            <wp:extent cx="11112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-358775</wp:posOffset>
            </wp:positionV>
            <wp:extent cx="11112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-341630</wp:posOffset>
            </wp:positionV>
            <wp:extent cx="1111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-179070</wp:posOffset>
            </wp:positionV>
            <wp:extent cx="713232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10"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8"/>
          <w:szCs w:val="18"/>
          <w:color w:val="auto"/>
        </w:rPr>
        <w:t>At March 31, 2024, our mandatory debt repayments over the next twelve months include $650 million outstanding on our 3.600% senior notes, which will mature during the second quarter of 2024. For more information regarding our current and long-term debt, please see ‘Supplemental Guarantor Financial Information’ elsewhere within this Item 2 Management's Discussion and Analysis of Financial Condition and Results of Operations.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were in compliance with all financial covenants.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Fiduciary Funds</w:t>
      </w:r>
    </w:p>
    <w:p>
      <w:pPr>
        <w:spacing w:after="0" w:line="17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As an intermediary, we hold funds, generally in a fiduciary capacity, for the account of third parties, typically as the result of premiums received from clients that are in transit to insurers and claims due to clients that are in transit from insurers. We also hold funds for clients of our benefits account businesses, some of which are invested in open-ended mutual funds as directed by the participant. These fiduciary funds are included in fiduciary assets on our condensed consolidated balance sheets. We present the equal and corresponding fiduciary liabilities related to these fiduciary funds representing amounts or claims due to our clients or premiums due on their behalf to insurers on our condensed consolidated balance sheets.</w:t>
      </w:r>
    </w:p>
    <w:p>
      <w:pPr>
        <w:spacing w:after="0" w:line="12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8"/>
          <w:szCs w:val="18"/>
          <w:color w:val="auto"/>
        </w:rPr>
        <w:t>Fiduciary funds are generally required to be kept in regulated bank accounts subject to guidelines which emphasize capital preservation and liquidity; such funds are not available to service the Company’s debt or for other corporate purposes. Notwithstanding the legal relationships with clients and insurers, the Company is entitled to retain investment income earned on certain of these fiduciary funds in accordance with industry custom and practice and, in some cases, as supported by agreements with insureds.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2024 and December 31, 2023, we had fiduciary funds of $3.6 billion and $2.6 billion, respectively.</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0" w:right="27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our repurchase plans or programs.</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8"/>
          <w:szCs w:val="18"/>
          <w:color w:val="auto"/>
        </w:rPr>
        <w:t>At March 31, 2024, approximately $1.2 billion remained on the current repurchase authority. The maximum number of shares that could be repurchased based on the closing price of our ordinary shares on March 31, 2024 of $275.00 was 4,515,411.</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the Company had the following share repurchase activity: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3"/>
                <w:szCs w:val="13"/>
                <w:color w:val="auto"/>
              </w:rPr>
            </w:pPr>
          </w:p>
        </w:tc>
        <w:tc>
          <w:tcPr>
            <w:tcW w:w="22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040" w:type="dxa"/>
            <w:vAlign w:val="bottom"/>
          </w:tcPr>
          <w:p>
            <w:pPr>
              <w:spacing w:after="0"/>
              <w:rPr>
                <w:sz w:val="16"/>
                <w:szCs w:val="16"/>
                <w:color w:val="auto"/>
              </w:rPr>
            </w:pPr>
          </w:p>
        </w:tc>
        <w:tc>
          <w:tcPr>
            <w:tcW w:w="220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236"/>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Shares repurchased</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374,108</w:t>
            </w:r>
          </w:p>
        </w:tc>
      </w:tr>
      <w:tr>
        <w:trPr>
          <w:trHeight w:val="238"/>
        </w:trPr>
        <w:tc>
          <w:tcPr>
            <w:tcW w:w="9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Average price per share</w:t>
            </w:r>
          </w:p>
        </w:tc>
        <w:tc>
          <w:tcPr>
            <w:tcW w:w="2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$269.36</w:t>
            </w:r>
          </w:p>
        </w:tc>
      </w:tr>
      <w:tr>
        <w:trPr>
          <w:trHeight w:val="247"/>
        </w:trPr>
        <w:tc>
          <w:tcPr>
            <w:tcW w:w="9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Aggregate repurchase cost (excluding broker costs)</w:t>
            </w:r>
          </w:p>
        </w:tc>
        <w:tc>
          <w:tcPr>
            <w:tcW w:w="2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 million</w:t>
            </w:r>
          </w:p>
        </w:tc>
      </w:tr>
    </w:tbl>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w:t>
      </w:r>
    </w:p>
    <w:p>
      <w:pPr>
        <w:spacing w:after="0" w:line="175"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The Company’s capital expenditures for fixed assets and software for internal use were $33 million during the three months ended March 31, 2024. The Company estimates that there will be additional such expenditures, which include those incurred under its Transformation program, in the range of $140 million - $165 million during the remainder of 2024. We currently expect cash from operations to adequately provide for these cash needs. There have been no material changes to our capital commitments since December 31, 2023.</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Total cash dividends of $86 million were paid during the three months ended March 31, 2024. In February 2024, the board of directors approved a quarterly cash dividend of $0.88 per share ($3.52 per share annualized rate), which was paid on April 15, 2024 to shareholders of record as of March 31, 2024.</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Guarantor Financial Information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WTW has issued the following debt securities (the ‘notes’):</w:t>
      </w:r>
    </w:p>
    <w:p>
      <w:pPr>
        <w:spacing w:after="0" w:line="117" w:lineRule="exact"/>
        <w:rPr>
          <w:sz w:val="20"/>
          <w:szCs w:val="20"/>
          <w:color w:val="auto"/>
        </w:rPr>
      </w:pPr>
    </w:p>
    <w:p>
      <w:pPr>
        <w:ind w:left="760" w:hanging="378"/>
        <w:spacing w:after="0" w:line="260"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Willis North America Inc. (‘Willis North America’) has approximately $5.2 billion senior notes outstanding, of which $650 million were issued on May 16, 2017, $1.0 billion were issued on September 10, 2018, $1.0 billion were issued on September 10, 2019, $275 million were issued on May 29, 2020, $750 million were issued on May 19, 2022, $750 million were issued on May 17, 2023, and $750 million were issued on March 5, 2024; and</w:t>
      </w:r>
    </w:p>
    <w:p>
      <w:pPr>
        <w:spacing w:after="0" w:line="73" w:lineRule="exact"/>
        <w:rPr>
          <w:rFonts w:ascii="Times New Roman" w:cs="Times New Roman" w:eastAsia="Times New Roman" w:hAnsi="Times New Roman"/>
          <w:sz w:val="18"/>
          <w:szCs w:val="18"/>
          <w:color w:val="auto"/>
        </w:rPr>
      </w:pPr>
    </w:p>
    <w:p>
      <w:pPr>
        <w:ind w:left="760" w:right="360" w:hanging="378"/>
        <w:spacing w:after="0" w:line="265"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Trinity Acquisition plc has approximately $825 million senior notes outstanding, of which $275 million were issued on August 15, 2013 and $550 million were issued on March 22, 2016, and a $1.5 billion revolving credit facility, on which no balance was outstanding at March 31, 2024.</w:t>
      </w:r>
    </w:p>
    <w:p>
      <w:pPr>
        <w:spacing w:after="0" w:line="123" w:lineRule="exact"/>
        <w:rPr>
          <w:sz w:val="20"/>
          <w:szCs w:val="20"/>
          <w:color w:val="auto"/>
        </w:rPr>
      </w:pPr>
    </w:p>
    <w:p>
      <w:pPr>
        <w:ind w:right="540"/>
        <w:spacing w:after="0" w:line="265" w:lineRule="auto"/>
        <w:rPr>
          <w:sz w:val="20"/>
          <w:szCs w:val="20"/>
          <w:color w:val="auto"/>
        </w:rPr>
      </w:pPr>
      <w:r>
        <w:rPr>
          <w:rFonts w:ascii="Times New Roman" w:cs="Times New Roman" w:eastAsia="Times New Roman" w:hAnsi="Times New Roman"/>
          <w:sz w:val="18"/>
          <w:szCs w:val="18"/>
          <w:color w:val="auto"/>
        </w:rPr>
        <w:t>The following table presents a summary of the entities that issue each note and those wholly-owned subsidiaries of the Company that guarantee each respective note on a joint and several basis as of March 31, 2024. These subsidiaries are all consolidated by Willis Towers Watson plc (the ‘parent company’) and together with the parent company comprise the ‘Obligor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Entity</w:t>
            </w:r>
          </w:p>
        </w:tc>
        <w:tc>
          <w:tcPr>
            <w:tcW w:w="2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Trinity Acquisition plc</w:t>
            </w:r>
          </w:p>
        </w:tc>
        <w:tc>
          <w:tcPr>
            <w:tcW w:w="24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Willis North America Inc.</w:t>
            </w:r>
          </w:p>
        </w:tc>
        <w:tc>
          <w:tcPr>
            <w:tcW w:w="0" w:type="dxa"/>
            <w:vAlign w:val="bottom"/>
          </w:tcPr>
          <w:p>
            <w:pPr>
              <w:spacing w:after="0"/>
              <w:rPr>
                <w:sz w:val="1"/>
                <w:szCs w:val="1"/>
                <w:color w:val="auto"/>
              </w:rPr>
            </w:pPr>
          </w:p>
        </w:tc>
      </w:tr>
      <w:tr>
        <w:trPr>
          <w:trHeight w:val="187"/>
        </w:trPr>
        <w:tc>
          <w:tcPr>
            <w:tcW w:w="4840" w:type="dxa"/>
            <w:vAlign w:val="bottom"/>
            <w:tcBorders>
              <w:bottom w:val="single" w:sz="8" w:color="auto"/>
            </w:tcBorders>
            <w:vMerge w:val="continue"/>
          </w:tcPr>
          <w:p>
            <w:pPr>
              <w:spacing w:after="0"/>
              <w:rPr>
                <w:sz w:val="16"/>
                <w:szCs w:val="16"/>
                <w:color w:val="auto"/>
              </w:rPr>
            </w:pPr>
          </w:p>
        </w:tc>
        <w:tc>
          <w:tcPr>
            <w:tcW w:w="25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4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Notes</w:t>
            </w:r>
          </w:p>
        </w:tc>
        <w:tc>
          <w:tcPr>
            <w:tcW w:w="0" w:type="dxa"/>
            <w:vAlign w:val="bottom"/>
          </w:tcPr>
          <w:p>
            <w:pPr>
              <w:spacing w:after="0"/>
              <w:rPr>
                <w:sz w:val="1"/>
                <w:szCs w:val="1"/>
                <w:color w:val="auto"/>
              </w:rPr>
            </w:pPr>
          </w:p>
        </w:tc>
      </w:tr>
      <w:tr>
        <w:trPr>
          <w:trHeight w:val="236"/>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plc</w:t>
            </w:r>
          </w:p>
        </w:tc>
        <w:tc>
          <w:tcPr>
            <w:tcW w:w="25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Trinity Acquisition plc</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Issuer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North America Inc.</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7"/>
              </w:rPr>
              <w:t>Issuer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Netherlands Holdings B.V.</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Investment UK Holdings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 I Limited</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Group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8"/>
        </w:trPr>
        <w:tc>
          <w:tcPr>
            <w:tcW w:w="4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Willis Towers Watson Sub Holdings Unlimited Company</w:t>
            </w:r>
          </w:p>
        </w:tc>
        <w:tc>
          <w:tcPr>
            <w:tcW w:w="2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47"/>
        </w:trPr>
        <w:tc>
          <w:tcPr>
            <w:tcW w:w="4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Willis Towers Watson UK Holdings Limited</w:t>
            </w:r>
          </w:p>
        </w:tc>
        <w:tc>
          <w:tcPr>
            <w:tcW w:w="25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Guarantor</w:t>
            </w:r>
          </w:p>
        </w:tc>
        <w:tc>
          <w:tcPr>
            <w:tcW w:w="24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863"/>
        </w:trPr>
        <w:tc>
          <w:tcPr>
            <w:tcW w:w="4840" w:type="dxa"/>
            <w:vAlign w:val="bottom"/>
          </w:tcPr>
          <w:p>
            <w:pPr>
              <w:spacing w:after="0"/>
              <w:rPr>
                <w:sz w:val="24"/>
                <w:szCs w:val="24"/>
                <w:color w:val="auto"/>
              </w:rPr>
            </w:pPr>
          </w:p>
        </w:tc>
        <w:tc>
          <w:tcPr>
            <w:tcW w:w="252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9"/>
                <w:szCs w:val="9"/>
                <w:color w:val="auto"/>
              </w:rPr>
            </w:pPr>
          </w:p>
        </w:tc>
        <w:tc>
          <w:tcPr>
            <w:tcW w:w="25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7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2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color w:val="auto"/>
        </w:rPr>
        <w:t>The notes issued by Willis North America and Trinity Acquisition plc:</w:t>
      </w:r>
    </w:p>
    <w:p>
      <w:pPr>
        <w:spacing w:after="0" w:line="11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all of the issuer’s existing and future unsubordinated and unsecured debt;</w:t>
      </w:r>
    </w:p>
    <w:p>
      <w:pPr>
        <w:spacing w:after="0" w:line="116" w:lineRule="exact"/>
        <w:rPr>
          <w:rFonts w:ascii="Times New Roman" w:cs="Times New Roman" w:eastAsia="Times New Roman" w:hAnsi="Times New Roman"/>
          <w:sz w:val="18"/>
          <w:szCs w:val="18"/>
          <w:color w:val="auto"/>
        </w:rPr>
      </w:pPr>
    </w:p>
    <w:p>
      <w:pPr>
        <w:ind w:left="760" w:right="160" w:hanging="378"/>
        <w:spacing w:after="0" w:line="28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rank equally with the issuer’s guarantee of all of the existing senior debt of the Company and the other guarantors, including any debt under the Revolving Credit Facility;</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senior in right of payment to all of the issuer’s future subordinated debt; and</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effectively subordinated to all of the issuer’s secured debt to the extent of the value of the assets securing such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subsidiaries of the parent company are non-guarantor subsidiaries (‘the non-guarantor subsidiaries’).</w:t>
      </w:r>
    </w:p>
    <w:p>
      <w:pPr>
        <w:spacing w:after="0" w:line="17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Each member of the Obligor group has only a stockholder’s claim on the assets of the non-guarantor subsidiaries. This stockholder’s claim is junior to the claims that creditors have against those non-guarantor subsidiaries. Holders of the notes will only be creditors of the Obligor group and not creditors of the non-guarantor subsidiaries. As a result, all of the existing and future liabilities of the non-guarantor subsidiaries, including any claims of trade creditors and preferred stockholders, will be structurally senior to the notes. As of and for the periods ended March 31, 2024 and December 31, 2023, the non-guarantor subsidiaries represented substantially all of the total assets and accounted for substantially all of the total revenue of the Company prior to consolidating adjustments. The non-guarantor subsidiaries have other liabilities, including contingent liabilities that may be significant. Each indenture does not contain any limitations on the amount of additional debt that the Obligor group and the non-guarantor subsidiaries may incur. The amounts of this debt could be substantial, and this debt may be debt of the non-guarantor subsidiaries, in which case this debt would be effectively senior in right of payment to the notes.</w:t>
      </w:r>
    </w:p>
    <w:p>
      <w:pPr>
        <w:spacing w:after="0" w:line="12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notes are obligations exclusively of the Obligor group. Substantially all of the Obligor group’s operations are conducted through its non-guarantor subsidiaries. Therefore, the Obligor group’s ability to service its debt, including the notes, is dependent upon the net cash flows of its non-guarantor subsidiaries and their ability to distribute those net cash flows as dividends, loans or other payments to the Obligor group. Certain laws restrict the ability of these non-guarantor subsidiaries to pay dividends and make loans and advances to the Obligor group. In addition, such non-guarantor subsidiaries may enter into contractual arrangements that limit their ability to pay dividends and make loans and advances to the Obligor group.</w:t>
      </w:r>
    </w:p>
    <w:p>
      <w:pPr>
        <w:spacing w:after="0" w:line="1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Intercompany balances and transactions between members of the Obligor group have been eliminated. All intercompany balances and transactions between the Obligor group and the non-guarantor subsidiaries have been presented in the disclosures below on a net presentation basis, rather than a gross basis, as this better reflects the nature of the intercompany positions and presents the funding or funded position that is to be received or owed. The intercompany balances and transactions between the Obligor group and non-guarantor subsidiaries, presented below, relate to a number of items including loan funding for acquisitions and other purposes, transfers of surplus cash between subsidiary companies, funding provided for working capital purposes, settlement of expense accounts, transactions related to share-based payment arrangements and share issuances, intercompany royalty arrangements, intercompany dividends and intercompany interest. At March 31, 2024 and December 31, 2023, the intercompany balances of the Obligor group with non-guarantor subsidiaries were net receivables of $3.5 billion and $3.4 billion, respectively, and net payables of $13.6 billion and $14.0 billion,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balances or transactions of non-guarantor subsidiaries are presented in the disclosures other than the intercompany items noted above.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Presented below is certain summarized financial information for the Obligor group.</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7"/>
        </w:trPr>
        <w:tc>
          <w:tcPr>
            <w:tcW w:w="7720" w:type="dxa"/>
            <w:vAlign w:val="bottom"/>
          </w:tcPr>
          <w:p>
            <w:pPr>
              <w:ind w:left="3760"/>
              <w:spacing w:after="0"/>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69"/>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320" w:type="dxa"/>
            <w:vAlign w:val="bottom"/>
            <w:gridSpan w:val="4"/>
          </w:tcPr>
          <w:p>
            <w:pPr>
              <w:jc w:val="right"/>
              <w:ind w:right="1356"/>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236</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299</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assets</w:t>
            </w:r>
          </w:p>
        </w:tc>
        <w:tc>
          <w:tcPr>
            <w:tcW w:w="200" w:type="dxa"/>
            <w:vAlign w:val="bottom"/>
          </w:tcPr>
          <w:p>
            <w:pPr>
              <w:spacing w:after="0"/>
              <w:rPr>
                <w:sz w:val="20"/>
                <w:szCs w:val="20"/>
                <w:color w:val="auto"/>
              </w:rPr>
            </w:pPr>
          </w:p>
        </w:tc>
        <w:tc>
          <w:tcPr>
            <w:tcW w:w="15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3,470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3,454</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8"/>
                <w:szCs w:val="18"/>
                <w:color w:val="auto"/>
              </w:rPr>
              <w:t>7,207</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7,576</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00" w:type="dxa"/>
            <w:vAlign w:val="bottom"/>
          </w:tcPr>
          <w:p>
            <w:pPr>
              <w:spacing w:after="0"/>
              <w:rPr>
                <w:sz w:val="20"/>
                <w:szCs w:val="20"/>
                <w:color w:val="auto"/>
              </w:rPr>
            </w:pPr>
          </w:p>
        </w:tc>
        <w:tc>
          <w:tcPr>
            <w:tcW w:w="1500" w:type="dxa"/>
            <w:vAlign w:val="bottom"/>
          </w:tcPr>
          <w:p>
            <w:pPr>
              <w:jc w:val="right"/>
              <w:ind w:right="58"/>
              <w:spacing w:after="0"/>
              <w:rPr>
                <w:sz w:val="20"/>
                <w:szCs w:val="20"/>
                <w:color w:val="auto"/>
              </w:rPr>
            </w:pPr>
            <w:r>
              <w:rPr>
                <w:rFonts w:ascii="Times New Roman" w:cs="Times New Roman" w:eastAsia="Times New Roman" w:hAnsi="Times New Roman"/>
                <w:sz w:val="18"/>
                <w:szCs w:val="18"/>
                <w:color w:val="auto"/>
              </w:rPr>
              <w:t>12,599</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11,848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9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69"/>
        </w:trPr>
        <w:tc>
          <w:tcPr>
            <w:tcW w:w="9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207</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220" w:type="dxa"/>
            <w:vAlign w:val="bottom"/>
          </w:tcPr>
          <w:p>
            <w:pPr>
              <w:spacing w:after="0"/>
              <w:rPr>
                <w:sz w:val="20"/>
                <w:szCs w:val="20"/>
                <w:color w:val="auto"/>
              </w:rPr>
            </w:pPr>
          </w:p>
        </w:tc>
        <w:tc>
          <w:tcPr>
            <w:tcW w:w="17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136</w:t>
            </w:r>
          </w:p>
        </w:tc>
      </w:tr>
      <w:tr>
        <w:trPr>
          <w:trHeight w:val="247"/>
        </w:trPr>
        <w:tc>
          <w:tcPr>
            <w:tcW w:w="92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Loss from operations before income taxes </w:t>
            </w:r>
            <w:r>
              <w:rPr>
                <w:rFonts w:ascii="Times New Roman" w:cs="Times New Roman" w:eastAsia="Times New Roman" w:hAnsi="Times New Roman"/>
                <w:sz w:val="24"/>
                <w:szCs w:val="24"/>
                <w:color w:val="auto"/>
                <w:vertAlign w:val="superscript"/>
              </w:rPr>
              <w:t>(i)</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(123 )</w:t>
            </w:r>
          </w:p>
        </w:tc>
      </w:tr>
      <w:tr>
        <w:trPr>
          <w:trHeight w:val="238"/>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20" w:type="dxa"/>
            <w:vAlign w:val="bottom"/>
          </w:tcPr>
          <w:p>
            <w:pPr>
              <w:spacing w:after="0"/>
              <w:rPr>
                <w:sz w:val="20"/>
                <w:szCs w:val="20"/>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r>
      <w:tr>
        <w:trPr>
          <w:trHeight w:val="247"/>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WTW</w:t>
            </w:r>
          </w:p>
        </w:tc>
        <w:tc>
          <w:tcPr>
            <w:tcW w:w="22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Includes intercompany expense, net of the Obligor group from non-guarantor subsidiaries of $103 million for the three months ended March 31, 2024.</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75" w:lineRule="exact"/>
        <w:rPr>
          <w:sz w:val="20"/>
          <w:szCs w:val="20"/>
          <w:color w:val="auto"/>
        </w:rPr>
      </w:pPr>
    </w:p>
    <w:p>
      <w:pPr>
        <w:jc w:val="both"/>
        <w:ind w:right="220"/>
        <w:spacing w:after="0" w:line="265" w:lineRule="auto"/>
        <w:rPr>
          <w:sz w:val="20"/>
          <w:szCs w:val="20"/>
          <w:color w:val="auto"/>
        </w:rPr>
      </w:pPr>
      <w:r>
        <w:rPr>
          <w:rFonts w:ascii="Times New Roman" w:cs="Times New Roman" w:eastAsia="Times New Roman" w:hAnsi="Times New Roman"/>
          <w:sz w:val="18"/>
          <w:szCs w:val="18"/>
          <w:color w:val="2C2C2C"/>
        </w:rPr>
        <w:t>In order to assist readers of our condensed consolidated financial statements in understanding the core operating results that WTW’s management uses to evaluate the business and for financial planning purposes, we present the following non-GAAP measures and their most directly comparable U.S. GAAP measure:</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Most Directly Comparable U.S. GAAP Measure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b w:val="1"/>
                <w:bCs w:val="1"/>
                <w:color w:val="auto"/>
              </w:rPr>
              <w:t>Non-GAAP Measure</w:t>
            </w:r>
          </w:p>
        </w:tc>
      </w:tr>
      <w:tr>
        <w:trPr>
          <w:trHeight w:val="249"/>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Constant currency change</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 reported change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Organic change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operations/margin</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operating income/margin</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income/margin</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EBITDA/margin</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net income</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diluted earnings per share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Adjusted income before taxes</w:t>
            </w:r>
          </w:p>
        </w:tc>
      </w:tr>
      <w:tr>
        <w:trPr>
          <w:trHeight w:val="238"/>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taxes/U.S. GAAP tax rate</w:t>
            </w:r>
          </w:p>
        </w:tc>
        <w:tc>
          <w:tcPr>
            <w:tcW w:w="650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Adjusted income taxes/tax rate</w:t>
            </w:r>
          </w:p>
        </w:tc>
      </w:tr>
      <w:tr>
        <w:trPr>
          <w:trHeight w:val="247"/>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from operating activities</w:t>
            </w:r>
          </w:p>
        </w:tc>
        <w:tc>
          <w:tcPr>
            <w:tcW w:w="6500" w:type="dxa"/>
            <w:vAlign w:val="bottom"/>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Free cash flow</w:t>
            </w:r>
          </w:p>
        </w:tc>
      </w:tr>
    </w:tbl>
    <w:p>
      <w:pPr>
        <w:spacing w:after="0" w:line="130" w:lineRule="exact"/>
        <w:rPr>
          <w:sz w:val="20"/>
          <w:szCs w:val="20"/>
          <w:color w:val="auto"/>
        </w:rPr>
      </w:pPr>
    </w:p>
    <w:p>
      <w:pPr>
        <w:ind w:right="100"/>
        <w:spacing w:after="0" w:line="312" w:lineRule="auto"/>
        <w:rPr>
          <w:sz w:val="20"/>
          <w:szCs w:val="20"/>
          <w:color w:val="auto"/>
        </w:rPr>
      </w:pPr>
      <w:r>
        <w:rPr>
          <w:rFonts w:ascii="Times New Roman" w:cs="Times New Roman" w:eastAsia="Times New Roman" w:hAnsi="Times New Roman"/>
          <w:sz w:val="18"/>
          <w:szCs w:val="18"/>
          <w:color w:val="auto"/>
        </w:rPr>
        <w:t>The Company believes that these measures are relevant and provide pertinent information widely used by analysts, investors and other interested parties in our industry to provide a baseline for evaluating and comparing our operating performance, and in the case of free cash flow, our liquidity results.</w:t>
      </w:r>
    </w:p>
    <w:p>
      <w:pPr>
        <w:spacing w:after="0" w:line="82"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color w:val="auto"/>
        </w:rPr>
        <w:t>Within the measures referred to as ‘adjusted’, we adjust for significant items which will not be settled in cash, or which we believe to be items that are not core to our current or future operations. Some of these items may not be applicable for the current quarter, however they may be part of our full-year results. Additionally, we have historically adjusted for certain items which are not described below, but for which we may adjust in a future period when applicable. Items applicable to the quarter or full year results, or the comparable periods, include the following:</w:t>
      </w:r>
    </w:p>
    <w:p>
      <w:pPr>
        <w:spacing w:after="0" w:line="74" w:lineRule="exact"/>
        <w:rPr>
          <w:sz w:val="20"/>
          <w:szCs w:val="20"/>
          <w:color w:val="auto"/>
        </w:rPr>
      </w:pPr>
    </w:p>
    <w:p>
      <w:pPr>
        <w:jc w:val="both"/>
        <w:ind w:left="760" w:right="220" w:hanging="378"/>
        <w:spacing w:after="0" w:line="26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costs and transaction and transformation – Management believes it is appropriate to adjust for restructuring costs and transaction and transformation when they relate to a specific significant program with a defined set of activities and costs that are not expected to continue beyond a defined period of time, or significant acquisition-related transaction expenses. We believe the adjustment is necessary to present how the Company is performing, both now and in the future when the incurrence of these costs will have concluded.</w:t>
      </w:r>
    </w:p>
    <w:p>
      <w:pPr>
        <w:spacing w:after="0" w:line="73" w:lineRule="exact"/>
        <w:rPr>
          <w:rFonts w:ascii="Times New Roman" w:cs="Times New Roman" w:eastAsia="Times New Roman" w:hAnsi="Times New Roman"/>
          <w:sz w:val="18"/>
          <w:szCs w:val="18"/>
          <w:color w:val="auto"/>
        </w:rPr>
      </w:pPr>
    </w:p>
    <w:p>
      <w:pPr>
        <w:ind w:left="760" w:right="34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on disposals of operations – Adjustment to remove the gains or losses resulting from disposed operations that have not been classified as discontinued operations.</w:t>
      </w:r>
    </w:p>
    <w:p>
      <w:pPr>
        <w:spacing w:after="0" w:line="54" w:lineRule="exact"/>
        <w:rPr>
          <w:rFonts w:ascii="Times New Roman" w:cs="Times New Roman" w:eastAsia="Times New Roman" w:hAnsi="Times New Roman"/>
          <w:sz w:val="18"/>
          <w:szCs w:val="18"/>
          <w:color w:val="auto"/>
        </w:rPr>
      </w:pPr>
    </w:p>
    <w:p>
      <w:pPr>
        <w:ind w:left="760" w:right="260" w:hanging="378"/>
        <w:spacing w:after="0" w:line="281"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 of internal reorganizations – Relates to the U.S. income tax expense resulting from the completion of internal reorganizations of the ownership of certain businesses that reduced the investments held by our U.S.-controlled subsidiaries.</w:t>
      </w:r>
    </w:p>
    <w:p>
      <w:pPr>
        <w:spacing w:after="0" w:line="109" w:lineRule="exact"/>
        <w:rPr>
          <w:sz w:val="20"/>
          <w:szCs w:val="20"/>
          <w:color w:val="auto"/>
        </w:rPr>
      </w:pPr>
    </w:p>
    <w:p>
      <w:pPr>
        <w:ind w:right="340"/>
        <w:spacing w:after="0" w:line="265" w:lineRule="auto"/>
        <w:rPr>
          <w:sz w:val="20"/>
          <w:szCs w:val="20"/>
          <w:color w:val="auto"/>
        </w:rPr>
      </w:pPr>
      <w:r>
        <w:rPr>
          <w:rFonts w:ascii="Times New Roman" w:cs="Times New Roman" w:eastAsia="Times New Roman" w:hAnsi="Times New Roman"/>
          <w:sz w:val="18"/>
          <w:szCs w:val="18"/>
          <w:color w:val="auto"/>
        </w:rPr>
        <w:t>These non-GAAP measures are not defined in the same manner by all companies and may not be comparable to other similarly titled measures of other companies. Non-GAAP measures should be considered in addition to, and not as a substitute for, the information contained within our condensed consolidated financial statements.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Constant Currency Change and Organic Change</w:t>
      </w:r>
    </w:p>
    <w:p>
      <w:pPr>
        <w:spacing w:after="0" w:line="175" w:lineRule="exact"/>
        <w:rPr>
          <w:sz w:val="20"/>
          <w:szCs w:val="20"/>
          <w:color w:val="auto"/>
        </w:rPr>
      </w:pPr>
    </w:p>
    <w:p>
      <w:pPr>
        <w:ind w:right="320"/>
        <w:spacing w:after="0" w:line="312" w:lineRule="auto"/>
        <w:rPr>
          <w:sz w:val="20"/>
          <w:szCs w:val="20"/>
          <w:color w:val="auto"/>
        </w:rPr>
      </w:pPr>
      <w:r>
        <w:rPr>
          <w:rFonts w:ascii="Times New Roman" w:cs="Times New Roman" w:eastAsia="Times New Roman" w:hAnsi="Times New Roman"/>
          <w:sz w:val="17"/>
          <w:szCs w:val="17"/>
          <w:color w:val="auto"/>
        </w:rPr>
        <w:t>We evaluate our revenue on an as reported (U.S. GAAP), constant currency and organic basis. We believe presenting constant currency and organic information provides valuable supplemental information regarding our comparable results, consistent with how we evaluate our performance internally.</w:t>
      </w:r>
    </w:p>
    <w:p>
      <w:pPr>
        <w:spacing w:after="0" w:line="29" w:lineRule="exact"/>
        <w:rPr>
          <w:sz w:val="20"/>
          <w:szCs w:val="20"/>
          <w:color w:val="auto"/>
        </w:rPr>
      </w:pPr>
    </w:p>
    <w:p>
      <w:pPr>
        <w:ind w:left="760" w:right="100" w:hanging="378"/>
        <w:spacing w:after="0" w:line="267"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Constant currency change - </w:t>
      </w:r>
      <w:r>
        <w:rPr>
          <w:rFonts w:ascii="Times New Roman" w:cs="Times New Roman" w:eastAsia="Times New Roman" w:hAnsi="Times New Roman"/>
          <w:sz w:val="18"/>
          <w:szCs w:val="18"/>
          <w:color w:val="auto"/>
        </w:rPr>
        <w:t>Represents the year-over-year change in revenue excluding the impact of foreign currency fluctuations. To calculate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impact, the prior-year local currency results are first translated using the current-year monthly average exchange rates. The change is calculated by comparing the prior-year revenue, translated at the current-year monthly</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3" w:right="339" w:bottom="1440" w:gutter="0" w:footer="0" w:header="0"/>
        </w:sectPr>
      </w:pPr>
    </w:p>
    <w:bookmarkStart w:id="37" w:name="page38"/>
    <w:bookmarkEnd w:id="37"/>
    <w:p>
      <w:pPr>
        <w:ind w:left="760" w:right="520"/>
        <w:spacing w:after="0" w:line="265" w:lineRule="auto"/>
        <w:rPr>
          <w:sz w:val="20"/>
          <w:szCs w:val="20"/>
          <w:color w:val="auto"/>
        </w:rPr>
      </w:pPr>
      <w:r>
        <w:rPr>
          <w:rFonts w:ascii="Times New Roman" w:cs="Times New Roman" w:eastAsia="Times New Roman" w:hAnsi="Times New Roman"/>
          <w:sz w:val="18"/>
          <w:szCs w:val="18"/>
          <w:color w:val="auto"/>
        </w:rPr>
        <w:t>average exchange rates, to the current-year as-reported revenue, for the same period. We believe constant currency measures provide useful information to investors because they provide transparency to performance by excluding the effects that foreign currency exchange rate fluctuations have on period-over-period comparability given volatility in foreign currency exchange markets.</w:t>
      </w:r>
    </w:p>
    <w:p>
      <w:pPr>
        <w:spacing w:after="0" w:line="67" w:lineRule="exact"/>
        <w:rPr>
          <w:sz w:val="20"/>
          <w:szCs w:val="20"/>
          <w:color w:val="auto"/>
        </w:rPr>
      </w:pPr>
    </w:p>
    <w:p>
      <w:pPr>
        <w:ind w:left="760" w:right="60" w:hanging="378"/>
        <w:spacing w:after="0" w:line="258"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Organic change - </w:t>
      </w:r>
      <w:r>
        <w:rPr>
          <w:rFonts w:ascii="Times New Roman" w:cs="Times New Roman" w:eastAsia="Times New Roman" w:hAnsi="Times New Roman"/>
          <w:sz w:val="18"/>
          <w:szCs w:val="18"/>
          <w:color w:val="auto"/>
        </w:rPr>
        <w:t>Excludes the impact of fluctuations in foreign currency exchange rates as described above and the period-over-period impact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 on current-year revenue. We believe that excluding transaction-related items from our U.S. GAAP financial measures provides useful supplemental information to our investors, and it is important in illustrating what our core operating results would have been had we not included these transaction-related items, since the nature, size and number of these transaction-related items can vary from period to period.</w:t>
      </w:r>
    </w:p>
    <w:p>
      <w:pPr>
        <w:spacing w:after="0" w:line="130" w:lineRule="exact"/>
        <w:rPr>
          <w:sz w:val="20"/>
          <w:szCs w:val="20"/>
          <w:color w:val="auto"/>
        </w:rPr>
      </w:pPr>
    </w:p>
    <w:p>
      <w:pPr>
        <w:ind w:right="160"/>
        <w:spacing w:after="0" w:line="312" w:lineRule="auto"/>
        <w:rPr>
          <w:sz w:val="20"/>
          <w:szCs w:val="20"/>
          <w:color w:val="auto"/>
        </w:rPr>
      </w:pPr>
      <w:r>
        <w:rPr>
          <w:rFonts w:ascii="Times New Roman" w:cs="Times New Roman" w:eastAsia="Times New Roman" w:hAnsi="Times New Roman"/>
          <w:sz w:val="17"/>
          <w:szCs w:val="17"/>
          <w:color w:val="auto"/>
        </w:rPr>
        <w:t>The constant currency and organic change results, and a reconciliation from the reported results for consolidated revenue are included in the ‘Consolidated Revenue’ section within this Form 10-Q. These measures are also reported by segment in the ‘Segment Revenue’ section within this Form 10-Q.</w:t>
      </w:r>
    </w:p>
    <w:p>
      <w:pPr>
        <w:spacing w:after="0" w:line="85"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18"/>
          <w:szCs w:val="18"/>
          <w:color w:val="auto"/>
        </w:rPr>
        <w:t>A reconciliation of the as-reported change to the constant currency and organic changes for the three months ended March 31, 2024 from the three months ended March 31, 2023 is as follows. The components of revenue change may not add due to rounding.</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4"/>
                <w:szCs w:val="14"/>
                <w:b w:val="1"/>
                <w:bCs w:val="1"/>
                <w:color w:val="auto"/>
              </w:rPr>
              <w:t>Components of Revenue Change</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0" w:type="dxa"/>
            <w:vAlign w:val="bottom"/>
          </w:tcPr>
          <w:p>
            <w:pPr>
              <w:spacing w:after="0"/>
              <w:rPr>
                <w:sz w:val="14"/>
                <w:szCs w:val="1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Constant</w:t>
            </w:r>
          </w:p>
        </w:tc>
        <w:tc>
          <w:tcPr>
            <w:tcW w:w="10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Less:</w:t>
            </w: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860" w:type="dxa"/>
            <w:vAlign w:val="bottom"/>
            <w:tcBorders>
              <w:bottom w:val="single" w:sz="8" w:color="auto"/>
            </w:tcBorders>
            <w:gridSpan w:val="4"/>
            <w:vMerge w:val="continue"/>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20"/>
              <w:spacing w:after="0" w:line="156" w:lineRule="exact"/>
              <w:rPr>
                <w:sz w:val="20"/>
                <w:szCs w:val="20"/>
                <w:color w:val="auto"/>
              </w:rPr>
            </w:pPr>
            <w:r>
              <w:rPr>
                <w:rFonts w:ascii="Times New Roman" w:cs="Times New Roman" w:eastAsia="Times New Roman" w:hAnsi="Times New Roman"/>
                <w:sz w:val="14"/>
                <w:szCs w:val="14"/>
                <w:b w:val="1"/>
                <w:bCs w:val="1"/>
                <w:color w:val="auto"/>
              </w:rPr>
              <w:t>Reported</w:t>
            </w: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2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4"/>
                <w:szCs w:val="14"/>
                <w:color w:val="auto"/>
              </w:rPr>
            </w:pPr>
          </w:p>
        </w:tc>
        <w:tc>
          <w:tcPr>
            <w:tcW w:w="11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Acquisitions/</w:t>
            </w:r>
          </w:p>
        </w:tc>
        <w:tc>
          <w:tcPr>
            <w:tcW w:w="100" w:type="dxa"/>
            <w:vAlign w:val="bottom"/>
          </w:tcPr>
          <w:p>
            <w:pPr>
              <w:spacing w:after="0"/>
              <w:rPr>
                <w:sz w:val="14"/>
                <w:szCs w:val="14"/>
                <w:color w:val="auto"/>
              </w:rPr>
            </w:pPr>
          </w:p>
        </w:tc>
        <w:tc>
          <w:tcPr>
            <w:tcW w:w="104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Organic</w:t>
            </w:r>
          </w:p>
        </w:tc>
        <w:tc>
          <w:tcPr>
            <w:tcW w:w="0" w:type="dxa"/>
            <w:vAlign w:val="bottom"/>
          </w:tcPr>
          <w:p>
            <w:pPr>
              <w:spacing w:after="0"/>
              <w:rPr>
                <w:sz w:val="1"/>
                <w:szCs w:val="1"/>
                <w:color w:val="auto"/>
              </w:rPr>
            </w:pPr>
          </w:p>
        </w:tc>
      </w:tr>
      <w:tr>
        <w:trPr>
          <w:trHeight w:val="175"/>
        </w:trPr>
        <w:tc>
          <w:tcPr>
            <w:tcW w:w="194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Impact</w:t>
            </w:r>
          </w:p>
        </w:tc>
        <w:tc>
          <w:tcPr>
            <w:tcW w:w="10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Divestitures</w:t>
            </w:r>
          </w:p>
        </w:tc>
        <w:tc>
          <w:tcPr>
            <w:tcW w:w="100" w:type="dxa"/>
            <w:vAlign w:val="bottom"/>
          </w:tcPr>
          <w:p>
            <w:pPr>
              <w:spacing w:after="0"/>
              <w:rPr>
                <w:sz w:val="15"/>
                <w:szCs w:val="15"/>
                <w:color w:val="auto"/>
              </w:rPr>
            </w:pPr>
          </w:p>
        </w:tc>
        <w:tc>
          <w:tcPr>
            <w:tcW w:w="104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Change </w:t>
            </w:r>
            <w:r>
              <w:rPr>
                <w:rFonts w:ascii="Times New Roman" w:cs="Times New Roman" w:eastAsia="Times New Roman" w:hAnsi="Times New Roman"/>
                <w:sz w:val="19"/>
                <w:szCs w:val="19"/>
                <w:b w:val="1"/>
                <w:bCs w:val="1"/>
                <w:color w:val="auto"/>
                <w:w w:val="97"/>
                <w:vertAlign w:val="superscript"/>
              </w:rPr>
              <w:t>(i)</w:t>
            </w:r>
          </w:p>
        </w:tc>
        <w:tc>
          <w:tcPr>
            <w:tcW w:w="0" w:type="dxa"/>
            <w:vAlign w:val="bottom"/>
          </w:tcPr>
          <w:p>
            <w:pPr>
              <w:spacing w:after="0"/>
              <w:rPr>
                <w:sz w:val="1"/>
                <w:szCs w:val="1"/>
                <w:color w:val="auto"/>
              </w:rPr>
            </w:pPr>
          </w:p>
        </w:tc>
      </w:tr>
      <w:tr>
        <w:trPr>
          <w:trHeight w:val="169"/>
        </w:trPr>
        <w:tc>
          <w:tcPr>
            <w:tcW w:w="1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ind w:left="780"/>
              <w:spacing w:after="0"/>
              <w:rPr>
                <w:sz w:val="20"/>
                <w:szCs w:val="20"/>
                <w:color w:val="auto"/>
              </w:rPr>
            </w:pPr>
            <w:r>
              <w:rPr>
                <w:rFonts w:ascii="Times New Roman" w:cs="Times New Roman" w:eastAsia="Times New Roman" w:hAnsi="Times New Roman"/>
                <w:sz w:val="14"/>
                <w:szCs w:val="14"/>
                <w:b w:val="1"/>
                <w:bCs w:val="1"/>
                <w:color w:val="auto"/>
              </w:rPr>
              <w:t>($ in</w:t>
            </w:r>
          </w:p>
        </w:tc>
        <w:tc>
          <w:tcPr>
            <w:tcW w:w="56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80"/>
              </w:rPr>
              <w:t>millions)</w:t>
            </w:r>
          </w:p>
        </w:tc>
        <w:tc>
          <w:tcPr>
            <w:tcW w:w="11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19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2,341</w:t>
            </w:r>
          </w:p>
        </w:tc>
        <w:tc>
          <w:tcPr>
            <w:tcW w:w="120" w:type="dxa"/>
            <w:vAlign w:val="bottom"/>
            <w:tcBorders>
              <w:bottom w:val="single" w:sz="8" w:color="CFF0FC"/>
            </w:tcBorders>
            <w:shd w:val="clear" w:color="auto" w:fill="CFF0FC"/>
          </w:tcPr>
          <w:p>
            <w:pPr>
              <w:spacing w:after="0"/>
              <w:rPr>
                <w:sz w:val="24"/>
                <w:szCs w:val="24"/>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2,244</w:t>
            </w:r>
          </w:p>
        </w:tc>
        <w:tc>
          <w:tcPr>
            <w:tcW w:w="124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FF0FC"/>
            </w:tcBorders>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4%</w:t>
            </w:r>
          </w:p>
        </w:tc>
        <w:tc>
          <w:tcPr>
            <w:tcW w:w="126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w:t>
            </w:r>
          </w:p>
        </w:tc>
        <w:tc>
          <w:tcPr>
            <w:tcW w:w="1140" w:type="dxa"/>
            <w:vAlign w:val="bottom"/>
            <w:tcBorders>
              <w:bottom w:val="single" w:sz="8" w:color="CFF0FC"/>
            </w:tcBorders>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2214245</wp:posOffset>
            </wp:positionH>
            <wp:positionV relativeFrom="paragraph">
              <wp:posOffset>-24765</wp:posOffset>
            </wp:positionV>
            <wp:extent cx="7683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2214245</wp:posOffset>
            </wp:positionH>
            <wp:positionV relativeFrom="paragraph">
              <wp:posOffset>-7620</wp:posOffset>
            </wp:positionV>
            <wp:extent cx="768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-24765</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3258820</wp:posOffset>
            </wp:positionH>
            <wp:positionV relativeFrom="paragraph">
              <wp:posOffset>-7620</wp:posOffset>
            </wp:positionV>
            <wp:extent cx="6858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right="200" w:hanging="272"/>
        <w:spacing w:after="0" w:line="258" w:lineRule="auto"/>
        <w:tabs>
          <w:tab w:leader="none" w:pos="28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Interest income contributed 1% to organic change for total revenue for the three months ended March 31, 2024. Organic change for total revenue excluding this contribution was 4% for the three months ended March 31, 2024.</w:t>
      </w:r>
    </w:p>
    <w:p>
      <w:pPr>
        <w:spacing w:after="0" w:line="117"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our as-reported revenue increased by 4% and our organic revenue grew by 5%. The increases in both as-reported and organic revenue were driven by strong performances in both segments.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Operating Income/Margin</w:t>
      </w:r>
    </w:p>
    <w:p>
      <w:pPr>
        <w:spacing w:after="0" w:line="175"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We consider adjusted operating income/margin to be important financial measures, which are used internally to evaluate and assess our core operations and to benchmark our operating results against our competitors.</w:t>
      </w:r>
    </w:p>
    <w:p>
      <w:pPr>
        <w:spacing w:after="0" w:line="109" w:lineRule="exact"/>
        <w:rPr>
          <w:sz w:val="20"/>
          <w:szCs w:val="20"/>
          <w:color w:val="auto"/>
        </w:rPr>
      </w:pPr>
    </w:p>
    <w:p>
      <w:pPr>
        <w:jc w:val="both"/>
        <w:ind w:right="420"/>
        <w:spacing w:after="0" w:line="265" w:lineRule="auto"/>
        <w:rPr>
          <w:sz w:val="20"/>
          <w:szCs w:val="20"/>
          <w:color w:val="auto"/>
        </w:rPr>
      </w:pPr>
      <w:r>
        <w:rPr>
          <w:rFonts w:ascii="Times New Roman" w:cs="Times New Roman" w:eastAsia="Times New Roman" w:hAnsi="Times New Roman"/>
          <w:sz w:val="18"/>
          <w:szCs w:val="18"/>
          <w:color w:val="auto"/>
        </w:rPr>
        <w:t>Adjusted operating income is defined as income from operations adjusted for amortization, restructuring costs, transaction and transformation and non-recurring items that, in management’s judgment, significantly affect the period-over-period assessment of operating results. Adjusted operating income margin is calculated by dividing adjusted operating income by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income from operations to adjusted operating income for the three months ended March 31,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60" w:type="dxa"/>
            <w:vAlign w:val="bottom"/>
          </w:tcPr>
          <w:p>
            <w:pPr>
              <w:spacing w:after="0"/>
              <w:rPr>
                <w:sz w:val="16"/>
                <w:szCs w:val="16"/>
                <w:color w:val="auto"/>
              </w:rPr>
            </w:pPr>
          </w:p>
        </w:tc>
        <w:tc>
          <w:tcPr>
            <w:tcW w:w="2980" w:type="dxa"/>
            <w:vAlign w:val="bottom"/>
            <w:tcBorders>
              <w:bottom w:val="single" w:sz="8" w:color="auto"/>
            </w:tcBorders>
            <w:gridSpan w:val="4"/>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660" w:type="dxa"/>
            <w:vAlign w:val="bottom"/>
          </w:tcPr>
          <w:p>
            <w:pPr>
              <w:spacing w:after="0"/>
              <w:rPr>
                <w:sz w:val="14"/>
                <w:szCs w:val="14"/>
                <w:color w:val="auto"/>
              </w:rPr>
            </w:pPr>
          </w:p>
        </w:tc>
        <w:tc>
          <w:tcPr>
            <w:tcW w:w="11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6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60" w:type="dxa"/>
            <w:vAlign w:val="bottom"/>
            <w:gridSpan w:val="3"/>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120" w:type="dxa"/>
            <w:vAlign w:val="bottom"/>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280</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285</w:t>
            </w:r>
          </w:p>
        </w:tc>
        <w:tc>
          <w:tcPr>
            <w:tcW w:w="60" w:type="dxa"/>
            <w:vAlign w:val="bottom"/>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76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12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60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1"/>
                <w:szCs w:val="21"/>
                <w:color w:val="auto"/>
              </w:rPr>
            </w:pPr>
          </w:p>
        </w:tc>
      </w:tr>
      <w:tr>
        <w:trPr>
          <w:trHeight w:val="238"/>
        </w:trPr>
        <w:tc>
          <w:tcPr>
            <w:tcW w:w="76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12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12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1"/>
                <w:szCs w:val="21"/>
                <w:color w:val="auto"/>
              </w:rPr>
            </w:pPr>
          </w:p>
        </w:tc>
      </w:tr>
      <w:tr>
        <w:trPr>
          <w:trHeight w:val="23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1120" w:type="dxa"/>
            <w:vAlign w:val="bottom"/>
            <w:tcBorders>
              <w:bottom w:val="single" w:sz="8" w:color="auto"/>
            </w:tcBorders>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483</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418</w:t>
            </w:r>
          </w:p>
        </w:tc>
        <w:tc>
          <w:tcPr>
            <w:tcW w:w="6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76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 margin</w:t>
            </w:r>
          </w:p>
        </w:tc>
        <w:tc>
          <w:tcPr>
            <w:tcW w:w="1120" w:type="dxa"/>
            <w:vAlign w:val="bottom"/>
          </w:tcPr>
          <w:p>
            <w:pPr>
              <w:spacing w:after="0"/>
              <w:rPr>
                <w:sz w:val="22"/>
                <w:szCs w:val="22"/>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12.0 %</w:t>
            </w:r>
          </w:p>
        </w:tc>
        <w:tc>
          <w:tcPr>
            <w:tcW w:w="108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12.7 %</w:t>
            </w:r>
          </w:p>
        </w:tc>
      </w:tr>
      <w:tr>
        <w:trPr>
          <w:trHeight w:val="27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 margin</w:t>
            </w:r>
          </w:p>
        </w:tc>
        <w:tc>
          <w:tcPr>
            <w:tcW w:w="112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20.6 %</w:t>
            </w:r>
          </w:p>
        </w:tc>
        <w:tc>
          <w:tcPr>
            <w:tcW w:w="10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5955665</wp:posOffset>
            </wp:positionH>
            <wp:positionV relativeFrom="paragraph">
              <wp:posOffset>-692785</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8"/>
          <w:szCs w:val="18"/>
          <w:color w:val="auto"/>
        </w:rPr>
        <w:t>Adjusted operating income increased for the three months ended March 31, 2024 to $483 million, from $418 million for the three months ended March 31, 2023. This increase resulted primarily from higher revenue and lower incentive and occupancy costs in the current year, partially offset by higher salary expense and marketing costs in the current-year period.</w:t>
      </w:r>
    </w:p>
    <w:p>
      <w:pPr>
        <w:spacing w:after="0" w:line="3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876" w:right="2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EBITDA/Margin</w:t>
      </w:r>
    </w:p>
    <w:p>
      <w:pPr>
        <w:spacing w:after="0" w:line="175"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18"/>
          <w:szCs w:val="18"/>
          <w:color w:val="auto"/>
        </w:rPr>
        <w:t>We consider adjusted EBITDA/margin to be important financial measures, which are used internally to evaluate and assess our core operations, to benchmark our operating results against our competitors and to evaluate and measure our performance-based compensation plans.</w:t>
      </w:r>
    </w:p>
    <w:p>
      <w:pPr>
        <w:spacing w:after="0" w:line="109"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Adjusted EBITDA is defined as net income adjusted for provision for income taxes, interest expense, depreciation and amortization, restructuring costs, transaction and transformation, gains and losses on disposals of operations and non-recurring items that, in management’s judgment, significantly affect the period-over-period assessment of operating results. Adjusted EBITDA margin is calculated by dividing adjusted EBITDA by revenue.</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net income to adjusted EBITDA for the three months ended March 31,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40" w:type="dxa"/>
            <w:vAlign w:val="bottom"/>
            <w:gridSpan w:val="3"/>
          </w:tcPr>
          <w:p>
            <w:pPr>
              <w:jc w:val="right"/>
              <w:ind w:right="7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shd w:val="clear" w:color="auto" w:fill="CFF0FC"/>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194</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206</w:t>
            </w: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w:t>
            </w:r>
          </w:p>
        </w:tc>
        <w:tc>
          <w:tcPr>
            <w:tcW w:w="6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20"/>
                <w:szCs w:val="20"/>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1"/>
                <w:szCs w:val="2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080" w:type="dxa"/>
            <w:vAlign w:val="bottom"/>
            <w:tcBorders>
              <w:bottom w:val="single" w:sz="8" w:color="auto"/>
            </w:tcBorders>
          </w:tcPr>
          <w:p>
            <w:pPr>
              <w:jc w:val="right"/>
              <w:ind w:right="89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568</w:t>
            </w:r>
          </w:p>
        </w:tc>
        <w:tc>
          <w:tcPr>
            <w:tcW w:w="180" w:type="dxa"/>
            <w:vAlign w:val="bottom"/>
          </w:tcPr>
          <w:p>
            <w:pPr>
              <w:spacing w:after="0"/>
              <w:rPr>
                <w:sz w:val="20"/>
                <w:szCs w:val="20"/>
                <w:color w:val="auto"/>
              </w:rPr>
            </w:pP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503</w:t>
            </w:r>
          </w:p>
        </w:tc>
        <w:tc>
          <w:tcPr>
            <w:tcW w:w="6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54"/>
        </w:trPr>
        <w:tc>
          <w:tcPr>
            <w:tcW w:w="774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c>
          <w:tcPr>
            <w:tcW w:w="580" w:type="dxa"/>
            <w:vAlign w:val="bottom"/>
            <w:shd w:val="clear" w:color="auto" w:fill="CFF0FC"/>
          </w:tcPr>
          <w:p>
            <w:pPr>
              <w:spacing w:after="0"/>
              <w:rPr>
                <w:sz w:val="22"/>
                <w:szCs w:val="22"/>
                <w:color w:val="auto"/>
              </w:rPr>
            </w:pPr>
          </w:p>
        </w:tc>
        <w:tc>
          <w:tcPr>
            <w:tcW w:w="60" w:type="dxa"/>
            <w:vAlign w:val="bottom"/>
          </w:tcPr>
          <w:p>
            <w:pPr>
              <w:spacing w:after="0"/>
              <w:rPr>
                <w:sz w:val="22"/>
                <w:szCs w:val="22"/>
                <w:color w:val="auto"/>
              </w:rPr>
            </w:pPr>
          </w:p>
        </w:tc>
      </w:tr>
      <w:tr>
        <w:trPr>
          <w:trHeight w:val="25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margin</w:t>
            </w:r>
          </w:p>
        </w:tc>
        <w:tc>
          <w:tcPr>
            <w:tcW w:w="1080" w:type="dxa"/>
            <w:vAlign w:val="bottom"/>
          </w:tcPr>
          <w:p>
            <w:pPr>
              <w:spacing w:after="0"/>
              <w:rPr>
                <w:sz w:val="22"/>
                <w:szCs w:val="22"/>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8.3 %</w:t>
            </w:r>
          </w:p>
        </w:tc>
        <w:tc>
          <w:tcPr>
            <w:tcW w:w="1080" w:type="dxa"/>
            <w:vAlign w:val="bottom"/>
          </w:tcPr>
          <w:p>
            <w:pPr>
              <w:spacing w:after="0"/>
              <w:rPr>
                <w:sz w:val="22"/>
                <w:szCs w:val="22"/>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9.2 %</w:t>
            </w:r>
          </w:p>
        </w:tc>
      </w:tr>
      <w:tr>
        <w:trPr>
          <w:trHeight w:val="27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 margin</w:t>
            </w:r>
          </w:p>
        </w:tc>
        <w:tc>
          <w:tcPr>
            <w:tcW w:w="10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24.3 %</w:t>
            </w:r>
          </w:p>
        </w:tc>
        <w:tc>
          <w:tcPr>
            <w:tcW w:w="10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-161925</wp:posOffset>
            </wp:positionV>
            <wp:extent cx="7132320" cy="17145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-692785</wp:posOffset>
            </wp:positionV>
            <wp:extent cx="11112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23"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8"/>
          <w:szCs w:val="18"/>
          <w:color w:val="auto"/>
        </w:rPr>
        <w:t>Adjusted EBITDA for the three months ended March 31, 2024 was $568 million, compared to $503 million for the three months ended March 31, 2023. This increase resulted primarily from higher revenue and lower incentive and occupancy costs in the current year, partially offset by higher salary expense and marketing costs in the current-year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and Adjusted Diluted Earnings Per Share</w:t>
      </w:r>
    </w:p>
    <w:p>
      <w:pPr>
        <w:spacing w:after="0" w:line="17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Adjusted net income is defined as net income attributable to WTW adjusted for amortization, restructuring costs, transaction and transformation, gains and losses on disposals of operations and non-recurring items that, in management’s judgment, significantly affect the period-over-period assessment of operating results and the related tax effect of those adjustments and the tax effects of internal reorganizations. This measure is used solely for the purpose of calculating adjusted diluted earnings per share.</w:t>
      </w:r>
    </w:p>
    <w:p>
      <w:pPr>
        <w:spacing w:after="0" w:line="128"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8"/>
          <w:szCs w:val="18"/>
          <w:color w:val="auto"/>
        </w:rPr>
        <w:t>Adjusted diluted earnings per share is defined as adjusted net income divided by the weighted-average number of ordinary shares, diluted. Adjusted diluted earnings per share is used to internally evaluate and assess our core operations and to benchmark our operating results against our competitors.</w:t>
      </w:r>
    </w:p>
    <w:p>
      <w:pPr>
        <w:spacing w:after="0" w:line="3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26" w:right="279" w:bottom="1440" w:gutter="0" w:footer="0" w:header="0"/>
        </w:sectPr>
      </w:pPr>
    </w:p>
    <w:bookmarkStart w:id="39" w:name="page40"/>
    <w:bookmarkEnd w:id="39"/>
    <w:p>
      <w:pPr>
        <w:ind w:right="480"/>
        <w:spacing w:after="0" w:line="312" w:lineRule="auto"/>
        <w:rPr>
          <w:sz w:val="20"/>
          <w:szCs w:val="20"/>
          <w:color w:val="auto"/>
        </w:rPr>
      </w:pPr>
      <w:r>
        <w:rPr>
          <w:rFonts w:ascii="Times New Roman" w:cs="Times New Roman" w:eastAsia="Times New Roman" w:hAnsi="Times New Roman"/>
          <w:sz w:val="18"/>
          <w:szCs w:val="18"/>
          <w:color w:val="auto"/>
        </w:rPr>
        <w:t>Reconciliations of net income attributable to WTW to adjusted diluted earnings per share for the three months ended March 31, 2024 and 2023 are as follows: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 in</w:t>
            </w:r>
          </w:p>
        </w:tc>
        <w:tc>
          <w:tcPr>
            <w:tcW w:w="1220" w:type="dxa"/>
            <w:vAlign w:val="bottom"/>
            <w:gridSpan w:val="2"/>
          </w:tcPr>
          <w:p>
            <w:pPr>
              <w:jc w:val="center"/>
              <w:ind w:right="679"/>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620" w:type="dxa"/>
            <w:vAlign w:val="bottom"/>
          </w:tcPr>
          <w:p>
            <w:pPr>
              <w:spacing w:after="0"/>
              <w:rPr>
                <w:sz w:val="14"/>
                <w:szCs w:val="14"/>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WTW</w:t>
            </w:r>
          </w:p>
        </w:tc>
        <w:tc>
          <w:tcPr>
            <w:tcW w:w="1040" w:type="dxa"/>
            <w:vAlign w:val="bottom"/>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190</w:t>
            </w:r>
          </w:p>
        </w:tc>
        <w:tc>
          <w:tcPr>
            <w:tcW w:w="1220" w:type="dxa"/>
            <w:vAlign w:val="bottom"/>
            <w:gridSpan w:val="2"/>
            <w:shd w:val="clear" w:color="auto" w:fill="CFF0FC"/>
          </w:tcPr>
          <w:p>
            <w:pPr>
              <w:jc w:val="center"/>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203</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r>
      <w:tr>
        <w:trPr>
          <w:trHeight w:val="243"/>
        </w:trPr>
        <w:tc>
          <w:tcPr>
            <w:tcW w:w="7740" w:type="dxa"/>
            <w:vAlign w:val="bottom"/>
          </w:tcPr>
          <w:p>
            <w:pPr>
              <w:ind w:left="200"/>
              <w:spacing w:after="0" w:line="243"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(34 )</w:t>
            </w:r>
          </w:p>
        </w:tc>
      </w:tr>
      <w:tr>
        <w:trPr>
          <w:trHeight w:val="238"/>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20"/>
                <w:szCs w:val="20"/>
                <w:color w:val="auto"/>
              </w:rPr>
            </w:pPr>
          </w:p>
        </w:tc>
        <w:tc>
          <w:tcPr>
            <w:tcW w:w="104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net income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341</w:t>
            </w:r>
          </w:p>
        </w:tc>
        <w:tc>
          <w:tcPr>
            <w:tcW w:w="1220" w:type="dxa"/>
            <w:vAlign w:val="bottom"/>
            <w:gridSpan w:val="2"/>
          </w:tcPr>
          <w:p>
            <w:pPr>
              <w:jc w:val="center"/>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306</w:t>
            </w:r>
          </w:p>
        </w:tc>
      </w:tr>
      <w:tr>
        <w:trPr>
          <w:trHeight w:val="20"/>
        </w:trPr>
        <w:tc>
          <w:tcPr>
            <w:tcW w:w="7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27"/>
        </w:trPr>
        <w:tc>
          <w:tcPr>
            <w:tcW w:w="774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620" w:type="dxa"/>
            <w:vAlign w:val="bottom"/>
            <w:shd w:val="clear" w:color="auto" w:fill="CFF0FC"/>
          </w:tcPr>
          <w:p>
            <w:pPr>
              <w:spacing w:after="0"/>
              <w:rPr>
                <w:sz w:val="19"/>
                <w:szCs w:val="19"/>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ordinary shares — diluted</w:t>
            </w:r>
          </w:p>
        </w:tc>
        <w:tc>
          <w:tcPr>
            <w:tcW w:w="10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w:t>
            </w:r>
          </w:p>
        </w:tc>
      </w:tr>
      <w:tr>
        <w:trPr>
          <w:trHeight w:val="247"/>
        </w:trPr>
        <w:tc>
          <w:tcPr>
            <w:tcW w:w="77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040" w:type="dxa"/>
            <w:vAlign w:val="bottom"/>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1.83</w:t>
            </w:r>
          </w:p>
        </w:tc>
        <w:tc>
          <w:tcPr>
            <w:tcW w:w="1220" w:type="dxa"/>
            <w:vAlign w:val="bottom"/>
            <w:gridSpan w:val="2"/>
          </w:tcPr>
          <w:p>
            <w:pPr>
              <w:jc w:val="center"/>
              <w:ind w:right="65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1.88</w:t>
            </w:r>
          </w:p>
        </w:tc>
      </w:tr>
      <w:tr>
        <w:trPr>
          <w:trHeight w:val="247"/>
        </w:trPr>
        <w:tc>
          <w:tcPr>
            <w:tcW w:w="7740" w:type="dxa"/>
            <w:vAlign w:val="bottom"/>
            <w:shd w:val="clear" w:color="auto" w:fill="CFF0FC"/>
          </w:tcPr>
          <w:p>
            <w:pPr>
              <w:ind w:left="20"/>
              <w:spacing w:after="0" w:line="247" w:lineRule="exact"/>
              <w:rPr>
                <w:sz w:val="20"/>
                <w:szCs w:val="20"/>
                <w:color w:val="auto"/>
              </w:rPr>
            </w:pPr>
            <w:r>
              <w:rPr>
                <w:rFonts w:ascii="Times New Roman" w:cs="Times New Roman" w:eastAsia="Times New Roman" w:hAnsi="Times New Roman"/>
                <w:sz w:val="18"/>
                <w:szCs w:val="18"/>
                <w:color w:val="auto"/>
              </w:rPr>
              <w:t xml:space="preserve">Adjusted for certain items </w:t>
            </w:r>
            <w:r>
              <w:rPr>
                <w:rFonts w:ascii="Times New Roman" w:cs="Times New Roman" w:eastAsia="Times New Roman" w:hAnsi="Times New Roman"/>
                <w:sz w:val="24"/>
                <w:szCs w:val="24"/>
                <w:color w:val="auto"/>
                <w:vertAlign w:val="superscript"/>
              </w:rPr>
              <w:t>(ii)</w:t>
            </w:r>
            <w:r>
              <w:rPr>
                <w:rFonts w:ascii="Times New Roman" w:cs="Times New Roman" w:eastAsia="Times New Roman" w:hAnsi="Times New Roman"/>
                <w:sz w:val="18"/>
                <w:szCs w:val="18"/>
                <w:color w:val="auto"/>
              </w:rPr>
              <w:t xml:space="preserve"> :</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0.58</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0.66</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0.17</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0.03</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40" w:type="dxa"/>
            <w:vAlign w:val="bottom"/>
          </w:tcPr>
          <w:p>
            <w:pPr>
              <w:spacing w:after="0"/>
              <w:rPr>
                <w:sz w:val="20"/>
                <w:szCs w:val="20"/>
                <w:color w:val="auto"/>
              </w:rPr>
            </w:pPr>
          </w:p>
        </w:tc>
        <w:tc>
          <w:tcPr>
            <w:tcW w:w="6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1.21</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0.55</w:t>
            </w:r>
          </w:p>
        </w:tc>
      </w:tr>
      <w:tr>
        <w:trPr>
          <w:trHeight w:val="247"/>
        </w:trPr>
        <w:tc>
          <w:tcPr>
            <w:tcW w:w="7740" w:type="dxa"/>
            <w:vAlign w:val="bottom"/>
            <w:shd w:val="clear" w:color="auto" w:fill="CFF0FC"/>
          </w:tcPr>
          <w:p>
            <w:pPr>
              <w:ind w:left="200"/>
              <w:spacing w:after="0" w:line="247" w:lineRule="exact"/>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(0.50 )</w:t>
            </w:r>
          </w:p>
        </w:tc>
        <w:tc>
          <w:tcPr>
            <w:tcW w:w="18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(0.32 )</w:t>
            </w: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0.04</w:t>
            </w: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1040" w:type="dxa"/>
            <w:vAlign w:val="bottom"/>
            <w:tcBorders>
              <w:bottom w:val="single" w:sz="8" w:color="auto"/>
            </w:tcBorders>
            <w:shd w:val="clear" w:color="auto" w:fill="CFF0FC"/>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3.29</w:t>
            </w:r>
          </w:p>
        </w:tc>
        <w:tc>
          <w:tcPr>
            <w:tcW w:w="180" w:type="dxa"/>
            <w:vAlign w:val="bottom"/>
            <w:tcBorders>
              <w:bottom w:val="single" w:sz="8" w:color="CFF0FC"/>
            </w:tcBorders>
            <w:shd w:val="clear" w:color="auto" w:fill="CFF0FC"/>
          </w:tcPr>
          <w:p>
            <w:pPr>
              <w:spacing w:after="0"/>
              <w:rPr>
                <w:sz w:val="24"/>
                <w:szCs w:val="24"/>
                <w:color w:val="auto"/>
              </w:rPr>
            </w:pPr>
          </w:p>
        </w:tc>
        <w:tc>
          <w:tcPr>
            <w:tcW w:w="1040" w:type="dxa"/>
            <w:vAlign w:val="bottom"/>
            <w:tcBorders>
              <w:bottom w:val="single" w:sz="8" w:color="auto"/>
            </w:tcBorders>
            <w:shd w:val="clear" w:color="auto" w:fill="CFF0FC"/>
          </w:tcPr>
          <w:p>
            <w:pPr>
              <w:jc w:val="center"/>
              <w:ind w:right="8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-1917065</wp:posOffset>
            </wp:positionV>
            <wp:extent cx="11112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102870</wp:posOffset>
            </wp:positionV>
            <wp:extent cx="9505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73" w:lineRule="exact"/>
        <w:rPr>
          <w:sz w:val="20"/>
          <w:szCs w:val="20"/>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tax effect was calculated using an effective tax rate for each item.</w:t>
      </w:r>
    </w:p>
    <w:p>
      <w:pPr>
        <w:spacing w:after="0" w:line="27" w:lineRule="exact"/>
        <w:rPr>
          <w:rFonts w:ascii="Times New Roman" w:cs="Times New Roman" w:eastAsia="Times New Roman" w:hAnsi="Times New Roman"/>
          <w:sz w:val="14"/>
          <w:szCs w:val="14"/>
          <w:color w:val="auto"/>
        </w:rPr>
      </w:pPr>
    </w:p>
    <w:p>
      <w:pPr>
        <w:ind w:left="280" w:hanging="272"/>
        <w:spacing w:after="0"/>
        <w:tabs>
          <w:tab w:leader="none" w:pos="28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share values and totals may differ due to rounding.</w:t>
      </w:r>
    </w:p>
    <w:p>
      <w:pPr>
        <w:spacing w:after="0" w:line="154"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8"/>
          <w:szCs w:val="18"/>
          <w:color w:val="auto"/>
        </w:rPr>
        <w:t>Our adjusted diluted earnings per share increased for the three months ended March 31, 2024 as compared to the prior year primarily due to higher revenue and lower incentive and occupancy costs in the current year, and a lower weighted-average outstanding share count due to our share repurchase activity over the last year, partially offset by higher salary expense and marketing costs in the current-year period.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Income Before Taxes and Adjusted Income Taxes/Tax Rate</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Adjusted income before taxes is defined as income from operations before income taxes adjusted for amortization, restructuring costs, transaction and transformation, gains and losses on disposals of operations and non-recurring items that, in management’s judgment, significantly affect the period-over-period assessment of operating results. Adjusted income before taxes is used solely for the purpose of calculating the adjusted income tax rate.</w:t>
      </w:r>
    </w:p>
    <w:p>
      <w:pPr>
        <w:spacing w:after="0" w:line="123" w:lineRule="exact"/>
        <w:rPr>
          <w:sz w:val="20"/>
          <w:szCs w:val="20"/>
          <w:color w:val="auto"/>
        </w:rPr>
      </w:pPr>
    </w:p>
    <w:p>
      <w:pPr>
        <w:ind w:right="360"/>
        <w:spacing w:after="0" w:line="260" w:lineRule="auto"/>
        <w:rPr>
          <w:sz w:val="20"/>
          <w:szCs w:val="20"/>
          <w:color w:val="auto"/>
        </w:rPr>
      </w:pPr>
      <w:r>
        <w:rPr>
          <w:rFonts w:ascii="Times New Roman" w:cs="Times New Roman" w:eastAsia="Times New Roman" w:hAnsi="Times New Roman"/>
          <w:sz w:val="18"/>
          <w:szCs w:val="18"/>
          <w:color w:val="auto"/>
        </w:rPr>
        <w:t>Adjusted income taxes/tax rate is defined as the provision for income taxes adjusted for taxes on certain items of amortization, restructuring costs, transaction and transformation, gains and losses on disposals of operations, the tax effects of internal reorganizations and non-recurring items that, in management’s judgment, significantly affect the period-over-period assessment of operating results, divided by adjusted income before taxes. Adjusted income taxes is used solely for the purpose of calculating the adjusted income tax rate.</w:t>
      </w:r>
    </w:p>
    <w:p>
      <w:pPr>
        <w:spacing w:after="0" w:line="128"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Management believes that the adjusted income tax rate presents a rate that is more closely aligned to the rate that we would incur if not for the reduction of pre-tax income for the adjusted items and the tax effects of internal reorganizations, which are not core to our current and future operations.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7" w:right="339" w:bottom="1440" w:gutter="0" w:footer="0" w:header="0"/>
        </w:sectPr>
      </w:pPr>
    </w:p>
    <w:bookmarkStart w:id="40" w:name="page41"/>
    <w:bookmarkEnd w:id="40"/>
    <w:p>
      <w:pPr>
        <w:ind w:right="60"/>
        <w:spacing w:after="0" w:line="281" w:lineRule="auto"/>
        <w:rPr>
          <w:sz w:val="20"/>
          <w:szCs w:val="20"/>
          <w:color w:val="auto"/>
        </w:rPr>
      </w:pPr>
      <w:r>
        <w:rPr>
          <w:rFonts w:ascii="Times New Roman" w:cs="Times New Roman" w:eastAsia="Times New Roman" w:hAnsi="Times New Roman"/>
          <w:sz w:val="18"/>
          <w:szCs w:val="18"/>
          <w:color w:val="auto"/>
        </w:rPr>
        <w:t>Reconciliations of income from operations before income taxes to adjusted income before taxes and provision for income taxes to adjusted income taxes for the three months ended March 31, 2024 and 2023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2920" w:type="dxa"/>
            <w:vAlign w:val="bottom"/>
            <w:tcBorders>
              <w:bottom w:val="single" w:sz="8" w:color="auto"/>
            </w:tcBorders>
            <w:gridSpan w:val="4"/>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77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 in</w:t>
            </w:r>
          </w:p>
        </w:tc>
        <w:tc>
          <w:tcPr>
            <w:tcW w:w="1260" w:type="dxa"/>
            <w:vAlign w:val="bottom"/>
            <w:gridSpan w:val="2"/>
          </w:tcPr>
          <w:p>
            <w:pPr>
              <w:jc w:val="center"/>
              <w:ind w:right="714"/>
              <w:spacing w:after="0"/>
              <w:rPr>
                <w:sz w:val="20"/>
                <w:szCs w:val="20"/>
                <w:color w:val="auto"/>
              </w:rPr>
            </w:pPr>
            <w:r>
              <w:rPr>
                <w:rFonts w:ascii="Times New Roman" w:cs="Times New Roman" w:eastAsia="Times New Roman" w:hAnsi="Times New Roman"/>
                <w:sz w:val="14"/>
                <w:szCs w:val="14"/>
                <w:b w:val="1"/>
                <w:bCs w:val="1"/>
                <w:color w:val="auto"/>
                <w:w w:val="88"/>
              </w:rPr>
              <w:t>millions)</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7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FROM OPERATIONS BEFORE INCOME TAXES</w:t>
            </w:r>
          </w:p>
        </w:tc>
        <w:tc>
          <w:tcPr>
            <w:tcW w:w="1080" w:type="dxa"/>
            <w:vAlign w:val="bottom"/>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242</w:t>
            </w:r>
          </w:p>
        </w:tc>
        <w:tc>
          <w:tcPr>
            <w:tcW w:w="180" w:type="dxa"/>
            <w:vAlign w:val="bottom"/>
            <w:shd w:val="clear" w:color="auto" w:fill="CFF0FC"/>
          </w:tcPr>
          <w:p>
            <w:pPr>
              <w:spacing w:after="0"/>
              <w:rPr>
                <w:sz w:val="23"/>
                <w:szCs w:val="23"/>
                <w:color w:val="auto"/>
              </w:rPr>
            </w:pPr>
          </w:p>
        </w:tc>
        <w:tc>
          <w:tcPr>
            <w:tcW w:w="1080" w:type="dxa"/>
            <w:vAlign w:val="bottom"/>
            <w:shd w:val="clear" w:color="auto" w:fill="CFF0FC"/>
          </w:tcPr>
          <w:p>
            <w:pPr>
              <w:jc w:val="center"/>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256</w:t>
            </w:r>
          </w:p>
        </w:tc>
        <w:tc>
          <w:tcPr>
            <w:tcW w:w="60" w:type="dxa"/>
            <w:vAlign w:val="bottom"/>
          </w:tcPr>
          <w:p>
            <w:pPr>
              <w:spacing w:after="0"/>
              <w:rPr>
                <w:sz w:val="23"/>
                <w:szCs w:val="23"/>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for certain items:</w:t>
            </w: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4"/>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w:t>
            </w:r>
          </w:p>
        </w:tc>
        <w:tc>
          <w:tcPr>
            <w:tcW w:w="1080" w:type="dxa"/>
            <w:vAlign w:val="bottom"/>
            <w:shd w:val="clear" w:color="auto" w:fill="CFF0FC"/>
          </w:tcPr>
          <w:p>
            <w:pPr>
              <w:spacing w:after="0"/>
              <w:rPr>
                <w:sz w:val="23"/>
                <w:szCs w:val="23"/>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60</w:t>
            </w:r>
          </w:p>
        </w:tc>
        <w:tc>
          <w:tcPr>
            <w:tcW w:w="180" w:type="dxa"/>
            <w:vAlign w:val="bottom"/>
            <w:shd w:val="clear" w:color="auto" w:fill="CFF0FC"/>
          </w:tcPr>
          <w:p>
            <w:pPr>
              <w:spacing w:after="0"/>
              <w:rPr>
                <w:sz w:val="23"/>
                <w:szCs w:val="23"/>
                <w:color w:val="auto"/>
              </w:rPr>
            </w:pPr>
          </w:p>
        </w:tc>
        <w:tc>
          <w:tcPr>
            <w:tcW w:w="1080" w:type="dxa"/>
            <w:vAlign w:val="bottom"/>
            <w:shd w:val="clear" w:color="auto" w:fill="CFF0FC"/>
          </w:tcPr>
          <w:p>
            <w:pPr>
              <w:spacing w:after="0"/>
              <w:rPr>
                <w:sz w:val="23"/>
                <w:szCs w:val="23"/>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w:t>
            </w:r>
          </w:p>
        </w:tc>
        <w:tc>
          <w:tcPr>
            <w:tcW w:w="60" w:type="dxa"/>
            <w:vAlign w:val="bottom"/>
          </w:tcPr>
          <w:p>
            <w:pPr>
              <w:spacing w:after="0"/>
              <w:rPr>
                <w:sz w:val="23"/>
                <w:szCs w:val="23"/>
                <w:color w:val="auto"/>
              </w:rPr>
            </w:pPr>
          </w:p>
        </w:tc>
      </w:tr>
      <w:tr>
        <w:trPr>
          <w:trHeight w:val="263"/>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Restructuring costs</w:t>
            </w:r>
          </w:p>
        </w:tc>
        <w:tc>
          <w:tcPr>
            <w:tcW w:w="1080" w:type="dxa"/>
            <w:vAlign w:val="bottom"/>
          </w:tcPr>
          <w:p>
            <w:pPr>
              <w:spacing w:after="0"/>
              <w:rPr>
                <w:sz w:val="22"/>
                <w:szCs w:val="22"/>
                <w:color w:val="auto"/>
              </w:rPr>
            </w:pP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18</w:t>
            </w: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60" w:type="dxa"/>
            <w:vAlign w:val="bottom"/>
          </w:tcPr>
          <w:p>
            <w:pPr>
              <w:spacing w:after="0"/>
              <w:rPr>
                <w:sz w:val="22"/>
                <w:szCs w:val="22"/>
                <w:color w:val="auto"/>
              </w:rPr>
            </w:pPr>
          </w:p>
        </w:tc>
      </w:tr>
      <w:tr>
        <w:trPr>
          <w:trHeight w:val="256"/>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and transformation</w:t>
            </w:r>
          </w:p>
        </w:tc>
        <w:tc>
          <w:tcPr>
            <w:tcW w:w="10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w:t>
            </w:r>
          </w:p>
        </w:tc>
        <w:tc>
          <w:tcPr>
            <w:tcW w:w="180" w:type="dxa"/>
            <w:vAlign w:val="bottom"/>
            <w:tcBorders>
              <w:bottom w:val="single" w:sz="8" w:color="CFF0FC"/>
            </w:tcBorders>
            <w:shd w:val="clear" w:color="auto" w:fill="CFF0FC"/>
          </w:tcPr>
          <w:p>
            <w:pPr>
              <w:spacing w:after="0"/>
              <w:rPr>
                <w:sz w:val="22"/>
                <w:szCs w:val="22"/>
                <w:color w:val="auto"/>
              </w:rPr>
            </w:pPr>
          </w:p>
        </w:tc>
        <w:tc>
          <w:tcPr>
            <w:tcW w:w="1080" w:type="dxa"/>
            <w:vAlign w:val="bottom"/>
            <w:tcBorders>
              <w:bottom w:val="single" w:sz="8" w:color="auto"/>
            </w:tcBorders>
            <w:shd w:val="clear" w:color="auto" w:fill="CFF0FC"/>
          </w:tcPr>
          <w:p>
            <w:pPr>
              <w:spacing w:after="0"/>
              <w:rPr>
                <w:sz w:val="22"/>
                <w:szCs w:val="22"/>
                <w:color w:val="auto"/>
              </w:rPr>
            </w:pPr>
          </w:p>
        </w:tc>
        <w:tc>
          <w:tcPr>
            <w:tcW w:w="5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60" w:type="dxa"/>
            <w:vAlign w:val="bottom"/>
          </w:tcPr>
          <w:p>
            <w:pPr>
              <w:spacing w:after="0"/>
              <w:rPr>
                <w:sz w:val="22"/>
                <w:szCs w:val="22"/>
                <w:color w:val="auto"/>
              </w:rPr>
            </w:pPr>
          </w:p>
        </w:tc>
      </w:tr>
      <w:tr>
        <w:trPr>
          <w:trHeight w:val="26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income before taxes</w:t>
            </w:r>
          </w:p>
        </w:tc>
        <w:tc>
          <w:tcPr>
            <w:tcW w:w="1080" w:type="dxa"/>
            <w:vAlign w:val="bottom"/>
            <w:tcBorders>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445</w:t>
            </w:r>
          </w:p>
        </w:tc>
        <w:tc>
          <w:tcPr>
            <w:tcW w:w="180" w:type="dxa"/>
            <w:vAlign w:val="bottom"/>
          </w:tcPr>
          <w:p>
            <w:pPr>
              <w:spacing w:after="0"/>
              <w:rPr>
                <w:sz w:val="22"/>
                <w:szCs w:val="22"/>
                <w:color w:val="auto"/>
              </w:rPr>
            </w:pPr>
          </w:p>
        </w:tc>
        <w:tc>
          <w:tcPr>
            <w:tcW w:w="1080" w:type="dxa"/>
            <w:vAlign w:val="bottom"/>
            <w:tcBorders>
              <w:bottom w:val="single" w:sz="8" w:color="auto"/>
            </w:tcBorders>
          </w:tcPr>
          <w:p>
            <w:pPr>
              <w:jc w:val="center"/>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389</w:t>
            </w:r>
          </w:p>
        </w:tc>
        <w:tc>
          <w:tcPr>
            <w:tcW w:w="60" w:type="dxa"/>
            <w:vAlign w:val="bottom"/>
          </w:tcPr>
          <w:p>
            <w:pPr>
              <w:spacing w:after="0"/>
              <w:rPr>
                <w:sz w:val="22"/>
                <w:szCs w:val="22"/>
                <w:color w:val="auto"/>
              </w:rPr>
            </w:pPr>
          </w:p>
        </w:tc>
      </w:tr>
      <w:tr>
        <w:trPr>
          <w:trHeight w:val="20"/>
        </w:trPr>
        <w:tc>
          <w:tcPr>
            <w:tcW w:w="7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0"/>
        </w:trPr>
        <w:tc>
          <w:tcPr>
            <w:tcW w:w="774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r>
      <w:tr>
        <w:trPr>
          <w:trHeight w:val="26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48</w:t>
            </w:r>
          </w:p>
        </w:tc>
        <w:tc>
          <w:tcPr>
            <w:tcW w:w="180" w:type="dxa"/>
            <w:vAlign w:val="bottom"/>
          </w:tcPr>
          <w:p>
            <w:pPr>
              <w:spacing w:after="0"/>
              <w:rPr>
                <w:sz w:val="22"/>
                <w:szCs w:val="22"/>
                <w:color w:val="auto"/>
              </w:rPr>
            </w:pPr>
          </w:p>
        </w:tc>
        <w:tc>
          <w:tcPr>
            <w:tcW w:w="1080" w:type="dxa"/>
            <w:vAlign w:val="bottom"/>
          </w:tcPr>
          <w:p>
            <w:pPr>
              <w:jc w:val="center"/>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22"/>
                <w:szCs w:val="22"/>
                <w:color w:val="auto"/>
              </w:rPr>
            </w:pPr>
          </w:p>
        </w:tc>
      </w:tr>
      <w:tr>
        <w:trPr>
          <w:trHeight w:val="276"/>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Tax effect on certain items listed above </w:t>
            </w:r>
            <w:r>
              <w:rPr>
                <w:rFonts w:ascii="Times New Roman" w:cs="Times New Roman" w:eastAsia="Times New Roman" w:hAnsi="Times New Roman"/>
                <w:sz w:val="24"/>
                <w:szCs w:val="24"/>
                <w:color w:val="auto"/>
                <w:vertAlign w:val="superscript"/>
              </w:rPr>
              <w:t>(i)</w:t>
            </w:r>
          </w:p>
        </w:tc>
        <w:tc>
          <w:tcPr>
            <w:tcW w:w="108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shd w:val="clear" w:color="auto" w:fill="CFF0FC"/>
          </w:tcPr>
          <w:p>
            <w:pPr>
              <w:spacing w:after="0"/>
              <w:rPr>
                <w:sz w:val="24"/>
                <w:szCs w:val="24"/>
                <w:color w:val="auto"/>
              </w:rPr>
            </w:pPr>
          </w:p>
        </w:tc>
        <w:tc>
          <w:tcPr>
            <w:tcW w:w="1080" w:type="dxa"/>
            <w:vAlign w:val="bottom"/>
            <w:shd w:val="clear" w:color="auto" w:fill="CFF0FC"/>
          </w:tcPr>
          <w:p>
            <w:pPr>
              <w:spacing w:after="0"/>
              <w:rPr>
                <w:sz w:val="24"/>
                <w:szCs w:val="24"/>
                <w:color w:val="auto"/>
              </w:rPr>
            </w:pPr>
          </w:p>
        </w:tc>
        <w:tc>
          <w:tcPr>
            <w:tcW w:w="5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24"/>
                <w:szCs w:val="24"/>
                <w:color w:val="auto"/>
              </w:rPr>
            </w:pPr>
          </w:p>
        </w:tc>
      </w:tr>
      <w:tr>
        <w:trPr>
          <w:trHeight w:val="25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 effect of internal reorganizations</w:t>
            </w:r>
          </w:p>
        </w:tc>
        <w:tc>
          <w:tcPr>
            <w:tcW w:w="1080" w:type="dxa"/>
            <w:vAlign w:val="bottom"/>
          </w:tcPr>
          <w:p>
            <w:pPr>
              <w:spacing w:after="0"/>
              <w:rPr>
                <w:sz w:val="21"/>
                <w:szCs w:val="21"/>
                <w:color w:val="auto"/>
              </w:rPr>
            </w:pPr>
          </w:p>
        </w:tc>
        <w:tc>
          <w:tcPr>
            <w:tcW w:w="760" w:type="dxa"/>
            <w:vAlign w:val="bottom"/>
            <w:gridSpan w:val="2"/>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r>
      <w:tr>
        <w:trPr>
          <w:trHeight w:val="303"/>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income taxes</w:t>
            </w:r>
          </w:p>
        </w:tc>
        <w:tc>
          <w:tcPr>
            <w:tcW w:w="1080" w:type="dxa"/>
            <w:vAlign w:val="bottom"/>
            <w:tcBorders>
              <w:top w:val="single" w:sz="8" w:color="auto"/>
              <w:bottom w:val="single" w:sz="8" w:color="auto"/>
            </w:tcBorders>
            <w:shd w:val="clear" w:color="auto" w:fill="CFF0FC"/>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100</w:t>
            </w:r>
          </w:p>
        </w:tc>
        <w:tc>
          <w:tcPr>
            <w:tcW w:w="18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top w:val="single" w:sz="8" w:color="auto"/>
              <w:bottom w:val="single" w:sz="8" w:color="auto"/>
            </w:tcBorders>
            <w:shd w:val="clear" w:color="auto" w:fill="CFF0FC"/>
          </w:tcPr>
          <w:p>
            <w:pPr>
              <w:jc w:val="center"/>
              <w:ind w:right="874"/>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80</w:t>
            </w:r>
          </w:p>
        </w:tc>
        <w:tc>
          <w:tcPr>
            <w:tcW w:w="60" w:type="dxa"/>
            <w:vAlign w:val="bottom"/>
          </w:tcPr>
          <w:p>
            <w:pPr>
              <w:spacing w:after="0"/>
              <w:rPr>
                <w:sz w:val="24"/>
                <w:szCs w:val="24"/>
                <w:color w:val="auto"/>
              </w:rPr>
            </w:pPr>
          </w:p>
        </w:tc>
      </w:tr>
      <w:tr>
        <w:trPr>
          <w:trHeight w:val="486"/>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GAAP tax rate</w:t>
            </w:r>
          </w:p>
        </w:tc>
        <w:tc>
          <w:tcPr>
            <w:tcW w:w="1080" w:type="dxa"/>
            <w:vAlign w:val="bottom"/>
          </w:tcPr>
          <w:p>
            <w:pPr>
              <w:spacing w:after="0"/>
              <w:rPr>
                <w:sz w:val="24"/>
                <w:szCs w:val="24"/>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19.9 %</w:t>
            </w:r>
          </w:p>
        </w:tc>
        <w:tc>
          <w:tcPr>
            <w:tcW w:w="1080" w:type="dxa"/>
            <w:vAlign w:val="bottom"/>
          </w:tcPr>
          <w:p>
            <w:pPr>
              <w:spacing w:after="0"/>
              <w:rPr>
                <w:sz w:val="24"/>
                <w:szCs w:val="2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19.5 %</w:t>
            </w:r>
          </w:p>
        </w:tc>
      </w:tr>
      <w:tr>
        <w:trPr>
          <w:trHeight w:val="270"/>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Adjusted income tax rate</w:t>
            </w:r>
          </w:p>
        </w:tc>
        <w:tc>
          <w:tcPr>
            <w:tcW w:w="1080" w:type="dxa"/>
            <w:vAlign w:val="bottom"/>
          </w:tcPr>
          <w:p>
            <w:pPr>
              <w:spacing w:after="0"/>
              <w:rPr>
                <w:sz w:val="23"/>
                <w:szCs w:val="23"/>
                <w:color w:val="auto"/>
              </w:rPr>
            </w:pPr>
          </w:p>
        </w:tc>
        <w:tc>
          <w:tcPr>
            <w:tcW w:w="76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22.4 %</w:t>
            </w:r>
          </w:p>
        </w:tc>
        <w:tc>
          <w:tcPr>
            <w:tcW w:w="108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-333375</wp:posOffset>
            </wp:positionV>
            <wp:extent cx="7132320" cy="17145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-1557655</wp:posOffset>
            </wp:positionV>
            <wp:extent cx="11112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-513080</wp:posOffset>
            </wp:positionV>
            <wp:extent cx="111125"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-495935</wp:posOffset>
            </wp:positionV>
            <wp:extent cx="11112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111125</wp:posOffset>
            </wp:positionV>
            <wp:extent cx="95059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86"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4"/>
          <w:szCs w:val="14"/>
          <w:color w:val="auto"/>
        </w:rPr>
        <w:t>(i)</w:t>
        <w:tab/>
        <w:t>The tax effect was calculated using an effective tax rate for each item.</w:t>
      </w:r>
    </w:p>
    <w:p>
      <w:pPr>
        <w:spacing w:after="0" w:line="154"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Our U.S. GAAP tax rates were 19.9% and 19.5% for the three months ended March 31, 2024 and 2023, respectively. The current-year quarter’s effective tax rate is higher due to the distribution of geographical income.</w:t>
      </w:r>
    </w:p>
    <w:p>
      <w:pPr>
        <w:spacing w:after="0" w:line="109"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18"/>
          <w:szCs w:val="18"/>
          <w:color w:val="auto"/>
        </w:rPr>
        <w:t>Our adjusted income tax rates were 22.4% and 20.5% for the three months ended March 31, 2024 and 2023, respectively. The current-year quarter’s adjusted tax rate is higher due to the distribution of geographical income.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Free Cash Flow</w:t>
      </w:r>
    </w:p>
    <w:p>
      <w:pPr>
        <w:spacing w:after="0" w:line="175" w:lineRule="exact"/>
        <w:rPr>
          <w:sz w:val="20"/>
          <w:szCs w:val="20"/>
          <w:color w:val="auto"/>
        </w:rPr>
      </w:pPr>
    </w:p>
    <w:p>
      <w:pPr>
        <w:ind w:right="340"/>
        <w:spacing w:after="0" w:line="312" w:lineRule="auto"/>
        <w:rPr>
          <w:sz w:val="20"/>
          <w:szCs w:val="20"/>
          <w:color w:val="auto"/>
        </w:rPr>
      </w:pPr>
      <w:r>
        <w:rPr>
          <w:rFonts w:ascii="Times New Roman" w:cs="Times New Roman" w:eastAsia="Times New Roman" w:hAnsi="Times New Roman"/>
          <w:sz w:val="18"/>
          <w:szCs w:val="18"/>
          <w:color w:val="auto"/>
        </w:rPr>
        <w:t>Free cash flow is defined as cash flows from operating activities less cash used to purchase fixed assets and software for internal use. Free cash flow is a liquidity measure and is not meant to represent residual cash flow available for discretionary expenditures.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 believes that free cash flow presents the core operating performance and cash generating capabilities of our business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Reconciliations of cash flows from operating activities to free cash flow for the three months ended March 31, 2024 and 2023 are as follows: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960" w:type="dxa"/>
            <w:vAlign w:val="bottom"/>
            <w:tcBorders>
              <w:bottom w:val="single" w:sz="8" w:color="auto"/>
            </w:tcBorders>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60" w:type="dxa"/>
            <w:vAlign w:val="bottom"/>
            <w:tcBorders>
              <w:bottom w:val="single" w:sz="8" w:color="auto"/>
            </w:tcBorders>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1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r>
      <w:tr>
        <w:trPr>
          <w:trHeight w:val="169"/>
        </w:trPr>
        <w:tc>
          <w:tcPr>
            <w:tcW w:w="77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40" w:type="dxa"/>
            <w:vAlign w:val="bottom"/>
            <w:gridSpan w:val="3"/>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Pr>
          <w:p>
            <w:pPr>
              <w:spacing w:after="0"/>
              <w:rPr>
                <w:sz w:val="14"/>
                <w:szCs w:val="14"/>
                <w:color w:val="auto"/>
              </w:rPr>
            </w:pPr>
          </w:p>
        </w:tc>
      </w:tr>
      <w:tr>
        <w:trPr>
          <w:trHeight w:val="243"/>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120" w:type="dxa"/>
            <w:vAlign w:val="bottom"/>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24</w:t>
            </w:r>
          </w:p>
        </w:tc>
        <w:tc>
          <w:tcPr>
            <w:tcW w:w="1280" w:type="dxa"/>
            <w:vAlign w:val="bottom"/>
            <w:gridSpan w:val="2"/>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Additions to fixed assets and software for internal use</w:t>
            </w:r>
          </w:p>
        </w:tc>
        <w:tc>
          <w:tcPr>
            <w:tcW w:w="1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80" w:type="dxa"/>
            <w:vAlign w:val="bottom"/>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(42 )</w:t>
            </w:r>
          </w:p>
        </w:tc>
      </w:tr>
      <w:tr>
        <w:trPr>
          <w:trHeight w:val="27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120" w:type="dxa"/>
            <w:vAlign w:val="bottom"/>
            <w:tcBorders>
              <w:bottom w:val="single" w:sz="8" w:color="auto"/>
            </w:tcBorders>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8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1111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11112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110"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18"/>
          <w:szCs w:val="18"/>
          <w:color w:val="auto"/>
        </w:rPr>
        <w:t>The decrease in free cash flow during the current-year period was primarily driven by increased cash outflows related to the Transformation program and discretionary compensation payments, partially offset by higher collections in the current-year quarter as compared to the prior-year quarter.</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8"/>
          <w:szCs w:val="18"/>
          <w:color w:val="auto"/>
        </w:rPr>
        <w:t>There were no material changes from the Critical Accounting Estimates disclosed in our Annual Report on Form 10-K for the year ended December 31, 2023, filed with the SEC on February 22, 2024.</w:t>
      </w:r>
    </w:p>
    <w:p>
      <w:pPr>
        <w:spacing w:after="0" w:line="35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930" w:right="2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7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8"/>
          <w:szCs w:val="18"/>
          <w:color w:val="auto"/>
        </w:rPr>
        <w:t>We have considered changes in our exposure to market risks during the three months ended March 31, 2024 and have determined that there have been no material changes to our exposure to market risks from those described in the Company’s Annual Report on Form 10-K for the year ended December 31, 2023, filed with the SEC on February 22, 2024. However, we have provided the following information to supplement or update our disclosures on our Form 10-K.</w:t>
      </w:r>
    </w:p>
    <w:p>
      <w:pPr>
        <w:spacing w:after="0" w:line="128"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Company has a global investment policy which is designed to ensure that we maintain diversification of our cash investments throughout the world in order to minimize the risk of loss due to a counterparty failure.</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 on Fiduciary Funds</w:t>
      </w:r>
    </w:p>
    <w:p>
      <w:pPr>
        <w:spacing w:after="0" w:line="17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As described in our Annual Report on Form 10-K, we are exposed to interest rate risk. Specifically, as a result of our operating activities, we receive cash for premiums and claims which we deposit in high-quality bank term deposit and money market funds, on which we earn interest, where permitted. We also hold funds for clients of our benefits accounts businesses. For the benefit funds not invested, cash and cash equivalents are held, on which we earn interest, until the funds are directed by plan participants to either be invested in mutual funds or paid out on their behalf. This interest earned is included in our condensed consolidated financial statements as interest income. These funds are regulated in terms of access and the instruments in which they may be invested, most of which are short-term in maturity. As a result of measures taken by central banks around the world, rates offered on these investments have increased, in some cases significantly, over the course of the last year. This has resulted in the Company recognizing higher interest income over the same period in the prior year. Interest income in the future will be a function of the short-term rates we are able to obtain by currency and the cash balances available to invest in these instruments. Interest income was $43 million and $32 million for the three months ended March 31, 2024 and 2023, respectively. At March 31, 2024, we held $2.7 billion of fiduciary funds invested in interest-bearing accounts. If short-term interest rates increased or decreased by 25 basis points, interest earned on these invested fiduciary funds, and therefore our interest income recognized, would increase or decrease by approximately $7 million on an annualized basis.</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of March 31, 2024, the Company carried out an evaluation, under the supervision and with the participation of the Company’s management, including the Chief Executive Officer (‘CEO’) and the Chief Financial Officer (‘CFO’), of the effectiveness of the design and operation of the Company’s disclosure controls and procedures as defined in Rules 13a-15(e) and 15d-15(e) under the Securities Exchange Act of 1934, as amended (the ‘Exchange Act’). Based upon that evaluation, our management, including the CEO and CFO, concluded that the our disclosure controls and procedures are effective in providing reasonable assurance that the information required to be included in the periodic reports we file or submit under the Exchange Act is (1) recorded, processed, summarized and reported within the time periods specified in SEC rules and forms, and (2) accumulated and communicated to our management, including the CEO and the CFO, as appropriate, to allow for timely decisions regarding required disclosure.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identified in connection with the evaluation required by Rules 13a-15(d) or 15d-15(d) under the Exchange Act during the quarter ended March 31, 2024 that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the Effectiveness of Controls</w:t>
      </w:r>
    </w:p>
    <w:p>
      <w:pPr>
        <w:spacing w:after="0" w:line="175"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Management, including the CEO and CFO, does not expect that our disclosure controls and procedures will necessarily prevent all errors and all fraud. However, management does expect that the control system provides reasonable assurance that its objectives will be met. A control system, no matter how well designed and operated, cannot provide absolute assurance that the control system’s objectives will be met. In addition, the design of such internal controls must take into account the costs of designing and maintaining such a control system. Certain inherent limitations exist in control systems to make absolute assurances difficult, including the realities that judgments in decision-making can be faulty, that breakdowns can occur because of a simple error or mistake, and that individuals can circumvent controls. The design of any control system is based in part upon existing business conditions and risk assessments. There can be no assurance that any design will succeed in achieving its stated goals under all potential future conditions. Over time, controls may become inadequate because of changes in business conditions or deterioration in the degree of compliance with policies or procedures. As a result, they may require change or revision. Because of the inherent limitations in a control system, misstatements due to error or fraud may occur and may not be detected. Nevertheless, the disclosure controls and procedures are designed to provide reasonable assurance of achieving their stated objectives, and the CEO and CFO have concluded that the disclosure controls and procedures are effective at a reasonable assurance level.</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75"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8"/>
          <w:szCs w:val="18"/>
          <w:color w:val="auto"/>
        </w:rPr>
        <w:t>From time to time, we are a party to various lawsuits, arbitrations or mediations that arise in the ordinary course of business. The disclosure called for by Part II, Item 1 regarding our legal proceedings is incorporated by reference herein from Part I, Item 1 Note 14 — Commitments and Contingencies - Legal Proceedings of the notes to the condensed consolidated financial statements in this Form 10-Q for the quarter ended March 31,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Except as described below, there are no material changes from risk factors as previously disclosed in our Annual Report on Form 10-K, filed with the SEC on February 22, 2024. We urge you to read the risk factors contained therein.</w:t>
      </w:r>
    </w:p>
    <w:p>
      <w:pPr>
        <w:spacing w:after="0" w:line="10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be negatively affected if we are not able to anticipate and keep pace with rapid changes in government laws or regulations, or if government laws or regulations decrease the need for our services, increase our costs or limit our compensation.</w:t>
      </w:r>
    </w:p>
    <w:p>
      <w:pPr>
        <w:spacing w:after="0" w:line="10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material portion of our revenue is affected by statutory or regulatory changes. An example of a statutory or regulatory change that could materially impact us is any change to the U.S. Patient Protection and Affordable Care Act (‘PPACA’), and the Healthcare and Education Reconciliation Act of 2010 (‘HCERA’), which we refer to collectively as ‘Healthcare Reform’. While the U.S. Congress has not passed legislation replacing or fundamentally amending Healthcare Reform (other than changes to the individual mandate), such legislation, or another version of Healthcare Reform, could be implemented in the future. In addition, some U.S. political candidates and representatives elected to office have expressed a desire to amend all or a portion of Healthcare Reform or otherwise establish alternatives to employer-sponsored health insurance or replace it with government-sponsored health insurance, often referred to as ‘Medicare for All’. If we are unable to adapt our services to potential new laws and regulations, or judicial modifications, with respect to Healthcare Reform or otherwise, our ability to provide effective services in these areas may be impacted. In addition, more restrictive marketing rules or interpretations of the Centers for Medicare and Medicaid Services, or judicial decisions that restrict or otherwise change existing provisions of U.S. healthcare regulation, could have an adverse impact on our healthcare-related businesses.</w:t>
      </w:r>
    </w:p>
    <w:p>
      <w:pPr>
        <w:spacing w:after="0" w:line="13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Furthermore, in the context of our direct-to-consumer sales and marketing solutions, we are subject to various federal and state laws and regulations that prescribe when and how we may market to consumers (including, without limitation, the Telephone Consumer Protection Act and other telemarketing laws and the Medicare Communications and Marketing Guidelines issued by the Centers for Medicare &amp; Medicaid Services (‘CMS’) of the U.S. Department of Health and Human Service). Federal and state legislators and/or regulators recently have expressed concerns about certain existing methods of marketing individual health policies, particularly Medicare Advantage and Medicare Supplement policies, and have held hearings and sought information from us and from competitors. In addition, CMS has recently expanded its regulation and oversight of the marketing of Medicare Advantage policies. Changes to these laws and/or regulations, or increased scrutiny or enforcement by regulators, could negatively affect our ability to market directly to consumers and/or increase our costs or liabilities. In particular, CMS issued a proposed rule for Contract Year 2025 for the Medicare Advantage and Medicare Prescription Drug programs that modifies agent, broker, and other third-party requirements. On April 4, 2024, CMS issued its Contract Year 2025 Medicare Advantage and Part D Final Rule (the ‘CMS 2025 Final Rule’). Among other things, the CMS 2025 Final Rule restructures the compensation that Medicare Advantage and Part D organizations may pay to independent agents and brokers by increasing the amounts paid to them as ‘compensation’ and eliminating administrative payments related to enrollment. Uncertainty exists regarding the interpretation and implementation of the CMS 2025 Final Rule. Depending on how the rule is implemented, the CMS 2025 Final Rule may require changes to the way we are compensated for some of the services that we provide and has the potential to negatively impact the revenue that our Medicare Advantage and Part D insurance businesses may receive if we are unable to adjust our business to account for such changes. In addition, in the event that we and insurance carriers interpret the rules in ways deemed incorrect, that may increase the potential for litigation, claims, fines, or other penalties which could in turn have an adverse impact on our Medicare insurance businesses’ financial results.</w:t>
      </w:r>
    </w:p>
    <w:p>
      <w:pPr>
        <w:spacing w:after="0" w:line="135"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In addition, on April 23, 2024, the United States Department of Labor (‘DOL’) released a final rule (the ‘Retirement Security Rule’) that, among other things, expands the definition of an investment advice fiduciary under the Employee Retirement Income Security Act (‘ERISA’) and broadens the scope of advice that must meet fiduciary standards. As we continue to review the Retirement Security Rule, uncertainty exists regarding the Retirement Security Rule’s impact on one or more of our businesses, the conduct of which may become subject to fiduciary standards.</w:t>
      </w:r>
    </w:p>
    <w:p>
      <w:pPr>
        <w:spacing w:after="0" w:line="1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Many other areas in which we provide services are the subject of government regulation, which is constantly evolving. For example, our activities in connection with insurance brokerage services are subject to regulation and supervision by national, state or other authorities. Insurance laws in the markets in which we operate are often complex and generally grant broad discretion to supervisory authorities in adopting regulations and supervising regulated activities. That supervision generally includes the licensing of insurance brokers and agents and the regulation of the handling and investment of client funds held in a fiduciary capacity. Our continuing</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4" w:right="359" w:bottom="1440" w:gutter="0" w:footer="0" w:header="0"/>
        </w:sectPr>
      </w:pPr>
    </w:p>
    <w:bookmarkStart w:id="43" w:name="page44"/>
    <w:bookmarkEnd w:id="43"/>
    <w:p>
      <w:pPr>
        <w:ind w:right="560"/>
        <w:spacing w:after="0" w:line="281" w:lineRule="auto"/>
        <w:rPr>
          <w:sz w:val="20"/>
          <w:szCs w:val="20"/>
          <w:color w:val="auto"/>
        </w:rPr>
      </w:pPr>
      <w:r>
        <w:rPr>
          <w:rFonts w:ascii="Times New Roman" w:cs="Times New Roman" w:eastAsia="Times New Roman" w:hAnsi="Times New Roman"/>
          <w:sz w:val="18"/>
          <w:szCs w:val="18"/>
          <w:color w:val="auto"/>
        </w:rPr>
        <w:t>ability to provide insurance brokerage in the markets in which we currently operate is dependent upon our compliance with the rules and regulations promulgated from time to time by the regulatory authorities in each of these locations.</w:t>
      </w:r>
    </w:p>
    <w:p>
      <w:pPr>
        <w:spacing w:after="0" w:line="10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Changes in government and accounting regulations in the U.S. and the U.K., two of our principal geographic markets, affecting the value, use or delivery of benefits and human capital programs, may materially adversely affect the demand for, or the profitability of, our various services. In addition, we have significant operations throughout the world, which further subject us to applicable laws and regulations of countries outside the U.S. and the U.K. Changes in legislation or regulations and actions by regulators in particular countries, including changes in administration and enforcement policies, could require operational improvements or modifications, which may result in higher costs or hinder our ability to operate our business in those countries.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three months ended March 31, 2024, no shares were issued by the Company without registration under the Securities Act of 1933, as amended.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175"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Company is authorized to repurchase shares, by way of redemption or otherwise, and will consider whether to do so from time to time, based on many factors, including market conditions. There are no expiration dates for these repurchase plans or programs.</w:t>
      </w:r>
    </w:p>
    <w:p>
      <w:pPr>
        <w:spacing w:after="0" w:line="109"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18"/>
          <w:szCs w:val="18"/>
          <w:color w:val="auto"/>
        </w:rPr>
        <w:t>On September 20, 2023, the board of directors approved a $1.0 billion increase to the existing share repurchase program. This increase brought the total approved authorization, since the announcement of the program on April 20, 2016, to $9.2 billion.</w:t>
      </w:r>
    </w:p>
    <w:p>
      <w:pPr>
        <w:spacing w:after="0" w:line="109"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The following table presents specified information about the Company’s repurchases of its shares in the first quarter of 2024 and the Company’s remaining repurchase authority.</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50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color w:val="auto"/>
              </w:rPr>
              <w:t>Total number of shares</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ind w:right="276"/>
              <w:spacing w:after="0"/>
              <w:rPr>
                <w:sz w:val="20"/>
                <w:szCs w:val="20"/>
                <w:color w:val="auto"/>
              </w:rPr>
            </w:pPr>
            <w:r>
              <w:rPr>
                <w:rFonts w:ascii="Times New Roman" w:cs="Times New Roman" w:eastAsia="Times New Roman" w:hAnsi="Times New Roman"/>
                <w:sz w:val="14"/>
                <w:szCs w:val="14"/>
                <w:color w:val="auto"/>
              </w:rPr>
              <w:t>Average price</w:t>
            </w:r>
          </w:p>
        </w:tc>
        <w:tc>
          <w:tcPr>
            <w:tcW w:w="100" w:type="dxa"/>
            <w:vAlign w:val="bottom"/>
          </w:tcPr>
          <w:p>
            <w:pPr>
              <w:spacing w:after="0"/>
              <w:rPr>
                <w:sz w:val="13"/>
                <w:szCs w:val="13"/>
                <w:color w:val="auto"/>
              </w:rPr>
            </w:pPr>
          </w:p>
        </w:tc>
        <w:tc>
          <w:tcPr>
            <w:tcW w:w="2020" w:type="dxa"/>
            <w:vAlign w:val="bottom"/>
          </w:tcPr>
          <w:p>
            <w:pPr>
              <w:jc w:val="center"/>
              <w:ind w:right="64"/>
              <w:spacing w:after="0"/>
              <w:rPr>
                <w:sz w:val="20"/>
                <w:szCs w:val="20"/>
                <w:color w:val="auto"/>
              </w:rPr>
            </w:pPr>
            <w:r>
              <w:rPr>
                <w:rFonts w:ascii="Times New Roman" w:cs="Times New Roman" w:eastAsia="Times New Roman" w:hAnsi="Times New Roman"/>
                <w:sz w:val="14"/>
                <w:szCs w:val="14"/>
                <w:color w:val="auto"/>
              </w:rPr>
              <w:t>Total number of shares</w:t>
            </w:r>
          </w:p>
        </w:tc>
        <w:tc>
          <w:tcPr>
            <w:tcW w:w="120" w:type="dxa"/>
            <w:vAlign w:val="bottom"/>
          </w:tcPr>
          <w:p>
            <w:pPr>
              <w:spacing w:after="0"/>
              <w:rPr>
                <w:sz w:val="13"/>
                <w:szCs w:val="13"/>
                <w:color w:val="auto"/>
              </w:rPr>
            </w:pPr>
          </w:p>
        </w:tc>
        <w:tc>
          <w:tcPr>
            <w:tcW w:w="1960" w:type="dxa"/>
            <w:vAlign w:val="bottom"/>
          </w:tcPr>
          <w:p>
            <w:pPr>
              <w:jc w:val="center"/>
              <w:ind w:right="68"/>
              <w:spacing w:after="0"/>
              <w:rPr>
                <w:sz w:val="20"/>
                <w:szCs w:val="20"/>
                <w:color w:val="auto"/>
              </w:rPr>
            </w:pPr>
            <w:r>
              <w:rPr>
                <w:rFonts w:ascii="Times New Roman" w:cs="Times New Roman" w:eastAsia="Times New Roman" w:hAnsi="Times New Roman"/>
                <w:sz w:val="14"/>
                <w:szCs w:val="14"/>
                <w:color w:val="auto"/>
              </w:rPr>
              <w:t>Maximum number of shares</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20" w:type="dxa"/>
            <w:vAlign w:val="bottom"/>
          </w:tcPr>
          <w:p>
            <w:pPr>
              <w:jc w:val="center"/>
              <w:ind w:right="44"/>
              <w:spacing w:after="0" w:line="149" w:lineRule="exact"/>
              <w:rPr>
                <w:sz w:val="20"/>
                <w:szCs w:val="20"/>
                <w:color w:val="auto"/>
              </w:rPr>
            </w:pPr>
            <w:r>
              <w:rPr>
                <w:rFonts w:ascii="Times New Roman" w:cs="Times New Roman" w:eastAsia="Times New Roman" w:hAnsi="Times New Roman"/>
                <w:sz w:val="14"/>
                <w:szCs w:val="14"/>
                <w:color w:val="auto"/>
              </w:rPr>
              <w:t>purchased as part of publicly</w:t>
            </w:r>
          </w:p>
        </w:tc>
        <w:tc>
          <w:tcPr>
            <w:tcW w:w="120" w:type="dxa"/>
            <w:vAlign w:val="bottom"/>
          </w:tcPr>
          <w:p>
            <w:pPr>
              <w:spacing w:after="0"/>
              <w:rPr>
                <w:sz w:val="12"/>
                <w:szCs w:val="12"/>
                <w:color w:val="auto"/>
              </w:rPr>
            </w:pPr>
          </w:p>
        </w:tc>
        <w:tc>
          <w:tcPr>
            <w:tcW w:w="1960" w:type="dxa"/>
            <w:vAlign w:val="bottom"/>
          </w:tcPr>
          <w:p>
            <w:pPr>
              <w:jc w:val="center"/>
              <w:ind w:right="68"/>
              <w:spacing w:after="0" w:line="149" w:lineRule="exact"/>
              <w:rPr>
                <w:sz w:val="20"/>
                <w:szCs w:val="20"/>
                <w:color w:val="auto"/>
              </w:rPr>
            </w:pPr>
            <w:r>
              <w:rPr>
                <w:rFonts w:ascii="Times New Roman" w:cs="Times New Roman" w:eastAsia="Times New Roman" w:hAnsi="Times New Roman"/>
                <w:sz w:val="14"/>
                <w:szCs w:val="14"/>
                <w:color w:val="auto"/>
              </w:rPr>
              <w:t>that may yet be purchased</w:t>
            </w:r>
          </w:p>
        </w:tc>
        <w:tc>
          <w:tcPr>
            <w:tcW w:w="0" w:type="dxa"/>
            <w:vAlign w:val="bottom"/>
          </w:tcPr>
          <w:p>
            <w:pPr>
              <w:spacing w:after="0"/>
              <w:rPr>
                <w:sz w:val="1"/>
                <w:szCs w:val="1"/>
                <w:color w:val="auto"/>
              </w:rPr>
            </w:pPr>
          </w:p>
        </w:tc>
      </w:tr>
      <w:tr>
        <w:trPr>
          <w:trHeight w:val="185"/>
        </w:trPr>
        <w:tc>
          <w:tcPr>
            <w:tcW w:w="3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15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color w:val="auto"/>
              </w:rPr>
              <w:t>purchased</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color w:val="auto"/>
              </w:rPr>
              <w:t>paid per share</w:t>
            </w:r>
          </w:p>
        </w:tc>
        <w:tc>
          <w:tcPr>
            <w:tcW w:w="100" w:type="dxa"/>
            <w:vAlign w:val="bottom"/>
          </w:tcPr>
          <w:p>
            <w:pPr>
              <w:spacing w:after="0"/>
              <w:rPr>
                <w:sz w:val="16"/>
                <w:szCs w:val="16"/>
                <w:color w:val="auto"/>
              </w:rPr>
            </w:pPr>
          </w:p>
        </w:tc>
        <w:tc>
          <w:tcPr>
            <w:tcW w:w="202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color w:val="auto"/>
              </w:rPr>
              <w:t>announced plans or programs</w:t>
            </w:r>
          </w:p>
        </w:tc>
        <w:tc>
          <w:tcPr>
            <w:tcW w:w="120" w:type="dxa"/>
            <w:vAlign w:val="bottom"/>
          </w:tcPr>
          <w:p>
            <w:pPr>
              <w:spacing w:after="0"/>
              <w:rPr>
                <w:sz w:val="16"/>
                <w:szCs w:val="16"/>
                <w:color w:val="auto"/>
              </w:rPr>
            </w:pPr>
          </w:p>
        </w:tc>
        <w:tc>
          <w:tcPr>
            <w:tcW w:w="196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rPr>
              <w:t>under the plans or programs</w:t>
            </w:r>
          </w:p>
        </w:tc>
        <w:tc>
          <w:tcPr>
            <w:tcW w:w="0" w:type="dxa"/>
            <w:vAlign w:val="bottom"/>
          </w:tcPr>
          <w:p>
            <w:pPr>
              <w:spacing w:after="0"/>
              <w:rPr>
                <w:sz w:val="1"/>
                <w:szCs w:val="1"/>
                <w:color w:val="auto"/>
              </w:rPr>
            </w:pPr>
          </w:p>
        </w:tc>
      </w:tr>
      <w:tr>
        <w:trPr>
          <w:trHeight w:val="236"/>
        </w:trPr>
        <w:tc>
          <w:tcPr>
            <w:tcW w:w="39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January 1, 2024 through January 31, 2024</w:t>
            </w:r>
          </w:p>
        </w:tc>
        <w:tc>
          <w:tcPr>
            <w:tcW w:w="150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51,500</w:t>
            </w:r>
          </w:p>
        </w:tc>
        <w:tc>
          <w:tcPr>
            <w:tcW w:w="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240.84</w:t>
            </w:r>
          </w:p>
        </w:tc>
        <w:tc>
          <w:tcPr>
            <w:tcW w:w="2120" w:type="dxa"/>
            <w:vAlign w:val="bottom"/>
            <w:gridSpan w:val="2"/>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51,500</w:t>
            </w:r>
          </w:p>
        </w:tc>
        <w:tc>
          <w:tcPr>
            <w:tcW w:w="20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4,838,019</w:t>
            </w:r>
          </w:p>
        </w:tc>
        <w:tc>
          <w:tcPr>
            <w:tcW w:w="0" w:type="dxa"/>
            <w:vAlign w:val="bottom"/>
          </w:tcPr>
          <w:p>
            <w:pPr>
              <w:spacing w:after="0"/>
              <w:rPr>
                <w:sz w:val="1"/>
                <w:szCs w:val="1"/>
                <w:color w:val="auto"/>
              </w:rPr>
            </w:pPr>
          </w:p>
        </w:tc>
      </w:tr>
      <w:tr>
        <w:trPr>
          <w:trHeight w:val="238"/>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February 1, 2024 through February 29, 2024</w:t>
            </w: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106,294</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275.01</w:t>
            </w:r>
          </w:p>
        </w:tc>
        <w:tc>
          <w:tcPr>
            <w:tcW w:w="21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106,294</w:t>
            </w:r>
          </w:p>
        </w:tc>
        <w:tc>
          <w:tcPr>
            <w:tcW w:w="208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4,731,725</w:t>
            </w:r>
          </w:p>
        </w:tc>
        <w:tc>
          <w:tcPr>
            <w:tcW w:w="0" w:type="dxa"/>
            <w:vAlign w:val="bottom"/>
          </w:tcPr>
          <w:p>
            <w:pPr>
              <w:spacing w:after="0"/>
              <w:rPr>
                <w:sz w:val="1"/>
                <w:szCs w:val="1"/>
                <w:color w:val="auto"/>
              </w:rPr>
            </w:pPr>
          </w:p>
        </w:tc>
      </w:tr>
      <w:tr>
        <w:trPr>
          <w:trHeight w:val="247"/>
        </w:trPr>
        <w:tc>
          <w:tcPr>
            <w:tcW w:w="39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March 1, 2024 through March 31, 2024</w:t>
            </w:r>
          </w:p>
        </w:tc>
        <w:tc>
          <w:tcPr>
            <w:tcW w:w="150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216,314</w:t>
            </w:r>
          </w:p>
        </w:tc>
        <w:tc>
          <w:tcPr>
            <w:tcW w:w="32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FF0FC"/>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273.38</w:t>
            </w:r>
          </w:p>
        </w:tc>
        <w:tc>
          <w:tcPr>
            <w:tcW w:w="100" w:type="dxa"/>
            <w:vAlign w:val="bottom"/>
            <w:tcBorders>
              <w:bottom w:val="single" w:sz="8" w:color="CFF0FC"/>
            </w:tcBorders>
            <w:shd w:val="clear" w:color="auto" w:fill="CFF0FC"/>
          </w:tcPr>
          <w:p>
            <w:pPr>
              <w:spacing w:after="0"/>
              <w:rPr>
                <w:sz w:val="21"/>
                <w:szCs w:val="21"/>
                <w:color w:val="auto"/>
              </w:rPr>
            </w:pPr>
          </w:p>
        </w:tc>
        <w:tc>
          <w:tcPr>
            <w:tcW w:w="2020" w:type="dxa"/>
            <w:vAlign w:val="bottom"/>
            <w:tcBorders>
              <w:bottom w:val="single" w:sz="8" w:color="auto"/>
            </w:tcBorders>
            <w:shd w:val="clear" w:color="auto" w:fill="CFF0FC"/>
          </w:tcPr>
          <w:p>
            <w:pPr>
              <w:jc w:val="right"/>
              <w:ind w:right="44"/>
              <w:spacing w:after="0"/>
              <w:rPr>
                <w:sz w:val="20"/>
                <w:szCs w:val="20"/>
                <w:color w:val="auto"/>
              </w:rPr>
            </w:pPr>
            <w:r>
              <w:rPr>
                <w:rFonts w:ascii="Times New Roman" w:cs="Times New Roman" w:eastAsia="Times New Roman" w:hAnsi="Times New Roman"/>
                <w:sz w:val="18"/>
                <w:szCs w:val="18"/>
                <w:color w:val="auto"/>
              </w:rPr>
              <w:t>216,314</w:t>
            </w:r>
          </w:p>
        </w:tc>
        <w:tc>
          <w:tcPr>
            <w:tcW w:w="2080" w:type="dxa"/>
            <w:vAlign w:val="bottom"/>
            <w:tcBorders>
              <w:bottom w:val="single" w:sz="8" w:color="CFF0FC"/>
            </w:tcBorders>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4,515,411</w:t>
            </w:r>
          </w:p>
        </w:tc>
        <w:tc>
          <w:tcPr>
            <w:tcW w:w="0" w:type="dxa"/>
            <w:vAlign w:val="bottom"/>
          </w:tcPr>
          <w:p>
            <w:pPr>
              <w:spacing w:after="0"/>
              <w:rPr>
                <w:sz w:val="1"/>
                <w:szCs w:val="1"/>
                <w:color w:val="auto"/>
              </w:rPr>
            </w:pPr>
          </w:p>
        </w:tc>
      </w:tr>
      <w:tr>
        <w:trPr>
          <w:trHeight w:val="236"/>
        </w:trPr>
        <w:tc>
          <w:tcPr>
            <w:tcW w:w="3980" w:type="dxa"/>
            <w:vAlign w:val="bottom"/>
          </w:tcPr>
          <w:p>
            <w:pPr>
              <w:spacing w:after="0"/>
              <w:rPr>
                <w:sz w:val="20"/>
                <w:szCs w:val="20"/>
                <w:color w:val="auto"/>
              </w:rPr>
            </w:pPr>
          </w:p>
        </w:tc>
        <w:tc>
          <w:tcPr>
            <w:tcW w:w="150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rPr>
              <w:t>374,108</w:t>
            </w:r>
          </w:p>
        </w:tc>
        <w:tc>
          <w:tcPr>
            <w:tcW w:w="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269.36</w:t>
            </w:r>
          </w:p>
        </w:tc>
        <w:tc>
          <w:tcPr>
            <w:tcW w:w="2120" w:type="dxa"/>
            <w:vAlign w:val="bottom"/>
            <w:gridSpan w:val="2"/>
          </w:tcPr>
          <w:p>
            <w:pPr>
              <w:jc w:val="right"/>
              <w:ind w:right="44"/>
              <w:spacing w:after="0"/>
              <w:rPr>
                <w:sz w:val="20"/>
                <w:szCs w:val="20"/>
                <w:color w:val="auto"/>
              </w:rPr>
            </w:pPr>
            <w:r>
              <w:rPr>
                <w:rFonts w:ascii="Times New Roman" w:cs="Times New Roman" w:eastAsia="Times New Roman" w:hAnsi="Times New Roman"/>
                <w:sz w:val="18"/>
                <w:szCs w:val="18"/>
                <w:color w:val="auto"/>
              </w:rPr>
              <w:t>374,108</w:t>
            </w:r>
          </w:p>
        </w:tc>
        <w:tc>
          <w:tcPr>
            <w:tcW w:w="1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-187960</wp:posOffset>
            </wp:positionV>
            <wp:extent cx="939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5819140</wp:posOffset>
            </wp:positionH>
            <wp:positionV relativeFrom="paragraph">
              <wp:posOffset>-187960</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8"/>
          <w:szCs w:val="18"/>
          <w:color w:val="auto"/>
        </w:rPr>
        <w:t>At March 31, 2024 the maximum number of shares that may yet be purchased under the existing share repurchase plan is 4,515,411, with approximately $1.2 billion remaining on the current open-ended repurchase authority granted by the board. An estimate of the maximum number of shares under the existing authorities was determined using the closing price of our ordinary shares on March 31, 2024 of $275.00.</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71" w:lineRule="exact"/>
        <w:rPr>
          <w:sz w:val="20"/>
          <w:szCs w:val="20"/>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None.</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Insider Trading Arrangements.</w:t>
      </w:r>
    </w:p>
    <w:p>
      <w:pPr>
        <w:spacing w:after="0" w:line="175"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8"/>
          <w:szCs w:val="18"/>
          <w:color w:val="auto"/>
        </w:rPr>
        <w:t>For the quarter ended March 31, 2024, none of the Company’s directors and officers adopted, modified, or terminated any contract, instruction or written plan for the purchase or sale of Company securities intended to satisfy the affirmative defense conditions of Rule 10b5-1(c) or any ‘non-Rule 10b5-1 trading arrangement’ as defined under Item 408(c) of Regulation S-K.</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7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63" w:lineRule="exact"/>
        <w:rPr>
          <w:sz w:val="20"/>
          <w:szCs w:val="20"/>
          <w:color w:val="auto"/>
        </w:rPr>
      </w:pPr>
    </w:p>
    <w:tbl>
      <w:tblPr>
        <w:tblLayout w:type="fixed"/>
        <w:tblInd w:w="300" w:type="dxa"/>
        <w:tblCellMar>
          <w:top w:w="0" w:type="dxa"/>
          <w:left w:w="0" w:type="dxa"/>
          <w:bottom w:w="0" w:type="dxa"/>
          <w:right w:w="0" w:type="dxa"/>
        </w:tblCellMar>
      </w:tblPr>
      <w:tr>
        <w:trPr>
          <w:trHeight w:val="188"/>
        </w:trPr>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gridSpan w:val="2"/>
            <w:vMerge w:val="restart"/>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31"/>
        </w:trPr>
        <w:tc>
          <w:tcPr>
            <w:tcW w:w="66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140" w:type="dxa"/>
            <w:vAlign w:val="bottom"/>
            <w:gridSpan w:val="21"/>
            <w:vMerge w:val="restart"/>
          </w:tcPr>
          <w:p>
            <w:pPr>
              <w:ind w:left="20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20" w:type="dxa"/>
            <w:vAlign w:val="bottom"/>
          </w:tcPr>
          <w:p>
            <w:pPr>
              <w:spacing w:after="0"/>
              <w:rPr>
                <w:sz w:val="11"/>
                <w:szCs w:val="11"/>
                <w:color w:val="auto"/>
              </w:rPr>
            </w:pPr>
          </w:p>
        </w:tc>
        <w:tc>
          <w:tcPr>
            <w:tcW w:w="5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Schedul</w:t>
            </w:r>
          </w:p>
        </w:tc>
        <w:tc>
          <w:tcPr>
            <w:tcW w:w="140" w:type="dxa"/>
            <w:vAlign w:val="bottom"/>
          </w:tcPr>
          <w:p>
            <w:pPr>
              <w:spacing w:after="0"/>
              <w:rPr>
                <w:sz w:val="11"/>
                <w:szCs w:val="11"/>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w:t>
            </w:r>
          </w:p>
        </w:tc>
        <w:tc>
          <w:tcPr>
            <w:tcW w:w="140" w:type="dxa"/>
            <w:vAlign w:val="bottom"/>
          </w:tcPr>
          <w:p>
            <w:pPr>
              <w:spacing w:after="0"/>
              <w:rPr>
                <w:sz w:val="11"/>
                <w:szCs w:val="11"/>
                <w:color w:val="auto"/>
              </w:rPr>
            </w:pPr>
          </w:p>
        </w:tc>
        <w:tc>
          <w:tcPr>
            <w:tcW w:w="10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1"/>
                <w:szCs w:val="11"/>
                <w:color w:val="auto"/>
              </w:rPr>
            </w:pPr>
          </w:p>
        </w:tc>
        <w:tc>
          <w:tcPr>
            <w:tcW w:w="6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140" w:type="dxa"/>
            <w:vAlign w:val="bottom"/>
            <w:gridSpan w:val="21"/>
            <w:vMerge w:val="continue"/>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e/</w:t>
            </w:r>
          </w:p>
        </w:tc>
        <w:tc>
          <w:tcPr>
            <w:tcW w:w="1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Herewit</w:t>
            </w:r>
          </w:p>
        </w:tc>
        <w:tc>
          <w:tcPr>
            <w:tcW w:w="0" w:type="dxa"/>
            <w:vAlign w:val="bottom"/>
          </w:tcPr>
          <w:p>
            <w:pPr>
              <w:spacing w:after="0"/>
              <w:rPr>
                <w:sz w:val="1"/>
                <w:szCs w:val="1"/>
                <w:color w:val="auto"/>
              </w:rPr>
            </w:pPr>
          </w:p>
        </w:tc>
      </w:tr>
      <w:tr>
        <w:trPr>
          <w:trHeight w:val="25"/>
        </w:trPr>
        <w:tc>
          <w:tcPr>
            <w:tcW w:w="6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2"/>
                <w:szCs w:val="2"/>
                <w:color w:val="auto"/>
              </w:rPr>
            </w:pPr>
          </w:p>
        </w:tc>
        <w:tc>
          <w:tcPr>
            <w:tcW w:w="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it</w:t>
            </w:r>
          </w:p>
        </w:tc>
        <w:tc>
          <w:tcPr>
            <w:tcW w:w="1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2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0"/>
        </w:trPr>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20" w:type="dxa"/>
            <w:vAlign w:val="bottom"/>
            <w:tcBorders>
              <w:bottom w:val="single" w:sz="8" w:color="auto"/>
            </w:tcBorders>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400" w:type="dxa"/>
            <w:vAlign w:val="bottom"/>
            <w:tcBorders>
              <w:bottom w:val="single" w:sz="8" w:color="auto"/>
            </w:tcBorders>
            <w:vMerge w:val="continue"/>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620" w:type="dxa"/>
            <w:vAlign w:val="bottom"/>
            <w:tcBorders>
              <w:bottom w:val="single" w:sz="8" w:color="auto"/>
            </w:tcBorders>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4.1</w:t>
            </w:r>
          </w:p>
        </w:tc>
        <w:tc>
          <w:tcPr>
            <w:tcW w:w="140" w:type="dxa"/>
            <w:vAlign w:val="bottom"/>
            <w:tcBorders>
              <w:bottom w:val="single" w:sz="8" w:color="CFF0FC"/>
            </w:tcBorders>
            <w:shd w:val="clear" w:color="auto" w:fill="CFF0FC"/>
          </w:tcPr>
          <w:p>
            <w:pPr>
              <w:spacing w:after="0"/>
              <w:rPr>
                <w:sz w:val="16"/>
                <w:szCs w:val="16"/>
                <w:color w:val="auto"/>
              </w:rPr>
            </w:pPr>
          </w:p>
        </w:tc>
        <w:tc>
          <w:tcPr>
            <w:tcW w:w="6560" w:type="dxa"/>
            <w:vAlign w:val="bottom"/>
            <w:tcBorders>
              <w:bottom w:val="single" w:sz="8" w:color="0000FF"/>
            </w:tcBorders>
            <w:gridSpan w:val="19"/>
            <w:shd w:val="clear" w:color="auto" w:fill="CFF0FC"/>
          </w:tcPr>
          <w:p>
            <w:pPr>
              <w:spacing w:after="0" w:line="189"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Seventh Supplemental Indenture, dated as of March 5, 2024, among Willis North America</w:t>
              </w:r>
            </w:hyperlink>
          </w:p>
        </w:tc>
        <w:tc>
          <w:tcPr>
            <w:tcW w:w="240" w:type="dxa"/>
            <w:vAlign w:val="bottom"/>
            <w:tcBorders>
              <w:bottom w:val="single" w:sz="8" w:color="CFF0FC"/>
            </w:tcBorders>
            <w:gridSpan w:val="3"/>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40" w:type="dxa"/>
            <w:vAlign w:val="bottom"/>
            <w:tcBorders>
              <w:bottom w:val="single" w:sz="8" w:color="CFF0FC"/>
            </w:tcBorders>
            <w:gridSpan w:val="2"/>
            <w:shd w:val="clear" w:color="auto" w:fill="CFF0FC"/>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March 5, 2024</w:t>
            </w: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540" w:type="dxa"/>
            <w:vAlign w:val="bottom"/>
            <w:tcBorders>
              <w:bottom w:val="single" w:sz="8" w:color="0000FF"/>
            </w:tcBorders>
            <w:gridSpan w:val="18"/>
            <w:shd w:val="clear" w:color="auto" w:fill="CFF0FC"/>
          </w:tcPr>
          <w:p>
            <w:pPr>
              <w:spacing w:after="0" w:line="195" w:lineRule="exact"/>
              <w:rPr>
                <w:rFonts w:ascii="Times New Roman" w:cs="Times New Roman" w:eastAsia="Times New Roman" w:hAnsi="Times New Roman"/>
                <w:sz w:val="18"/>
                <w:szCs w:val="18"/>
                <w:color w:val="0000FF"/>
                <w:w w:val="98"/>
              </w:rPr>
            </w:pPr>
            <w:hyperlink r:id="rId337">
              <w:r>
                <w:rPr>
                  <w:rFonts w:ascii="Times New Roman" w:cs="Times New Roman" w:eastAsia="Times New Roman" w:hAnsi="Times New Roman"/>
                  <w:sz w:val="18"/>
                  <w:szCs w:val="18"/>
                  <w:color w:val="0000FF"/>
                  <w:w w:val="98"/>
                </w:rPr>
                <w:t>Inc., as issuer, Willis Towers Watson Public Limited Company, Willis Towers Watson Sub</w:t>
              </w:r>
            </w:hyperlink>
          </w:p>
        </w:tc>
        <w:tc>
          <w:tcPr>
            <w:tcW w:w="260" w:type="dxa"/>
            <w:vAlign w:val="bottom"/>
            <w:tcBorders>
              <w:bottom w:val="single" w:sz="8" w:color="CFF0FC"/>
            </w:tcBorders>
            <w:gridSpan w:val="4"/>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400" w:type="dxa"/>
            <w:vAlign w:val="bottom"/>
            <w:tcBorders>
              <w:bottom w:val="single" w:sz="8" w:color="0000FF"/>
            </w:tcBorders>
            <w:gridSpan w:val="16"/>
            <w:shd w:val="clear" w:color="auto" w:fill="CFF0FC"/>
          </w:tcPr>
          <w:p>
            <w:pPr>
              <w:spacing w:after="0" w:line="195"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Holdings Unlimited Company, Willis Netherlands Holdings B.V., Willis Investment UK</w:t>
              </w:r>
            </w:hyperlink>
          </w:p>
        </w:tc>
        <w:tc>
          <w:tcPr>
            <w:tcW w:w="400" w:type="dxa"/>
            <w:vAlign w:val="bottom"/>
            <w:tcBorders>
              <w:bottom w:val="single" w:sz="8" w:color="CFF0FC"/>
            </w:tcBorders>
            <w:gridSpan w:val="6"/>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220" w:type="dxa"/>
            <w:vAlign w:val="bottom"/>
            <w:tcBorders>
              <w:bottom w:val="single" w:sz="8" w:color="0000FF"/>
            </w:tcBorders>
            <w:gridSpan w:val="10"/>
            <w:shd w:val="clear" w:color="auto" w:fill="CFF0FC"/>
          </w:tcPr>
          <w:p>
            <w:pPr>
              <w:spacing w:after="0" w:line="195" w:lineRule="exact"/>
              <w:rPr>
                <w:rFonts w:ascii="Times New Roman" w:cs="Times New Roman" w:eastAsia="Times New Roman" w:hAnsi="Times New Roman"/>
                <w:sz w:val="18"/>
                <w:szCs w:val="18"/>
                <w:color w:val="0000FF"/>
                <w:w w:val="99"/>
              </w:rPr>
            </w:pPr>
            <w:hyperlink r:id="rId337">
              <w:r>
                <w:rPr>
                  <w:rFonts w:ascii="Times New Roman" w:cs="Times New Roman" w:eastAsia="Times New Roman" w:hAnsi="Times New Roman"/>
                  <w:sz w:val="18"/>
                  <w:szCs w:val="18"/>
                  <w:color w:val="0000FF"/>
                  <w:w w:val="99"/>
                </w:rPr>
                <w:t>Holdings Limited, TA I Limited, Willis Towers Watson UK Holdings Limited, Trinity</w:t>
              </w:r>
            </w:hyperlink>
          </w:p>
        </w:tc>
        <w:tc>
          <w:tcPr>
            <w:tcW w:w="580" w:type="dxa"/>
            <w:vAlign w:val="bottom"/>
            <w:tcBorders>
              <w:bottom w:val="single" w:sz="8" w:color="CFF0FC"/>
            </w:tcBorders>
            <w:gridSpan w:val="12"/>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000" w:type="dxa"/>
            <w:vAlign w:val="bottom"/>
            <w:tcBorders>
              <w:bottom w:val="single" w:sz="8" w:color="0000FF"/>
            </w:tcBorders>
            <w:gridSpan w:val="9"/>
            <w:shd w:val="clear" w:color="auto" w:fill="CFF0FC"/>
          </w:tcPr>
          <w:p>
            <w:pPr>
              <w:spacing w:after="0" w:line="195"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Acquisition plc and Willis Group Limited, as guarantors, and Computershare Trust</w:t>
              </w:r>
            </w:hyperlink>
          </w:p>
        </w:tc>
        <w:tc>
          <w:tcPr>
            <w:tcW w:w="800" w:type="dxa"/>
            <w:vAlign w:val="bottom"/>
            <w:tcBorders>
              <w:bottom w:val="single" w:sz="8" w:color="CFF0FC"/>
            </w:tcBorders>
            <w:gridSpan w:val="13"/>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100" w:type="dxa"/>
            <w:vAlign w:val="bottom"/>
            <w:tcBorders>
              <w:bottom w:val="single" w:sz="8" w:color="0000FF"/>
            </w:tcBorders>
            <w:gridSpan w:val="4"/>
            <w:shd w:val="clear" w:color="auto" w:fill="CFF0FC"/>
          </w:tcPr>
          <w:p>
            <w:pPr>
              <w:spacing w:after="0" w:line="195" w:lineRule="exact"/>
              <w:rPr>
                <w:rFonts w:ascii="Times New Roman" w:cs="Times New Roman" w:eastAsia="Times New Roman" w:hAnsi="Times New Roman"/>
                <w:sz w:val="18"/>
                <w:szCs w:val="18"/>
                <w:color w:val="0000FF"/>
                <w:w w:val="98"/>
              </w:rPr>
            </w:pPr>
            <w:hyperlink r:id="rId337">
              <w:r>
                <w:rPr>
                  <w:rFonts w:ascii="Times New Roman" w:cs="Times New Roman" w:eastAsia="Times New Roman" w:hAnsi="Times New Roman"/>
                  <w:sz w:val="18"/>
                  <w:szCs w:val="18"/>
                  <w:color w:val="0000FF"/>
                  <w:w w:val="98"/>
                </w:rPr>
                <w:t>Company, National Association, as trustee.</w:t>
              </w:r>
            </w:hyperlink>
          </w:p>
        </w:tc>
        <w:tc>
          <w:tcPr>
            <w:tcW w:w="3700" w:type="dxa"/>
            <w:vAlign w:val="bottom"/>
            <w:tcBorders>
              <w:bottom w:val="single" w:sz="8" w:color="CFF0FC"/>
            </w:tcBorders>
            <w:gridSpan w:val="18"/>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4.2</w:t>
            </w:r>
          </w:p>
        </w:tc>
        <w:tc>
          <w:tcPr>
            <w:tcW w:w="6940" w:type="dxa"/>
            <w:vAlign w:val="bottom"/>
            <w:gridSpan w:val="23"/>
          </w:tcPr>
          <w:p>
            <w:pPr>
              <w:ind w:left="140"/>
              <w:spacing w:after="0" w:line="189" w:lineRule="exact"/>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Note (included in Exhibit 4.1).</w:t>
              </w:r>
            </w:hyperlink>
          </w:p>
        </w:tc>
        <w:tc>
          <w:tcPr>
            <w:tcW w:w="20" w:type="dxa"/>
            <w:vAlign w:val="bottom"/>
          </w:tcPr>
          <w:p>
            <w:pPr>
              <w:spacing w:after="0"/>
              <w:rPr>
                <w:sz w:val="16"/>
                <w:szCs w:val="16"/>
                <w:color w:val="auto"/>
              </w:rPr>
            </w:pPr>
          </w:p>
        </w:tc>
        <w:tc>
          <w:tcPr>
            <w:tcW w:w="5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8-K</w:t>
            </w:r>
          </w:p>
        </w:tc>
        <w:tc>
          <w:tcPr>
            <w:tcW w:w="540" w:type="dxa"/>
            <w:vAlign w:val="bottom"/>
            <w:gridSpan w:val="2"/>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16"/>
                <w:szCs w:val="16"/>
                <w:color w:val="auto"/>
              </w:rPr>
            </w:pPr>
          </w:p>
        </w:tc>
        <w:tc>
          <w:tcPr>
            <w:tcW w:w="108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March 5, 2024</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Borders>
              <w:bottom w:val="single" w:sz="8" w:color="CFF0FC"/>
            </w:tcBorders>
            <w:shd w:val="clear" w:color="auto" w:fill="CFF0FC"/>
          </w:tcPr>
          <w:p>
            <w:pPr>
              <w:spacing w:after="0"/>
              <w:rPr>
                <w:sz w:val="16"/>
                <w:szCs w:val="16"/>
                <w:color w:val="auto"/>
              </w:rPr>
            </w:pPr>
          </w:p>
        </w:tc>
        <w:tc>
          <w:tcPr>
            <w:tcW w:w="6560" w:type="dxa"/>
            <w:vAlign w:val="bottom"/>
            <w:tcBorders>
              <w:bottom w:val="single" w:sz="8" w:color="0000FF"/>
            </w:tcBorders>
            <w:gridSpan w:val="19"/>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Form of 2024 Time-Based Restricted Share Unit Award Agreement for Executive Officers</w:t>
            </w:r>
          </w:p>
        </w:tc>
        <w:tc>
          <w:tcPr>
            <w:tcW w:w="240" w:type="dxa"/>
            <w:vAlign w:val="bottom"/>
            <w:tcBorders>
              <w:bottom w:val="single" w:sz="8" w:color="CFF0FC"/>
            </w:tcBorders>
            <w:gridSpan w:val="3"/>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0" w:type="dxa"/>
            <w:vAlign w:val="bottom"/>
            <w:gridSpan w:val="22"/>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rPr>
              <w:t>under the Willis Towers Watson 2012 Equity Incentive Plan, as Amended and Restated.</w:t>
            </w:r>
          </w:p>
        </w:tc>
        <w:tc>
          <w:tcPr>
            <w:tcW w:w="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660" w:type="dxa"/>
            <w:vAlign w:val="bottom"/>
            <w:tcBorders>
              <w:top w:val="single" w:sz="8" w:color="0000FF"/>
            </w:tcBorders>
            <w:shd w:val="clear" w:color="auto" w:fill="CFF0FC"/>
          </w:tcPr>
          <w:p>
            <w:pPr>
              <w:spacing w:after="0"/>
              <w:rPr>
                <w:sz w:val="2"/>
                <w:szCs w:val="2"/>
                <w:color w:val="auto"/>
              </w:rPr>
            </w:pPr>
          </w:p>
        </w:tc>
        <w:tc>
          <w:tcPr>
            <w:tcW w:w="218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2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340" w:type="dxa"/>
            <w:vAlign w:val="bottom"/>
            <w:tcBorders>
              <w:top w:val="single" w:sz="8" w:color="0000FF"/>
            </w:tcBorders>
            <w:shd w:val="clear" w:color="auto" w:fill="CFF0FC"/>
          </w:tcPr>
          <w:p>
            <w:pPr>
              <w:spacing w:after="0"/>
              <w:rPr>
                <w:sz w:val="2"/>
                <w:szCs w:val="2"/>
                <w:color w:val="auto"/>
              </w:rPr>
            </w:pPr>
          </w:p>
        </w:tc>
        <w:tc>
          <w:tcPr>
            <w:tcW w:w="1680" w:type="dxa"/>
            <w:vAlign w:val="bottom"/>
            <w:tcBorders>
              <w:top w:val="single" w:sz="8" w:color="0000FF"/>
            </w:tcBorders>
            <w:shd w:val="clear" w:color="auto" w:fill="CFF0FC"/>
          </w:tcPr>
          <w:p>
            <w:pPr>
              <w:spacing w:after="0"/>
              <w:rPr>
                <w:sz w:val="2"/>
                <w:szCs w:val="2"/>
                <w:color w:val="auto"/>
              </w:rPr>
            </w:pPr>
          </w:p>
        </w:tc>
        <w:tc>
          <w:tcPr>
            <w:tcW w:w="5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6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0000FF"/>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6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52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40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c>
          <w:tcPr>
            <w:tcW w:w="106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120" w:type="dxa"/>
            <w:vAlign w:val="bottom"/>
            <w:tcBorders>
              <w:top w:val="single" w:sz="8" w:color="CFF0FC"/>
            </w:tcBorders>
            <w:shd w:val="clear" w:color="auto" w:fill="CFF0FC"/>
          </w:tcPr>
          <w:p>
            <w:pPr>
              <w:spacing w:after="0"/>
              <w:rPr>
                <w:sz w:val="2"/>
                <w:szCs w:val="2"/>
                <w:color w:val="auto"/>
              </w:rPr>
            </w:pPr>
          </w:p>
        </w:tc>
        <w:tc>
          <w:tcPr>
            <w:tcW w:w="620" w:type="dxa"/>
            <w:vAlign w:val="bottom"/>
            <w:tcBorders>
              <w:top w:val="single" w:sz="8" w:color="CFF0FC"/>
            </w:tcBorders>
            <w:shd w:val="clear" w:color="auto" w:fill="CFF0FC"/>
          </w:tcPr>
          <w:p>
            <w:pPr>
              <w:spacing w:after="0"/>
              <w:rPr>
                <w:sz w:val="2"/>
                <w:szCs w:val="2"/>
                <w:color w:val="auto"/>
              </w:rPr>
            </w:pPr>
          </w:p>
        </w:tc>
        <w:tc>
          <w:tcPr>
            <w:tcW w:w="20" w:type="dxa"/>
            <w:vAlign w:val="bottom"/>
            <w:tcBorders>
              <w:top w:val="single" w:sz="8" w:color="CFF0FC"/>
            </w:tcBorders>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6"/>
                <w:szCs w:val="16"/>
                <w:color w:val="auto"/>
              </w:rPr>
            </w:pPr>
          </w:p>
        </w:tc>
        <w:tc>
          <w:tcPr>
            <w:tcW w:w="6460" w:type="dxa"/>
            <w:vAlign w:val="bottom"/>
            <w:tcBorders>
              <w:bottom w:val="single" w:sz="8" w:color="0000FF"/>
            </w:tcBorders>
            <w:gridSpan w:val="17"/>
          </w:tcPr>
          <w:p>
            <w:pPr>
              <w:spacing w:after="0" w:line="189" w:lineRule="exact"/>
              <w:rPr>
                <w:sz w:val="20"/>
                <w:szCs w:val="20"/>
                <w:color w:val="auto"/>
              </w:rPr>
            </w:pPr>
            <w:r>
              <w:rPr>
                <w:rFonts w:ascii="Times New Roman" w:cs="Times New Roman" w:eastAsia="Times New Roman" w:hAnsi="Times New Roman"/>
                <w:sz w:val="18"/>
                <w:szCs w:val="18"/>
                <w:color w:val="0000FF"/>
                <w:w w:val="99"/>
              </w:rPr>
              <w:t>Form of 2024 Performance-Based Restricted Share Unit Award Agreement for Executive</w:t>
            </w:r>
          </w:p>
        </w:tc>
        <w:tc>
          <w:tcPr>
            <w:tcW w:w="340" w:type="dxa"/>
            <w:vAlign w:val="bottom"/>
            <w:gridSpan w:val="5"/>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80" w:type="dxa"/>
            <w:vAlign w:val="bottom"/>
            <w:tcBorders>
              <w:bottom w:val="single" w:sz="8" w:color="0000FF"/>
            </w:tcBorders>
            <w:gridSpan w:val="11"/>
          </w:tcPr>
          <w:p>
            <w:pPr>
              <w:spacing w:after="0" w:line="195" w:lineRule="exact"/>
              <w:rPr>
                <w:sz w:val="20"/>
                <w:szCs w:val="20"/>
                <w:color w:val="auto"/>
              </w:rPr>
            </w:pPr>
            <w:r>
              <w:rPr>
                <w:rFonts w:ascii="Times New Roman" w:cs="Times New Roman" w:eastAsia="Times New Roman" w:hAnsi="Times New Roman"/>
                <w:sz w:val="18"/>
                <w:szCs w:val="18"/>
                <w:color w:val="0000FF"/>
                <w:w w:val="99"/>
              </w:rPr>
              <w:t>Officers under the Willis Towers Watson 2012 Equity Incentive Plan, as Amended and</w:t>
            </w:r>
          </w:p>
        </w:tc>
        <w:tc>
          <w:tcPr>
            <w:tcW w:w="520" w:type="dxa"/>
            <w:vAlign w:val="bottom"/>
            <w:gridSpan w:val="11"/>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23"/>
          </w:tcPr>
          <w:p>
            <w:pPr>
              <w:ind w:left="140"/>
              <w:spacing w:after="0" w:line="195" w:lineRule="exact"/>
              <w:rPr>
                <w:sz w:val="20"/>
                <w:szCs w:val="20"/>
                <w:color w:val="auto"/>
              </w:rPr>
            </w:pPr>
            <w:r>
              <w:rPr>
                <w:rFonts w:ascii="Times New Roman" w:cs="Times New Roman" w:eastAsia="Times New Roman" w:hAnsi="Times New Roman"/>
                <w:sz w:val="18"/>
                <w:szCs w:val="18"/>
                <w:color w:val="0000FF"/>
              </w:rPr>
              <w:t>Restated.</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Borders>
              <w:bottom w:val="single" w:sz="8" w:color="CFF0FC"/>
            </w:tcBorders>
            <w:shd w:val="clear" w:color="auto" w:fill="CFF0FC"/>
          </w:tcPr>
          <w:p>
            <w:pPr>
              <w:spacing w:after="0"/>
              <w:rPr>
                <w:sz w:val="16"/>
                <w:szCs w:val="16"/>
                <w:color w:val="auto"/>
              </w:rPr>
            </w:pPr>
          </w:p>
        </w:tc>
        <w:tc>
          <w:tcPr>
            <w:tcW w:w="6680" w:type="dxa"/>
            <w:vAlign w:val="bottom"/>
            <w:tcBorders>
              <w:bottom w:val="single" w:sz="8" w:color="0000FF"/>
            </w:tcBorders>
            <w:gridSpan w:val="21"/>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The Willis Towers Watson Public Limited Company Amended and Restated 2010 Employee</w:t>
            </w:r>
          </w:p>
        </w:tc>
        <w:tc>
          <w:tcPr>
            <w:tcW w:w="1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5480" w:type="dxa"/>
            <w:vAlign w:val="bottom"/>
            <w:tcBorders>
              <w:bottom w:val="single" w:sz="8" w:color="0000FF"/>
            </w:tcBorders>
            <w:gridSpan w:val="8"/>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Share Purchase Plan (as last amended and restated as of February 28, 2024).</w:t>
            </w:r>
          </w:p>
        </w:tc>
        <w:tc>
          <w:tcPr>
            <w:tcW w:w="1320" w:type="dxa"/>
            <w:vAlign w:val="bottom"/>
            <w:tcBorders>
              <w:bottom w:val="single" w:sz="8" w:color="CFF0FC"/>
            </w:tcBorders>
            <w:gridSpan w:val="14"/>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22.1</w:t>
            </w:r>
          </w:p>
        </w:tc>
        <w:tc>
          <w:tcPr>
            <w:tcW w:w="6940" w:type="dxa"/>
            <w:vAlign w:val="bottom"/>
            <w:gridSpan w:val="23"/>
          </w:tcPr>
          <w:p>
            <w:pPr>
              <w:ind w:left="140"/>
              <w:spacing w:after="0" w:line="189" w:lineRule="exact"/>
              <w:rPr>
                <w:sz w:val="20"/>
                <w:szCs w:val="20"/>
                <w:color w:val="auto"/>
              </w:rPr>
            </w:pPr>
            <w:r>
              <w:rPr>
                <w:rFonts w:ascii="Times New Roman" w:cs="Times New Roman" w:eastAsia="Times New Roman" w:hAnsi="Times New Roman"/>
                <w:sz w:val="18"/>
                <w:szCs w:val="18"/>
                <w:color w:val="0000FF"/>
              </w:rPr>
              <w:t>List of Issuers and Guarantor Subsidiaries.</w:t>
            </w: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6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Borders>
              <w:bottom w:val="single" w:sz="8" w:color="CFF0FC"/>
            </w:tcBorders>
            <w:shd w:val="clear" w:color="auto" w:fill="CFF0FC"/>
          </w:tcPr>
          <w:p>
            <w:pPr>
              <w:spacing w:after="0"/>
              <w:rPr>
                <w:sz w:val="16"/>
                <w:szCs w:val="16"/>
                <w:color w:val="auto"/>
              </w:rPr>
            </w:pPr>
          </w:p>
        </w:tc>
        <w:tc>
          <w:tcPr>
            <w:tcW w:w="6380" w:type="dxa"/>
            <w:vAlign w:val="bottom"/>
            <w:tcBorders>
              <w:bottom w:val="single" w:sz="8" w:color="0000FF"/>
            </w:tcBorders>
            <w:gridSpan w:val="15"/>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rPr>
              <w:t>Certification of the Registrant’s Chief Executive Officer, Carl A. Hess, pursuant to Rule</w:t>
            </w:r>
          </w:p>
        </w:tc>
        <w:tc>
          <w:tcPr>
            <w:tcW w:w="420" w:type="dxa"/>
            <w:vAlign w:val="bottom"/>
            <w:tcBorders>
              <w:bottom w:val="single" w:sz="8" w:color="CFF0FC"/>
            </w:tcBorders>
            <w:gridSpan w:val="7"/>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40" w:type="dxa"/>
            <w:vAlign w:val="bottom"/>
            <w:tcBorders>
              <w:bottom w:val="single" w:sz="8" w:color="CFF0FC"/>
            </w:tcBorders>
            <w:gridSpan w:val="2"/>
            <w:shd w:val="clear" w:color="auto" w:fill="CFF0FC"/>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20" w:type="dxa"/>
            <w:vAlign w:val="bottom"/>
            <w:tcBorders>
              <w:bottom w:val="single" w:sz="8" w:color="0000FF"/>
            </w:tcBorders>
            <w:gridSpan w:val="5"/>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13a-14 of the Securities Exchange Act of 1934.</w:t>
            </w:r>
          </w:p>
        </w:tc>
        <w:tc>
          <w:tcPr>
            <w:tcW w:w="3380" w:type="dxa"/>
            <w:vAlign w:val="bottom"/>
            <w:tcBorders>
              <w:bottom w:val="single" w:sz="8" w:color="CFF0FC"/>
            </w:tcBorders>
            <w:gridSpan w:val="17"/>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66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6"/>
                <w:szCs w:val="16"/>
                <w:color w:val="auto"/>
              </w:rPr>
            </w:pPr>
          </w:p>
        </w:tc>
        <w:tc>
          <w:tcPr>
            <w:tcW w:w="6360" w:type="dxa"/>
            <w:vAlign w:val="bottom"/>
            <w:tcBorders>
              <w:bottom w:val="single" w:sz="8" w:color="0000FF"/>
            </w:tcBorders>
            <w:gridSpan w:val="14"/>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Financial Officer, Andrew J. Krasner, pursuant to</w:t>
            </w:r>
          </w:p>
        </w:tc>
        <w:tc>
          <w:tcPr>
            <w:tcW w:w="440" w:type="dxa"/>
            <w:vAlign w:val="bottom"/>
            <w:gridSpan w:val="8"/>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gridSpan w:val="2"/>
          </w:tcPr>
          <w:p>
            <w:pPr>
              <w:jc w:val="center"/>
              <w:ind w:right="20"/>
              <w:spacing w:after="0" w:line="189" w:lineRule="exact"/>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6940" w:type="dxa"/>
            <w:vAlign w:val="bottom"/>
            <w:gridSpan w:val="23"/>
          </w:tcPr>
          <w:p>
            <w:pPr>
              <w:ind w:left="140"/>
              <w:spacing w:after="0" w:line="195" w:lineRule="exact"/>
              <w:rPr>
                <w:sz w:val="20"/>
                <w:szCs w:val="20"/>
                <w:color w:val="auto"/>
              </w:rPr>
            </w:pPr>
            <w:r>
              <w:rPr>
                <w:rFonts w:ascii="Times New Roman" w:cs="Times New Roman" w:eastAsia="Times New Roman" w:hAnsi="Times New Roman"/>
                <w:sz w:val="18"/>
                <w:szCs w:val="18"/>
                <w:color w:val="0000FF"/>
              </w:rPr>
              <w:t>Rule 13a-14 of the Securities Exchange Act of 1934.</w:t>
            </w: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Borders>
              <w:top w:val="single" w:sz="8" w:color="0000FF"/>
            </w:tcBorders>
          </w:tcPr>
          <w:p>
            <w:pPr>
              <w:spacing w:after="0"/>
              <w:rPr>
                <w:sz w:val="2"/>
                <w:szCs w:val="2"/>
                <w:color w:val="auto"/>
              </w:rPr>
            </w:pPr>
          </w:p>
        </w:tc>
        <w:tc>
          <w:tcPr>
            <w:tcW w:w="218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20" w:type="dxa"/>
            <w:vAlign w:val="bottom"/>
            <w:tcBorders>
              <w:top w:val="single" w:sz="8" w:color="0000FF"/>
            </w:tcBorders>
          </w:tcPr>
          <w:p>
            <w:pPr>
              <w:spacing w:after="0"/>
              <w:rPr>
                <w:sz w:val="2"/>
                <w:szCs w:val="2"/>
                <w:color w:val="auto"/>
              </w:rPr>
            </w:pPr>
          </w:p>
        </w:tc>
        <w:tc>
          <w:tcPr>
            <w:tcW w:w="40" w:type="dxa"/>
            <w:vAlign w:val="bottom"/>
            <w:tcBorders>
              <w:top w:val="single" w:sz="8" w:color="0000FF"/>
            </w:tcBorders>
          </w:tcPr>
          <w:p>
            <w:pPr>
              <w:spacing w:after="0"/>
              <w:rPr>
                <w:sz w:val="2"/>
                <w:szCs w:val="2"/>
                <w:color w:val="auto"/>
              </w:rPr>
            </w:pPr>
          </w:p>
        </w:tc>
        <w:tc>
          <w:tcPr>
            <w:tcW w:w="340" w:type="dxa"/>
            <w:vAlign w:val="bottom"/>
            <w:tcBorders>
              <w:top w:val="single" w:sz="8" w:color="0000FF"/>
            </w:tcBorders>
          </w:tcPr>
          <w:p>
            <w:pPr>
              <w:spacing w:after="0"/>
              <w:rPr>
                <w:sz w:val="2"/>
                <w:szCs w:val="2"/>
                <w:color w:val="auto"/>
              </w:rPr>
            </w:pPr>
          </w:p>
        </w:tc>
        <w:tc>
          <w:tcPr>
            <w:tcW w:w="16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660" w:type="dxa"/>
            <w:vAlign w:val="bottom"/>
            <w:tcBorders>
              <w:bottom w:val="single" w:sz="8" w:color="CFF0FC"/>
            </w:tcBorders>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Borders>
              <w:bottom w:val="single" w:sz="8" w:color="CFF0FC"/>
            </w:tcBorders>
            <w:shd w:val="clear" w:color="auto" w:fill="CFF0FC"/>
          </w:tcPr>
          <w:p>
            <w:pPr>
              <w:spacing w:after="0"/>
              <w:rPr>
                <w:sz w:val="16"/>
                <w:szCs w:val="16"/>
                <w:color w:val="auto"/>
              </w:rPr>
            </w:pPr>
          </w:p>
        </w:tc>
        <w:tc>
          <w:tcPr>
            <w:tcW w:w="6600" w:type="dxa"/>
            <w:vAlign w:val="bottom"/>
            <w:tcBorders>
              <w:bottom w:val="single" w:sz="8" w:color="0000FF"/>
            </w:tcBorders>
            <w:gridSpan w:val="20"/>
            <w:shd w:val="clear" w:color="auto" w:fill="CFF0FC"/>
          </w:tcPr>
          <w:p>
            <w:pPr>
              <w:spacing w:after="0" w:line="189" w:lineRule="exact"/>
              <w:rPr>
                <w:sz w:val="20"/>
                <w:szCs w:val="20"/>
                <w:color w:val="auto"/>
              </w:rPr>
            </w:pPr>
            <w:r>
              <w:rPr>
                <w:rFonts w:ascii="Times New Roman" w:cs="Times New Roman" w:eastAsia="Times New Roman" w:hAnsi="Times New Roman"/>
                <w:sz w:val="18"/>
                <w:szCs w:val="18"/>
                <w:color w:val="0000FF"/>
                <w:w w:val="99"/>
              </w:rPr>
              <w:t>Certification of the Registrant’s Chief Executive Officer, Carl A. Hess, and Chief Financial</w:t>
            </w:r>
          </w:p>
        </w:tc>
        <w:tc>
          <w:tcPr>
            <w:tcW w:w="200" w:type="dxa"/>
            <w:vAlign w:val="bottom"/>
            <w:tcBorders>
              <w:bottom w:val="single" w:sz="8" w:color="CFF0FC"/>
            </w:tcBorders>
            <w:gridSpan w:val="2"/>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5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40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620" w:type="dxa"/>
            <w:vAlign w:val="bottom"/>
            <w:tcBorders>
              <w:bottom w:val="single" w:sz="8" w:color="CFF0FC"/>
            </w:tcBorders>
            <w:shd w:val="clear" w:color="auto" w:fill="CFF0FC"/>
          </w:tcPr>
          <w:p>
            <w:pPr>
              <w:spacing w:after="0"/>
              <w:rPr>
                <w:sz w:val="16"/>
                <w:szCs w:val="16"/>
                <w:color w:val="auto"/>
              </w:rPr>
            </w:pPr>
          </w:p>
        </w:tc>
        <w:tc>
          <w:tcPr>
            <w:tcW w:w="2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6320" w:type="dxa"/>
            <w:vAlign w:val="bottom"/>
            <w:tcBorders>
              <w:bottom w:val="single" w:sz="8" w:color="0000FF"/>
            </w:tcBorders>
            <w:gridSpan w:val="13"/>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Officer, Andrew J. Krasner, pursuant to 18 U.S.C. Section 1350, as adopted pursuant to</w:t>
            </w:r>
          </w:p>
        </w:tc>
        <w:tc>
          <w:tcPr>
            <w:tcW w:w="480" w:type="dxa"/>
            <w:vAlign w:val="bottom"/>
            <w:tcBorders>
              <w:bottom w:val="single" w:sz="8" w:color="CFF0FC"/>
            </w:tcBorders>
            <w:gridSpan w:val="9"/>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5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4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06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620" w:type="dxa"/>
            <w:vAlign w:val="bottom"/>
            <w:tcBorders>
              <w:bottom w:val="single" w:sz="8" w:color="CFF0FC"/>
            </w:tcBorders>
            <w:shd w:val="clear" w:color="auto" w:fill="CFF0FC"/>
          </w:tcPr>
          <w:p>
            <w:pPr>
              <w:spacing w:after="0"/>
              <w:rPr>
                <w:sz w:val="17"/>
                <w:szCs w:val="17"/>
                <w:color w:val="auto"/>
              </w:rPr>
            </w:pPr>
          </w:p>
        </w:tc>
        <w:tc>
          <w:tcPr>
            <w:tcW w:w="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3460" w:type="dxa"/>
            <w:vAlign w:val="bottom"/>
            <w:tcBorders>
              <w:bottom w:val="single" w:sz="8" w:color="0000FF"/>
            </w:tcBorders>
            <w:gridSpan w:val="6"/>
            <w:shd w:val="clear" w:color="auto" w:fill="CFF0FC"/>
          </w:tcPr>
          <w:p>
            <w:pPr>
              <w:spacing w:after="0" w:line="195" w:lineRule="exact"/>
              <w:rPr>
                <w:sz w:val="20"/>
                <w:szCs w:val="20"/>
                <w:color w:val="auto"/>
              </w:rPr>
            </w:pPr>
            <w:r>
              <w:rPr>
                <w:rFonts w:ascii="Times New Roman" w:cs="Times New Roman" w:eastAsia="Times New Roman" w:hAnsi="Times New Roman"/>
                <w:sz w:val="18"/>
                <w:szCs w:val="18"/>
                <w:color w:val="0000FF"/>
                <w:w w:val="99"/>
              </w:rPr>
              <w:t>Section 906 of the Sarbanes-Oxley Act of 2002.</w:t>
            </w:r>
          </w:p>
        </w:tc>
        <w:tc>
          <w:tcPr>
            <w:tcW w:w="3340" w:type="dxa"/>
            <w:vAlign w:val="bottom"/>
            <w:tcBorders>
              <w:bottom w:val="single" w:sz="8" w:color="CFF0FC"/>
            </w:tcBorders>
            <w:gridSpan w:val="16"/>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694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694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auto"/>
              </w:rPr>
              <w:t>Data File because XBRL tags are embedded within the Inline XBRL document</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101.SC</w:t>
            </w:r>
          </w:p>
        </w:tc>
        <w:tc>
          <w:tcPr>
            <w:tcW w:w="6940" w:type="dxa"/>
            <w:vAlign w:val="bottom"/>
            <w:gridSpan w:val="2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c>
          <w:tcPr>
            <w:tcW w:w="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48"/>
        </w:trPr>
        <w:tc>
          <w:tcPr>
            <w:tcW w:w="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w:t>
            </w:r>
          </w:p>
        </w:tc>
        <w:tc>
          <w:tcPr>
            <w:tcW w:w="14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2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940" w:type="dxa"/>
            <w:vAlign w:val="bottom"/>
            <w:gridSpan w:val="23"/>
          </w:tcPr>
          <w:p>
            <w:pPr>
              <w:ind w:left="1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95059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267" w:lineRule="exact"/>
        <w:rPr>
          <w:sz w:val="20"/>
          <w:szCs w:val="20"/>
          <w:color w:val="auto"/>
        </w:rPr>
      </w:pPr>
    </w:p>
    <w:p>
      <w:pPr>
        <w:ind w:firstLine="8"/>
        <w:spacing w:after="0" w:line="258" w:lineRule="auto"/>
        <w:tabs>
          <w:tab w:leader="none" w:pos="22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Any exhibits furnished herewith (including the certification furnished in Exhibit 32.1) are deemed to accompany this Quarterly Report on Form 10-Q and will not be deemed ‘filed’ for purposes of Section 18 of the Securities Exchange Act of 1934, as amended (the ‘Exchange Act’), or otherwise subject to the liability of that section. Such information shall not be incorporated by reference into any registration statement or other document pursuant to the Securities Act of 1933, as amended, or the Exchange Act, except to the extent that the registrant specifically incorporates it by reference.</w:t>
      </w:r>
    </w:p>
    <w:p>
      <w:pPr>
        <w:spacing w:after="0" w:line="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4" w:right="4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Willis Towers Watson Public Limited Company</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(Registrant)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Carl A. Hess</w:t>
            </w:r>
          </w:p>
        </w:tc>
        <w:tc>
          <w:tcPr>
            <w:tcW w:w="600" w:type="dxa"/>
            <w:vAlign w:val="bottom"/>
          </w:tcPr>
          <w:p>
            <w:pPr>
              <w:spacing w:after="0"/>
              <w:rPr>
                <w:sz w:val="18"/>
                <w:szCs w:val="18"/>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Carl A. Hess</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Executive Officer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J. Krasner</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Andrew J. Krasner</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Chief Financial Officer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53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Joseph S. Kurpis</w:t>
            </w:r>
          </w:p>
        </w:tc>
        <w:tc>
          <w:tcPr>
            <w:tcW w:w="6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April 25, 2024</w:t>
            </w:r>
          </w:p>
        </w:tc>
        <w:tc>
          <w:tcPr>
            <w:tcW w:w="0" w:type="dxa"/>
            <w:vAlign w:val="bottom"/>
          </w:tcPr>
          <w:p>
            <w:pPr>
              <w:spacing w:after="0"/>
              <w:rPr>
                <w:sz w:val="1"/>
                <w:szCs w:val="1"/>
                <w:color w:val="auto"/>
              </w:rPr>
            </w:pPr>
          </w:p>
        </w:tc>
      </w:tr>
      <w:tr>
        <w:trPr>
          <w:trHeight w:val="20"/>
        </w:trPr>
        <w:tc>
          <w:tcPr>
            <w:tcW w:w="800" w:type="dxa"/>
            <w:vAlign w:val="bottom"/>
            <w:tcBorders>
              <w:bottom w:val="single" w:sz="8" w:color="auto"/>
            </w:tcBorders>
          </w:tcPr>
          <w:p>
            <w:pPr>
              <w:spacing w:after="0" w:line="20" w:lineRule="exact"/>
              <w:rPr>
                <w:sz w:val="1"/>
                <w:szCs w:val="1"/>
                <w:color w:val="auto"/>
              </w:rPr>
            </w:pPr>
          </w:p>
        </w:tc>
        <w:tc>
          <w:tcPr>
            <w:tcW w:w="456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vMerge w:val="restart"/>
          </w:tcPr>
          <w:p>
            <w:pPr>
              <w:spacing w:after="0"/>
              <w:rPr>
                <w:sz w:val="20"/>
                <w:szCs w:val="20"/>
                <w:color w:val="auto"/>
              </w:rPr>
            </w:pPr>
            <w:r>
              <w:rPr>
                <w:rFonts w:ascii="Times New Roman" w:cs="Times New Roman" w:eastAsia="Times New Roman" w:hAnsi="Times New Roman"/>
                <w:sz w:val="18"/>
                <w:szCs w:val="18"/>
                <w:color w:val="auto"/>
              </w:rPr>
              <w:t>Date</w:t>
            </w:r>
          </w:p>
        </w:tc>
        <w:tc>
          <w:tcPr>
            <w:tcW w:w="424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Name: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Joseph S. Kurpis</w:t>
            </w:r>
          </w:p>
        </w:tc>
        <w:tc>
          <w:tcPr>
            <w:tcW w:w="60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4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Title:</w:t>
            </w:r>
          </w:p>
        </w:tc>
        <w:tc>
          <w:tcPr>
            <w:tcW w:w="4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Accounting Officer and Controller</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76"/>
        </w:trPr>
        <w:tc>
          <w:tcPr>
            <w:tcW w:w="8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6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46</w:t>
            </w:r>
          </w:p>
        </w:tc>
        <w:tc>
          <w:tcPr>
            <w:tcW w:w="104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00" w:type="dxa"/>
            <w:vAlign w:val="bottom"/>
            <w:tcBorders>
              <w:bottom w:val="single" w:sz="8" w:color="9A9A9A"/>
            </w:tcBorders>
          </w:tcPr>
          <w:p>
            <w:pPr>
              <w:spacing w:after="0"/>
              <w:rPr>
                <w:sz w:val="9"/>
                <w:szCs w:val="9"/>
                <w:color w:val="auto"/>
              </w:rPr>
            </w:pPr>
          </w:p>
        </w:tc>
        <w:tc>
          <w:tcPr>
            <w:tcW w:w="456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4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 AWARD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200" w:lineRule="exact"/>
        <w:rPr>
          <w:sz w:val="20"/>
          <w:szCs w:val="20"/>
          <w:color w:val="auto"/>
        </w:rPr>
      </w:pPr>
    </w:p>
    <w:p>
      <w:pPr>
        <w:spacing w:after="0" w:line="21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TIME-BASED RESTRICTED SHARE UNIT AWARD AGREEMENT, </w:t>
      </w:r>
      <w:r>
        <w:rPr>
          <w:rFonts w:ascii="Times New Roman" w:cs="Times New Roman" w:eastAsia="Times New Roman" w:hAnsi="Times New Roman"/>
          <w:sz w:val="20"/>
          <w:szCs w:val="20"/>
          <w:color w:val="auto"/>
        </w:rPr>
        <w:t>including the Schedules attached hereto (this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made by and between Willis Towers Watson Public Limited Company and any successor thereto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individual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who has signed or electronically accepted this Agreement in the manner specified in the Colleague’s online account with the Company’s designated broker/stock plan administrator.</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wishes to carry out the Plan (as hereinafter defined), the terms of which are hereby incorporated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made a part of this Agreement; and</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(as defined in the Plan) has determined that it would be to the advantage and best interest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shareholders to grant an award of time-based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do hereby agree as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Capitalized terms used in this Agreement shall have the meaning specified in the Plan or below. The plural pronoun shall include the singular, where the context so indicates.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Cause</w:t>
      </w:r>
    </w:p>
    <w:p>
      <w:pPr>
        <w:spacing w:after="0" w:line="211"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“Cause” shall have the meaning ascribed to such term or similar term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w:t>
      </w:r>
    </w:p>
    <w:p>
      <w:pPr>
        <w:spacing w:after="0" w:line="2" w:lineRule="exact"/>
        <w:rPr>
          <w:sz w:val="20"/>
          <w:szCs w:val="20"/>
          <w:color w:val="auto"/>
        </w:rPr>
      </w:pPr>
    </w:p>
    <w:p>
      <w:pPr>
        <w:jc w:val="both"/>
        <w:ind w:firstLine="8"/>
        <w:spacing w:after="0" w:line="241" w:lineRule="auto"/>
        <w:tabs>
          <w:tab w:leader="none" w:pos="34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 harassment, after reasonable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890905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47" w:name="page48"/>
    <w:bookmarkEnd w:id="47"/>
    <w:p>
      <w:pPr>
        <w:ind w:right="20"/>
        <w:spacing w:after="0" w:line="268" w:lineRule="auto"/>
        <w:rPr>
          <w:sz w:val="20"/>
          <w:szCs w:val="20"/>
          <w:color w:val="auto"/>
        </w:rPr>
      </w:pPr>
      <w:r>
        <w:rPr>
          <w:rFonts w:ascii="Times New Roman" w:cs="Times New Roman" w:eastAsia="Times New Roman" w:hAnsi="Times New Roman"/>
          <w:sz w:val="20"/>
          <w:szCs w:val="20"/>
          <w:color w:val="auto"/>
        </w:rPr>
        <w:t>and an opportunity to cure such violation (if curable as determined by the Board) within ten (10) days after the Colleague’s receipt of such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“Employer” shall mean the Company, or if different, the Subsidiary or Designated Associate Company that employs the Colleague.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Good Reason</w:t>
      </w:r>
    </w:p>
    <w:p>
      <w:pPr>
        <w:spacing w:after="0" w:line="21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9"/>
          <w:szCs w:val="19"/>
          <w:color w:val="auto"/>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w:t>
      </w:r>
    </w:p>
    <w:p>
      <w:pPr>
        <w:spacing w:after="0" w:line="2" w:lineRule="exact"/>
        <w:rPr>
          <w:sz w:val="20"/>
          <w:szCs w:val="20"/>
          <w:color w:val="auto"/>
        </w:rPr>
      </w:pPr>
    </w:p>
    <w:p>
      <w:pPr>
        <w:ind w:right="60" w:firstLine="8"/>
        <w:spacing w:after="0"/>
        <w:tabs>
          <w:tab w:leader="none" w:pos="313"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Date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“Grant Date” shall mean April 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Legacy Company</w:t>
      </w:r>
    </w:p>
    <w:p>
      <w:pPr>
        <w:spacing w:after="0" w:line="215"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“Legacy Company” shall mean Towers Watson &amp; Co. or Willis Group Holdings Public Limited Company and any predecessor companies or affiliates of any of the foregoing.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Nominal Value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“Nominal Value” shall mean $0.000304635 per Share.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“Plan” shall mean the Willis Towers Watson Public Limited Company 2012 Equity Incentive Plan, as amended from time to time.</w:t>
      </w:r>
    </w:p>
    <w:p>
      <w:pPr>
        <w:spacing w:after="0" w:line="2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Qualifying Retirement</w:t>
      </w:r>
    </w:p>
    <w:p>
      <w:pPr>
        <w:spacing w:after="0" w:line="2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“Qualifying Retirement” shall mean a voluntary termination of Service by the Colleague after the Colleague’s attainment of either</w:t>
      </w:r>
    </w:p>
    <w:p>
      <w:pPr>
        <w:spacing w:after="0" w:line="33" w:lineRule="exact"/>
        <w:rPr>
          <w:sz w:val="20"/>
          <w:szCs w:val="20"/>
          <w:color w:val="auto"/>
        </w:rPr>
      </w:pPr>
    </w:p>
    <w:p>
      <w:pPr>
        <w:ind w:right="20" w:firstLine="8"/>
        <w:spacing w:after="0" w:line="242" w:lineRule="auto"/>
        <w:tabs>
          <w:tab w:leader="none" w:pos="236"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RCA</w:t>
      </w:r>
    </w:p>
    <w:p>
      <w:pPr>
        <w:spacing w:after="0" w:line="215" w:lineRule="exact"/>
        <w:rPr>
          <w:sz w:val="20"/>
          <w:szCs w:val="20"/>
          <w:color w:val="auto"/>
        </w:rPr>
      </w:pPr>
    </w:p>
    <w:p>
      <w:pPr>
        <w:ind w:right="160" w:firstLine="944"/>
        <w:spacing w:after="0" w:line="253" w:lineRule="auto"/>
        <w:rPr>
          <w:sz w:val="20"/>
          <w:szCs w:val="20"/>
          <w:color w:val="auto"/>
        </w:rPr>
      </w:pPr>
      <w:r>
        <w:rPr>
          <w:rFonts w:ascii="Times New Roman" w:cs="Times New Roman" w:eastAsia="Times New Roman" w:hAnsi="Times New Roman"/>
          <w:sz w:val="20"/>
          <w:szCs w:val="20"/>
          <w:color w:val="auto"/>
        </w:rPr>
        <w:t>“RCA” shall mean the Agreement of Restrictive Covenants and Other Obligations for Employees [For Executive Officers based in the U.S: in the United States] [For Executive Officers based outside of the U.S: Outside of the United States], which is attached to the Agreement as Schedule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Restricted Share Units or RSUs</w:t>
      </w:r>
    </w:p>
    <w:p>
      <w:pPr>
        <w:spacing w:after="0" w:line="215"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“Restricted Share Units” or “RSUs” shall mean a conditional right to receive Shares pursuant to the terms of the Plan and this Agreement upon vesting and settlement, subject to the Colleague’s continued Service through each Vesting Date.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Service</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“Service” shall mean service as an Employee with (or, subject to approval by the Committee, as a Consultant to) the Company, or a Subsidiary or Designated Associate Company thereof.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4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8"/>
              </w:rPr>
              <w:t>“Shares” shall mean Ordinary Shares of the Company, Nominal Value per Share, which may be authorized but unissued.</w:t>
            </w:r>
          </w:p>
        </w:tc>
      </w:tr>
      <w:tr>
        <w:trPr>
          <w:trHeight w:val="398"/>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964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Termination Date</w:t>
            </w:r>
          </w:p>
        </w:tc>
      </w:tr>
      <w:tr>
        <w:trPr>
          <w:trHeight w:val="209"/>
        </w:trPr>
        <w:tc>
          <w:tcPr>
            <w:tcW w:w="36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13</w:t>
            </w: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7840" w:type="dxa"/>
            <w:vAlign w:val="bottom"/>
          </w:tcPr>
          <w:p>
            <w:pPr>
              <w:spacing w:after="0"/>
              <w:rPr>
                <w:sz w:val="18"/>
                <w:szCs w:val="18"/>
                <w:color w:val="auto"/>
              </w:rPr>
            </w:pPr>
          </w:p>
        </w:tc>
      </w:tr>
    </w:tbl>
    <w:p>
      <w:pPr>
        <w:spacing w:after="0" w:line="220"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RSUs to comply with Section 409A of the Code.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69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 Vesting Dates</w:t>
            </w:r>
          </w:p>
        </w:tc>
      </w:tr>
      <w:tr>
        <w:trPr>
          <w:trHeight w:val="209"/>
        </w:trPr>
        <w:tc>
          <w:tcPr>
            <w:tcW w:w="36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14</w:t>
            </w: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r>
      <w:tr>
        <w:trPr>
          <w:trHeight w:val="471"/>
        </w:trPr>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2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w w:val="98"/>
              </w:rPr>
              <w:t>“Vesting Dates” shall mean the first, second and third anniversaries of the Grant Date.</w:t>
            </w:r>
          </w:p>
        </w:tc>
      </w:tr>
      <w:tr>
        <w:trPr>
          <w:trHeight w:val="398"/>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6920" w:type="dxa"/>
            <w:vAlign w:val="bottom"/>
            <w:gridSpan w:val="4"/>
          </w:tcPr>
          <w:p>
            <w:pPr>
              <w:ind w:left="280"/>
              <w:spacing w:after="0"/>
              <w:rPr>
                <w:sz w:val="20"/>
                <w:szCs w:val="20"/>
                <w:color w:val="auto"/>
              </w:rPr>
            </w:pPr>
            <w:r>
              <w:rPr>
                <w:rFonts w:ascii="Times New Roman" w:cs="Times New Roman" w:eastAsia="Times New Roman" w:hAnsi="Times New Roman"/>
                <w:sz w:val="20"/>
                <w:szCs w:val="20"/>
                <w:color w:val="auto"/>
              </w:rPr>
              <w:t>– Years of Service</w:t>
            </w:r>
          </w:p>
        </w:tc>
      </w:tr>
      <w:tr>
        <w:trPr>
          <w:trHeight w:val="209"/>
        </w:trPr>
        <w:tc>
          <w:tcPr>
            <w:tcW w:w="36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15</w:t>
            </w: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5200" w:type="dxa"/>
            <w:vAlign w:val="bottom"/>
          </w:tcPr>
          <w:p>
            <w:pPr>
              <w:spacing w:after="0"/>
              <w:rPr>
                <w:sz w:val="18"/>
                <w:szCs w:val="18"/>
                <w:color w:val="auto"/>
              </w:rPr>
            </w:pPr>
          </w:p>
        </w:tc>
      </w:tr>
    </w:tbl>
    <w:p>
      <w:pPr>
        <w:spacing w:after="0" w:line="22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24"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0"/>
          <w:szCs w:val="20"/>
          <w:u w:val="single" w:color="auto"/>
          <w:color w:val="auto"/>
        </w:rPr>
        <w:t>GRANT OF TIME-BASED RESTRICTED SHARE UNITS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of the Time-Based Restricted Share Units</w:t>
      </w:r>
    </w:p>
    <w:p>
      <w:pPr>
        <w:spacing w:after="0" w:line="215"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Subject to the terms and conditions of the Plan and the additional terms and conditions set forth in this Agreement and the restrictive covenants set forth in the RCA, the Company hereby grants to the Colleague the number of RSUs specified in a schedule to the Agreement or as stated in the Colleague’s online account with the Company’s designated broker/stock plan administrator. The Colleague agrees that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49" w:name="page50"/>
    <w:bookmarkEnd w:id="49"/>
    <w:p>
      <w:pPr>
        <w:jc w:val="both"/>
        <w:spacing w:after="0" w:line="249" w:lineRule="auto"/>
        <w:rPr>
          <w:sz w:val="20"/>
          <w:szCs w:val="20"/>
          <w:color w:val="auto"/>
        </w:rPr>
      </w:pPr>
      <w:r>
        <w:rPr>
          <w:rFonts w:ascii="Times New Roman" w:cs="Times New Roman" w:eastAsia="Times New Roman" w:hAnsi="Times New Roman"/>
          <w:sz w:val="20"/>
          <w:szCs w:val="20"/>
          <w:color w:val="auto"/>
        </w:rPr>
        <w:t>the grant of RSUs pursuant to this Agreement is sufficient consideration for the Colleague entering into the 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RSUs.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RSU Payment</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In accordance with Section 7(d)(ii) of the Plan, the Shares to be issued upon vesting and settlement of the RSUs must be fully paid up prior to issuance of Shares by payment of the Nominal Value per Share. The Committee shall ensure that payment of the Nominal Value for any Shares underlying the RSUs is received by it on behalf of the Colleague at the time the RSUs are settled from a non-Irish Subsidiary or other source and shall establish any procedures or protocols necessary to ensure that payment is timely received.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Employment or Service Rights</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the terms of the RCA, the rights and obligations of the Colleague under the terms of their Service shall not be affected by their participation in the Plan or any right which they may have to participate in it. The RSUs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RSUs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Adjustments in RSUs Pursuant to Change of Control or Similar Event, etc.</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Subject to Sections 11 and 12 of the Plan, in the event that the outstanding Shares subject to the RSUs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RSUs; or (ii) the terms and conditions applicable to the RSUs. An adjustment may have the effect of reducing the price at which Shares may be acquired to less than their Nominal Value (the “</w:t>
      </w:r>
      <w:r>
        <w:rPr>
          <w:rFonts w:ascii="Times New Roman" w:cs="Times New Roman" w:eastAsia="Times New Roman" w:hAnsi="Times New Roman"/>
          <w:sz w:val="20"/>
          <w:szCs w:val="20"/>
          <w:u w:val="single" w:color="auto"/>
          <w:color w:val="auto"/>
        </w:rPr>
        <w:t>Shortfall</w:t>
      </w:r>
      <w:r>
        <w:rPr>
          <w:rFonts w:ascii="Times New Roman" w:cs="Times New Roman" w:eastAsia="Times New Roman" w:hAnsi="Times New Roman"/>
          <w:sz w:val="20"/>
          <w:szCs w:val="20"/>
          <w:color w:val="auto"/>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 Withholding</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RSUs, including, but not limited to, the grant, vesting or settlement of the RSUs, the subsequent sale of Shares acquired pursuant to such settlement and the receipt of any</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50" w:name="page51"/>
    <w:bookmarkEnd w:id="50"/>
    <w:p>
      <w:pPr>
        <w:jc w:val="both"/>
        <w:spacing w:after="0" w:line="249" w:lineRule="auto"/>
        <w:rPr>
          <w:sz w:val="20"/>
          <w:szCs w:val="20"/>
          <w:color w:val="auto"/>
        </w:rPr>
      </w:pPr>
      <w:r>
        <w:rPr>
          <w:rFonts w:ascii="Times New Roman" w:cs="Times New Roman" w:eastAsia="Times New Roman" w:hAnsi="Times New Roman"/>
          <w:sz w:val="20"/>
          <w:szCs w:val="20"/>
          <w:color w:val="auto"/>
        </w:rPr>
        <w:t>dividends and/or any dividend equivalents; and (2) do not commit to and are under no obligation to structure the terms of the grant or any aspect of the RSUs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78" w:lineRule="exact"/>
        <w:rPr>
          <w:sz w:val="20"/>
          <w:szCs w:val="20"/>
          <w:color w:val="auto"/>
        </w:rPr>
      </w:pPr>
    </w:p>
    <w:p>
      <w:pPr>
        <w:jc w:val="both"/>
        <w:ind w:firstLine="749"/>
        <w:spacing w:after="0" w:line="268"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16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In this regard, the Colleague authorizes the Company and/or the Employer, or their respective agents, in their discretion, to satisfy the obligations with regard to all Tax-Related Items by withholding in Shares to be issued upon settlement of the RSUs, unless the Colleague instead elects, in accordance with the procedures established by the Company, to satisfy the obligations with regard to U.S. Federal Insurance Contribution Act taxes or other Tax-Related Items that become payable in a year prior to the year in which Shares are issued upon settlement of the RSUs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RSUs,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20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RSUs, notwithstanding that a number of Shares are held back solely for the purpose of paying the Tax-Related Items.</w:t>
      </w:r>
    </w:p>
    <w:p>
      <w:pPr>
        <w:spacing w:after="0" w:line="197"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Dividend Equivalents</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On each date that a cash dividend is paid to holders of Shares from the Grant Date through the date immediately prior to the date the RSUs are settled, an amount (the “</w:t>
      </w:r>
      <w:r>
        <w:rPr>
          <w:rFonts w:ascii="Times New Roman" w:cs="Times New Roman" w:eastAsia="Times New Roman" w:hAnsi="Times New Roman"/>
          <w:sz w:val="20"/>
          <w:szCs w:val="20"/>
          <w:u w:val="single" w:color="auto"/>
          <w:color w:val="auto"/>
        </w:rPr>
        <w:t>Dividend Equivalent Amount</w:t>
      </w:r>
      <w:r>
        <w:rPr>
          <w:rFonts w:ascii="Times New Roman" w:cs="Times New Roman" w:eastAsia="Times New Roman" w:hAnsi="Times New Roman"/>
          <w:sz w:val="20"/>
          <w:szCs w:val="20"/>
          <w:color w:val="auto"/>
        </w:rPr>
        <w:t>”) equal to the cash dividend that is paid on each Share, multiplied by the total number of RSUs and any Dividend Equivalent Units (as defined below) that remain unvested and outstanding as of the dividend payment record date, will be credited to the Colleague, and such credited amount will be converted into an additional number of RSUs (“</w:t>
      </w:r>
      <w:r>
        <w:rPr>
          <w:rFonts w:ascii="Times New Roman" w:cs="Times New Roman" w:eastAsia="Times New Roman" w:hAnsi="Times New Roman"/>
          <w:sz w:val="20"/>
          <w:szCs w:val="20"/>
          <w:u w:val="single" w:color="auto"/>
          <w:color w:val="auto"/>
        </w:rPr>
        <w:t>Dividend Equivalent Units</w:t>
      </w:r>
      <w:r>
        <w:rPr>
          <w:rFonts w:ascii="Times New Roman" w:cs="Times New Roman" w:eastAsia="Times New Roman" w:hAnsi="Times New Roman"/>
          <w:sz w:val="20"/>
          <w:szCs w:val="20"/>
          <w:color w:val="auto"/>
        </w:rPr>
        <w:t>”) determined by dividing the Dividend Equivalent Amount by the Fair Market Value of a Share on the date of the dividend payment. Dividend Equivalent Units will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1" w:name="page52"/>
    <w:bookmarkEnd w:id="51"/>
    <w:p>
      <w:pPr>
        <w:jc w:val="both"/>
        <w:spacing w:after="0" w:line="249" w:lineRule="auto"/>
        <w:rPr>
          <w:sz w:val="20"/>
          <w:szCs w:val="20"/>
          <w:color w:val="auto"/>
        </w:rPr>
      </w:pPr>
      <w:r>
        <w:rPr>
          <w:rFonts w:ascii="Times New Roman" w:cs="Times New Roman" w:eastAsia="Times New Roman" w:hAnsi="Times New Roman"/>
          <w:sz w:val="20"/>
          <w:szCs w:val="20"/>
          <w:color w:val="auto"/>
        </w:rPr>
        <w:t>be subject to the same conditions as the underlying RSUs with respect to which Dividend Equivalent Units were credited, including without limitation, the provisions governing time and form of settlement applicable to the underlying RSUs. Unless expressly provided otherwise, as used elsewhere in this Agreement, references to RSUs in this Agreement shall also include Dividend Equivalent Units that have been credited to the Colleague pursuant to this Section 2.6.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Clawback / Repayment</w:t>
      </w:r>
    </w:p>
    <w:p>
      <w:pPr>
        <w:spacing w:after="0" w:line="21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9"/>
          <w:szCs w:val="19"/>
          <w:color w:val="auto"/>
        </w:rPr>
        <w:t>The RSUs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RSU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RSU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RSUs to re-convey, transfer or otherwise return such Shares and/or other amounts to the Company upon the Company’s enforcement of this Section 2.7.</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III</w:t>
      </w:r>
    </w:p>
    <w:p>
      <w:pPr>
        <w:spacing w:after="0" w:line="224"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20"/>
          <w:szCs w:val="20"/>
          <w:u w:val="single" w:color="auto"/>
          <w:color w:val="auto"/>
        </w:rPr>
        <w:t>TIME-BASED VESTING REQUIREMENTS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Vesting Provisions, Forfeiture and Settlement</w:t>
      </w:r>
    </w:p>
    <w:p>
      <w:pPr>
        <w:spacing w:after="0" w:line="219" w:lineRule="exact"/>
        <w:rPr>
          <w:sz w:val="20"/>
          <w:szCs w:val="20"/>
          <w:color w:val="auto"/>
        </w:rPr>
      </w:pPr>
    </w:p>
    <w:p>
      <w:pPr>
        <w:jc w:val="both"/>
        <w:ind w:firstLine="757"/>
        <w:spacing w:after="0" w:line="249"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shall vest in three (3) substantially equal annual installments on each of the Vesting Dates, subject to the Colleague’s continued Service through the applicable Vesting Date and the other requirements in this Section 3.1, and upon vesting the RSUs shall become payable in accordance with [For Executive Officers other than Mr. Garrard: Section 3.1(i) below] [For Mr. Garrard: Section 3.1(h) below].</w:t>
      </w:r>
    </w:p>
    <w:p>
      <w:pPr>
        <w:spacing w:after="0" w:line="178"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Section 3.1 or the terms of the Colleague’s employment agreement, in the event of the Colleague’s termination of Service prior to a Vesting Date, any RSUs that are unvested as of the Termination Date shall be forfeited immediately as of the Termination Date by the Colleague, subject to, and except as otherwise specified in, the terms and conditions of the other subsections of this Section 3.1.</w:t>
      </w:r>
    </w:p>
    <w:p>
      <w:pPr>
        <w:spacing w:after="0" w:line="178" w:lineRule="exact"/>
        <w:rPr>
          <w:rFonts w:ascii="Times New Roman" w:cs="Times New Roman" w:eastAsia="Times New Roman" w:hAnsi="Times New Roman"/>
          <w:sz w:val="20"/>
          <w:szCs w:val="20"/>
          <w:color w:val="auto"/>
        </w:rPr>
      </w:pPr>
    </w:p>
    <w:p>
      <w:pPr>
        <w:jc w:val="both"/>
        <w:ind w:firstLine="757"/>
        <w:spacing w:after="0" w:line="244" w:lineRule="auto"/>
        <w:tabs>
          <w:tab w:leader="none" w:pos="1018"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In the event of the Colleague’s termination of Service after the first anniversary of the Grant Date and prior to a Vesting Date due to a Qualifying Retirement, any RSUs that are unvested as of the Termination Date shall continue to vest on the original Vesting Dates that occur following the Termination Date, subject to the Colleague’s compliance with the restrictive covenants and other obligations contemplated under Section 6.2 of Article VI of this Agreement. For the avoidance of any doubt, the provisions of this Section 3.1(c) shall prevail over the provisions of Section 3.1 (e).] [For Mr. Garrard: In the event of the Colleague’s termination of Service due to a Qualifying Retirement, any RSUs that are unvested as of the Termination Date shall continue to vest on the original</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2" w:name="page53"/>
    <w:bookmarkEnd w:id="52"/>
    <w:p>
      <w:pPr>
        <w:spacing w:after="0" w:line="268" w:lineRule="auto"/>
        <w:rPr>
          <w:sz w:val="20"/>
          <w:szCs w:val="20"/>
          <w:color w:val="auto"/>
        </w:rPr>
      </w:pPr>
      <w:r>
        <w:rPr>
          <w:rFonts w:ascii="Times New Roman" w:cs="Times New Roman" w:eastAsia="Times New Roman" w:hAnsi="Times New Roman"/>
          <w:sz w:val="20"/>
          <w:szCs w:val="20"/>
          <w:color w:val="auto"/>
        </w:rPr>
        <w:t>Vesting Dates that occur following the Termination Date, subject to the Colleague’s compliance with the restrictive covenants and other obligations contemplated under Section 6.2 of Article VI of this Agreement.]</w:t>
      </w:r>
    </w:p>
    <w:p>
      <w:pPr>
        <w:spacing w:after="0" w:line="161" w:lineRule="exact"/>
        <w:rPr>
          <w:sz w:val="20"/>
          <w:szCs w:val="20"/>
          <w:color w:val="auto"/>
        </w:rPr>
      </w:pPr>
    </w:p>
    <w:p>
      <w:pPr>
        <w:jc w:val="both"/>
        <w:ind w:firstLine="757"/>
        <w:spacing w:after="0" w:line="249"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RSUs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all unvested RSUs shall vest as of the Termination Date.</w:t>
      </w:r>
    </w:p>
    <w:p>
      <w:pPr>
        <w:spacing w:after="0" w:line="178" w:lineRule="exact"/>
        <w:rPr>
          <w:rFonts w:ascii="Times New Roman" w:cs="Times New Roman" w:eastAsia="Times New Roman" w:hAnsi="Times New Roman"/>
          <w:sz w:val="20"/>
          <w:szCs w:val="20"/>
          <w:color w:val="auto"/>
        </w:rPr>
      </w:pPr>
    </w:p>
    <w:p>
      <w:pPr>
        <w:jc w:val="both"/>
        <w:ind w:firstLine="757"/>
        <w:spacing w:after="0" w:line="241"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any RSUs that are unvested as of the Termination Date shall be forfeited automatically by the Colleague unless the Committee, in its sole discretion, approves the continued vesting on the original Vesting Dates that occur following the Termination Date of some or all of the unvested RSUs. The continued vesting benefit provided under this Section 3.1(e) shall be subject to the Colleague’s compliance with the restrictive covenants and other obligations contemplated under Article VI of this Agreement. If no determination is made by the Committee as of the Termination Date, then the RSUs shall, to the extent not then vested, be immediately forfeited by the Colleague.] [For Mr. Garrard: In the event of the Colleague’s (i) termination of Service without Cause by the Company or (ii) termination of Service by the Colleague for Good Reason, in each case, prior to a Change of Control or after the 24-month period commencing on the effective date of a Change of Control, any RSUs that are unvested as of the Termination Date shall automatically continue to vest on the original Vesting Dates that occur following the Termination Date, subject to the Colleague’s compliance with the restrictive covenants and other obligations contemplated under Article VI of this Agreement.]</w:t>
      </w:r>
    </w:p>
    <w:p>
      <w:pPr>
        <w:spacing w:after="0" w:line="193" w:lineRule="exact"/>
        <w:rPr>
          <w:rFonts w:ascii="Times New Roman" w:cs="Times New Roman" w:eastAsia="Times New Roman" w:hAnsi="Times New Roman"/>
          <w:sz w:val="20"/>
          <w:szCs w:val="20"/>
          <w:color w:val="auto"/>
        </w:rPr>
      </w:pPr>
    </w:p>
    <w:p>
      <w:pPr>
        <w:ind w:right="20" w:firstLine="757"/>
        <w:spacing w:after="0" w:line="268"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as a result of the Colleague’s Permanent Disability or death, all unvested RSUs shall vest as of the Termination Date.</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RSUs are not assumed or otherwise substituted or replaced by the successor corporation or an affiliate thereof in connection with a Change of Control, all RSUs that are unvested as of the Change of Control shall vest immediately prior to the effective date of the Change of Control.</w:t>
      </w:r>
    </w:p>
    <w:p>
      <w:pPr>
        <w:spacing w:after="0" w:line="176"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Notwithstanding anything to the contrary in Section 3.1, no RSUs shall vest prior to the first anniversary of the Grant Date (i) except in the case of the Colleague’s termination of Service resulting from death or Permanent Disability or in connection with a Change of Control, or (ii) unless the Committee, in its sole discretion, determines that the RSUs shall be sourced from the Unrestricted Pool.] [For Mr. Garrard: RSUs that become vested shall be delivered on the applicable Vesting Date or, if earlier, upon an accelerated vesting event pursuant to Sections 3.1(d), (f) and (g), or as soon as practicable, but not later than 30 days, thereafter.]</w:t>
      </w:r>
    </w:p>
    <w:p>
      <w:pPr>
        <w:spacing w:after="0" w:line="182"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3.1(j), RSUs that become vested shall be settled on the applicable Vesting Date or, if earlier, upon an accelerated vesting event pursuant to Sections 3.1(d), (f) or (g), or as soon as practicable, but not later than 30 days, thereafter. Unless the Company provides otherwise, any fractional RSU that is vested as of the final Vesting Date or an accelerated vesting event shall be rounded down to the next whole RSU. For the avoidance of any doubt, no fractional Shares shall be issued pursuant to this Agreement.</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the RSUs are considered non-qualified deferred compensation subject to Section 409A of the Code, as determined in the sole discretion of the Company, and the Colleague is a U.S. Taxpayer, RSUs that are no longer subject to a substantial risk of forfeiture, as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3" w:name="page54"/>
    <w:bookmarkEnd w:id="53"/>
    <w:p>
      <w:pPr>
        <w:jc w:val="both"/>
        <w:spacing w:after="0" w:line="243" w:lineRule="auto"/>
        <w:rPr>
          <w:sz w:val="20"/>
          <w:szCs w:val="20"/>
          <w:color w:val="auto"/>
        </w:rPr>
      </w:pPr>
      <w:r>
        <w:rPr>
          <w:rFonts w:ascii="Times New Roman" w:cs="Times New Roman" w:eastAsia="Times New Roman" w:hAnsi="Times New Roman"/>
          <w:sz w:val="20"/>
          <w:szCs w:val="20"/>
          <w:color w:val="auto"/>
        </w:rPr>
        <w:t>determined in accordance with Section 409A of the Code, shall be settled, without regard to the vesting schedule set forth above, on the earliest to occur of (i) the applicable Vesting Date, (ii) a “change in control event” within the meaning of U.S. Treas. Reg. § 1.409A-3(i)(5) (a “409A CIC Event”),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RSUs shall instead be settled on the first business day of the seventh month following the Colleague’s Separation from Service, to the extent such delayed payment is required in order to avoid a prohibited distribution under Section 409A of the Code, (iv) the Colleague’s death, and (v) the Colleague’s disability, within the meaning of Section 409A of the Code.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Conditions to Issuance of Shares</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RSUs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settlement of the RSUs prior to fulfillment of all of the following conditions, and in any event, subject to Section 409A of the Code for United States taxpayers:</w:t>
      </w:r>
    </w:p>
    <w:p>
      <w:pPr>
        <w:spacing w:after="0" w:line="178" w:lineRule="exact"/>
        <w:rPr>
          <w:sz w:val="20"/>
          <w:szCs w:val="20"/>
          <w:color w:val="auto"/>
        </w:rPr>
      </w:pPr>
    </w:p>
    <w:p>
      <w:pPr>
        <w:ind w:right="20" w:firstLine="757"/>
        <w:spacing w:after="0" w:line="268" w:lineRule="auto"/>
        <w:tabs>
          <w:tab w:leader="none" w:pos="1018"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approval or other clearance from any state, federal, local or foreign governmental agency which the Committee shall, in its absolute discretion, determine to be necessary or advisable; and</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has paid or made arrangements to pay the Tax-Related Items pursuant to Section 2.5.</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Without limiting the generality of the foregoing, the Committee may require an opinion of counsel reasonably acceptable to it to the effect that any subsequent transfer of Shares acquired on the settlement of RSUs does not violate the Exchange Act and may issue stop-transfer orders covering such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Rights as Shareholder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Colleague shall not be, nor have any of the rights or privileges of, a shareholder of the Company in respect of any Shares that may be received upon the settlement of the RSUs unless and until certificates representing such Shares or their electronic equivalent shall have been issued by the Company to the Colleague.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on Obligations</w:t>
      </w:r>
    </w:p>
    <w:p>
      <w:pPr>
        <w:spacing w:after="0" w:line="215" w:lineRule="exact"/>
        <w:rPr>
          <w:sz w:val="20"/>
          <w:szCs w:val="20"/>
          <w:color w:val="auto"/>
        </w:rPr>
      </w:pPr>
    </w:p>
    <w:p>
      <w:pPr>
        <w:jc w:val="both"/>
        <w:ind w:firstLine="395"/>
        <w:spacing w:after="0" w:line="243" w:lineRule="auto"/>
        <w:rPr>
          <w:sz w:val="20"/>
          <w:szCs w:val="20"/>
          <w:color w:val="auto"/>
        </w:rPr>
      </w:pPr>
      <w:r>
        <w:rPr>
          <w:rFonts w:ascii="Times New Roman" w:cs="Times New Roman" w:eastAsia="Times New Roman" w:hAnsi="Times New Roman"/>
          <w:sz w:val="20"/>
          <w:szCs w:val="20"/>
          <w:color w:val="auto"/>
        </w:rPr>
        <w:t>The Company’s obligation with respect to the RSUs granted hereunder is limited solely to the issuance to the Colleague of Shares within the period when such Shares are due to be issued hereunder, and in no event shall the Company become obligated to pay cash in respect of such obligation. The RSUs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 Colleague (or their designated entities), any loss of the certificates, or any mistakes or errors in the issuance of the certificates (or the electronic equivalent) to the Colleague (or their designated entities) or in the certificates themselves.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4" w:name="page55"/>
    <w:bookmarkEnd w:id="54"/>
    <w:p>
      <w:pPr>
        <w:ind w:left="4000"/>
        <w:spacing w:after="0"/>
        <w:rPr>
          <w:sz w:val="20"/>
          <w:szCs w:val="20"/>
          <w:color w:val="auto"/>
        </w:rPr>
      </w:pPr>
      <w:r>
        <w:rPr>
          <w:rFonts w:ascii="Times New Roman" w:cs="Times New Roman" w:eastAsia="Times New Roman" w:hAnsi="Times New Roman"/>
          <w:sz w:val="22"/>
          <w:szCs w:val="22"/>
          <w:color w:val="auto"/>
        </w:rPr>
        <w:t>ARTICLE IV</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OF THE RSUs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Nature of Award</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accepting the RSUs, the Colleague acknowledges, understands and agrees that:</w:t>
      </w:r>
    </w:p>
    <w:p>
      <w:pPr>
        <w:spacing w:after="0" w:line="215" w:lineRule="exact"/>
        <w:rPr>
          <w:sz w:val="20"/>
          <w:szCs w:val="20"/>
          <w:color w:val="auto"/>
        </w:rPr>
      </w:pPr>
    </w:p>
    <w:p>
      <w:pPr>
        <w:ind w:firstLine="757"/>
        <w:spacing w:after="0" w:line="268"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160"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award is exceptional, voluntary and occasional and does not create any contractual or other right to receive future RSU awards, or benefits in lieu of RSU awards, even if RSUs have been granted in the past;</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RSUs or other grants, if any, will be at the sole discretion of the Company;</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Colleague’s participation in the Plan is voluntary;</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any Shares acquired under the Plan, and the income and the value of same, are not intended to replace any pension rights or compensation under any pension arrangement;</w:t>
      </w:r>
    </w:p>
    <w:p>
      <w:pPr>
        <w:spacing w:after="0" w:line="160"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6" w:lineRule="exact"/>
        <w:rPr>
          <w:rFonts w:ascii="Times New Roman" w:cs="Times New Roman" w:eastAsia="Times New Roman" w:hAnsi="Times New Roman"/>
          <w:sz w:val="20"/>
          <w:szCs w:val="20"/>
          <w:color w:val="auto"/>
        </w:rPr>
      </w:pPr>
    </w:p>
    <w:p>
      <w:pPr>
        <w:ind w:firstLine="757"/>
        <w:spacing w:after="0" w:line="268"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RSUs and the Shares subject to the RSUs, and the income and value of same, are not granted as consideration for, or in connection with, services the Colleague may provide as a director of any Subsidiary or affiliate;</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RSUs is unknown, indeterminable, and cannot be predicted with certainty;</w:t>
      </w:r>
    </w:p>
    <w:p>
      <w:pPr>
        <w:spacing w:after="0" w:line="21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RSUs or the underlying Shares resulting from (i) the application of the clawback policy as described in Section 2.7 of this Agreement or otherwise adopted by the Company or required by law,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91" w:lineRule="exact"/>
        <w:rPr>
          <w:rFonts w:ascii="Times New Roman" w:cs="Times New Roman" w:eastAsia="Times New Roman" w:hAnsi="Times New Roman"/>
          <w:sz w:val="20"/>
          <w:szCs w:val="20"/>
          <w:color w:val="auto"/>
        </w:rPr>
      </w:pPr>
    </w:p>
    <w:p>
      <w:pPr>
        <w:jc w:val="both"/>
        <w:ind w:firstLine="757"/>
        <w:spacing w:after="0" w:line="273" w:lineRule="auto"/>
        <w:tabs>
          <w:tab w:leader="none" w:pos="1018" w:val="left"/>
        </w:tabs>
        <w:numPr>
          <w:ilvl w:val="0"/>
          <w:numId w:val="3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discretion, the RSUs and the benefits evidenced by this Agreement do not create any entitlement to have the RSUs or any such benefits transferred to, or assumed by, another company nor to be exchanged, cashed out or substituted for, in connection with any Change of Control or similar event affecting the Shares of the Company; and</w:t>
      </w:r>
    </w:p>
    <w:p>
      <w:pPr>
        <w:spacing w:after="0" w:line="171" w:lineRule="exact"/>
        <w:rPr>
          <w:rFonts w:ascii="Times New Roman" w:cs="Times New Roman" w:eastAsia="Times New Roman" w:hAnsi="Times New Roman"/>
          <w:sz w:val="19"/>
          <w:szCs w:val="19"/>
          <w:color w:val="auto"/>
        </w:rPr>
      </w:pPr>
    </w:p>
    <w:p>
      <w:pPr>
        <w:jc w:val="both"/>
        <w:ind w:firstLine="757"/>
        <w:spacing w:after="0" w:line="249" w:lineRule="auto"/>
        <w:tabs>
          <w:tab w:leader="none" w:pos="1018"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Colleague is providing services outside the United States, neither the Company, the Employer nor any Subsidiary or Designated Associate Company shall be liable for any foreign exchange rate fluctuation between the Colleague’s local currency and the United States Dollar that may affect the value of the RSUs or of any amounts due to the Colleague pursuant to the settlement of the RSUs or the subsequent sale of any Shares acquired upon settlement.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-10795</wp:posOffset>
            </wp:positionV>
            <wp:extent cx="144970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9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RSUs or sale of the Shares. The Colleague should consult with their own personal tax, legal and financial advisors regarding their participation in the Plan before taking any action related to the Plan.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w:t>
      </w:r>
    </w:p>
    <w:p>
      <w:pPr>
        <w:spacing w:after="0" w:line="2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u w:val="single" w:color="auto"/>
          <w:color w:val="auto"/>
        </w:rPr>
        <w:t>DATA PRIVACY NOTICE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Data Privacy</w:t>
      </w:r>
    </w:p>
    <w:p>
      <w:pPr>
        <w:spacing w:after="0" w:line="211"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The Company is located at 51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C to this Agreement.</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6" w:name="page57"/>
    <w:bookmarkEnd w:id="56"/>
    <w:p>
      <w:pPr>
        <w:jc w:val="center"/>
        <w:ind w:right="40"/>
        <w:spacing w:after="0"/>
        <w:rPr>
          <w:sz w:val="20"/>
          <w:szCs w:val="20"/>
          <w:color w:val="auto"/>
        </w:rPr>
      </w:pPr>
      <w:r>
        <w:rPr>
          <w:rFonts w:ascii="Times New Roman" w:cs="Times New Roman" w:eastAsia="Times New Roman" w:hAnsi="Times New Roman"/>
          <w:sz w:val="22"/>
          <w:szCs w:val="22"/>
          <w:color w:val="auto"/>
        </w:rPr>
        <w:t>ARTICLE VI</w:t>
      </w:r>
    </w:p>
    <w:p>
      <w:pPr>
        <w:spacing w:after="0" w:line="2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u w:val="single" w:color="auto"/>
          <w:color w:val="auto"/>
        </w:rPr>
        <w:t>AGREEMENT OF RESTRICTIVE COVENANTS AND OTHER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Restrictive Covenants and Other Obligations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In consideration of the grant of RSUs,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RSUs.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Certification of Retirement from Industry</w:t>
      </w:r>
    </w:p>
    <w:p>
      <w:pPr>
        <w:spacing w:after="0" w:line="215" w:lineRule="exact"/>
        <w:rPr>
          <w:sz w:val="20"/>
          <w:szCs w:val="20"/>
          <w:color w:val="auto"/>
        </w:rPr>
      </w:pPr>
    </w:p>
    <w:p>
      <w:pPr>
        <w:jc w:val="both"/>
        <w:ind w:firstLine="749"/>
        <w:spacing w:after="0"/>
        <w:rPr>
          <w:sz w:val="20"/>
          <w:szCs w:val="20"/>
          <w:color w:val="auto"/>
        </w:rPr>
      </w:pPr>
      <w:r>
        <w:rPr>
          <w:rFonts w:ascii="Times New Roman" w:cs="Times New Roman" w:eastAsia="Times New Roman" w:hAnsi="Times New Roman"/>
          <w:sz w:val="20"/>
          <w:szCs w:val="20"/>
          <w:color w:val="auto"/>
        </w:rPr>
        <w:t>For any Colleague whose termination of Service with the Company constitutes a Qualifying Retirement (“Qualifying Retiree”), in order for the Qualifying Retiree to continue to vest in the RSUs in accordance with the provisions of Section 3.1(c), the Qualifying Retiree shall furnish to the Company on or before the Termination Date, and on an annual basis thereafter (for the duration of an Award’s vesting), or at such time and in such manner as the Company may otherwise reasonably require from time to time, in a form provided to the Qualifying Retiree on or before the Termination Date: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and severally),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 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3.1(c)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RSUs in accordance with the provisions of Section 3.1(c).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VII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Administration</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5" w:right="339" w:bottom="1440" w:gutter="0" w:footer="0" w:header="0"/>
        </w:sectPr>
      </w:pPr>
    </w:p>
    <w:bookmarkStart w:id="57" w:name="page58"/>
    <w:bookmarkEnd w:id="57"/>
    <w:p>
      <w:pPr>
        <w:jc w:val="both"/>
        <w:spacing w:after="0" w:line="249" w:lineRule="auto"/>
        <w:rPr>
          <w:sz w:val="20"/>
          <w:szCs w:val="20"/>
          <w:color w:val="auto"/>
        </w:rPr>
      </w:pPr>
      <w:r>
        <w:rPr>
          <w:rFonts w:ascii="Times New Roman" w:cs="Times New Roman" w:eastAsia="Times New Roman" w:hAnsi="Times New Roman"/>
          <w:sz w:val="20"/>
          <w:szCs w:val="20"/>
          <w:color w:val="auto"/>
        </w:rPr>
        <w:t>Committee shall be final and binding upon the Colleague, the Company and all other interested persons. No member of the Committee shall be personally liable for any action, determination or interpretation made in good faith with respect to the Plan or the RSUs. In its absolute discretion, the Committee may at any time and from time to time exercise any and all rights and duties of the Committee under the Plan and this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7.2RSUs Not Transferable</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Neither the RSUs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Binding Effect</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The provisions of this Agreement shall be binding upon and accrue to the benefit of the parties hereto and their respective heirs, legal representatives, successors and assigns.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Notices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notice to be given under the terms of this Agreement to the Company shall be addressed to the Company at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Willis Towers Watson plc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Matthew S. Furman</w:t>
      </w:r>
    </w:p>
    <w:p>
      <w:pPr>
        <w:ind w:left="1500"/>
        <w:spacing w:after="0"/>
        <w:rPr>
          <w:sz w:val="20"/>
          <w:szCs w:val="20"/>
          <w:color w:val="auto"/>
        </w:rPr>
      </w:pPr>
      <w:r>
        <w:rPr>
          <w:rFonts w:ascii="Times New Roman" w:cs="Times New Roman" w:eastAsia="Times New Roman" w:hAnsi="Times New Roman"/>
          <w:sz w:val="20"/>
          <w:szCs w:val="20"/>
          <w:color w:val="auto"/>
        </w:rPr>
        <w:t>General Counsel</w:t>
      </w:r>
    </w:p>
    <w:p>
      <w:pPr>
        <w:ind w:left="1500"/>
        <w:spacing w:after="0"/>
        <w:rPr>
          <w:sz w:val="20"/>
          <w:szCs w:val="20"/>
          <w:color w:val="auto"/>
        </w:rPr>
      </w:pPr>
      <w:r>
        <w:rPr>
          <w:rFonts w:ascii="Times New Roman" w:cs="Times New Roman" w:eastAsia="Times New Roman" w:hAnsi="Times New Roman"/>
          <w:sz w:val="20"/>
          <w:szCs w:val="20"/>
          <w:color w:val="auto"/>
        </w:rPr>
        <w:t>200 Liberty Street</w:t>
      </w:r>
    </w:p>
    <w:p>
      <w:pPr>
        <w:ind w:left="1500"/>
        <w:spacing w:after="0"/>
        <w:rPr>
          <w:sz w:val="20"/>
          <w:szCs w:val="20"/>
          <w:color w:val="auto"/>
        </w:rPr>
      </w:pPr>
      <w:r>
        <w:rPr>
          <w:rFonts w:ascii="Times New Roman" w:cs="Times New Roman" w:eastAsia="Times New Roman" w:hAnsi="Times New Roman"/>
          <w:sz w:val="20"/>
          <w:szCs w:val="20"/>
          <w:color w:val="auto"/>
        </w:rPr>
        <w:t>New York, NY 10281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any notice to be given to the Colleague shall be at their address.</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Titles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Titles are provided herein for convenience only and are not to serve as a basis for interpretation or construction of this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Applicability of Plan</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RSUs and the Shares underlying the RSUs shall be subject to all of the terms and provisions of the Plan, to the extent applicable to the RSUs and the underlying Shares. In the event of any conflict between this Agreement and the Plan, the terms of the Plan shall control.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Governing Law</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Jurisdiction</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Electronic Delivery and Acceptance</w:t>
      </w:r>
    </w:p>
    <w:p>
      <w:pPr>
        <w:spacing w:after="0" w:line="215"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Choice of Language</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Severability</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A</w:t>
      </w:r>
    </w:p>
    <w:p>
      <w:pPr>
        <w:spacing w:after="0" w:line="215"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The RSUs shall be subject to any special provisions set forth in Schedule A for the Colleague’s country of residence, if any. If the Colleague relocates to one of the countries included in Schedule A prior to the vesting of the RSUs,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Imposition of Other Requirements</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the RSUs and the Shares acquired upon vesting of the RSUs, to the extent the Company determines it is necessary or advisable for legal or administrative reasons, and to require the Colleague to sign any additional agreements or undertakings that may be necessary to accomplish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Insider Trading / Market Abuse Laws</w:t>
      </w:r>
    </w:p>
    <w:p>
      <w:pPr>
        <w:spacing w:after="0" w:line="21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RSUs)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Foreign Asset/Account Reporting Requirements and Exchange Controls</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Counterparts</w:t>
      </w:r>
    </w:p>
    <w:p>
      <w:pPr>
        <w:spacing w:after="0" w:line="215" w:lineRule="exact"/>
        <w:rPr>
          <w:sz w:val="20"/>
          <w:szCs w:val="20"/>
          <w:color w:val="auto"/>
        </w:rPr>
      </w:pPr>
    </w:p>
    <w:p>
      <w:pPr>
        <w:jc w:val="both"/>
        <w:ind w:right="20" w:firstLine="749"/>
        <w:spacing w:after="0" w:line="268"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to be an original and all of which together shall constitute one and the same instrument.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p>
    <w:p>
      <w:pPr>
        <w:spacing w:after="0" w:line="215" w:lineRule="exact"/>
        <w:rPr>
          <w:sz w:val="20"/>
          <w:szCs w:val="20"/>
          <w:color w:val="auto"/>
        </w:rPr>
      </w:pPr>
    </w:p>
    <w:p>
      <w:pPr>
        <w:jc w:val="both"/>
        <w:ind w:firstLine="395"/>
        <w:spacing w:after="0" w:line="268" w:lineRule="auto"/>
        <w:rPr>
          <w:sz w:val="20"/>
          <w:szCs w:val="20"/>
          <w:color w:val="auto"/>
        </w:rPr>
      </w:pPr>
      <w:r>
        <w:rPr>
          <w:rFonts w:ascii="Times New Roman" w:cs="Times New Roman" w:eastAsia="Times New Roman" w:hAnsi="Times New Roman"/>
          <w:sz w:val="20"/>
          <w:szCs w:val="20"/>
          <w:color w:val="auto"/>
        </w:rPr>
        <w:t>For purposes of United States taxpayers, it is intended that the terms of the RSUs will comply with the provisions of Section 409A of the Code and the Treasury Regulations relating thereto so as not to subject</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0" w:name="page61"/>
    <w:bookmarkEnd w:id="60"/>
    <w:p>
      <w:pPr>
        <w:jc w:val="both"/>
        <w:spacing w:after="0" w:line="241" w:lineRule="auto"/>
        <w:rPr>
          <w:sz w:val="20"/>
          <w:szCs w:val="20"/>
          <w:color w:val="auto"/>
        </w:rPr>
      </w:pPr>
      <w:r>
        <w:rPr>
          <w:rFonts w:ascii="Times New Roman" w:cs="Times New Roman" w:eastAsia="Times New Roman" w:hAnsi="Times New Roman"/>
          <w:sz w:val="20"/>
          <w:szCs w:val="20"/>
          <w:color w:val="auto"/>
        </w:rPr>
        <w:t>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RSUs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RSUs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 RSUs are granted under and governed by the terms and conditions of the Plan and this Agreement (including the Schedules attached hereto).</w:t>
      </w: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145415</wp:posOffset>
            </wp:positionV>
            <wp:extent cx="2157730" cy="47942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215773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______Electronic Signature_____________________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_______Colleague Name_____________________</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61" w:name="page62"/>
    <w:bookmarkEnd w:id="61"/>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 Date</w:t>
      </w:r>
    </w:p>
    <w:p>
      <w:pPr>
        <w:spacing w:after="0" w:line="21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(Time-Based Restricted Share Units)</w:t>
      </w:r>
    </w:p>
    <w:p>
      <w:pPr>
        <w:spacing w:after="0" w:line="202" w:lineRule="exact"/>
        <w:rPr>
          <w:sz w:val="20"/>
          <w:szCs w:val="20"/>
          <w:color w:val="auto"/>
        </w:rPr>
      </w:pPr>
    </w:p>
    <w:p>
      <w:pPr>
        <w:ind w:left="2640" w:right="2640" w:firstLine="298"/>
        <w:spacing w:after="0" w:line="299" w:lineRule="auto"/>
        <w:rPr>
          <w:sz w:val="20"/>
          <w:szCs w:val="20"/>
          <w:color w:val="auto"/>
        </w:rPr>
      </w:pPr>
      <w:r>
        <w:rPr>
          <w:rFonts w:ascii="Times New Roman" w:cs="Times New Roman" w:eastAsia="Times New Roman" w:hAnsi="Times New Roman"/>
          <w:sz w:val="19"/>
          <w:szCs w:val="19"/>
          <w:b w:val="1"/>
          <w:bCs w:val="1"/>
          <w:color w:val="auto"/>
        </w:rPr>
        <w:t>WILLIS TOWERS WATSON PUBLIC LIMITED COMPANY 2012 EQUITY INCENTIVE PLAN, AS AMENDED AND RESTATED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Time-Based Restricted Share Unit Award granted to the Colleague under the Willis Towers Watson Public Limited Company 2012 Equity Incentive Plan, as amended from time to time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and the applicable time-based Restricted Share Unit Agreement (the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if the Colleague resides in one of the countries listed below. This Schedule A forms part of the Agreement. Capitalized terms used but not defined herein shall have the meanings ascribed to them in the Agreement or the Plan.</w:t>
      </w:r>
    </w:p>
    <w:p>
      <w:pPr>
        <w:spacing w:after="0" w:line="19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Notwithstanding Section 1.8 and Section 3.1(c) of the Agreement, if the Company receives a legal opinion that there has been a legal judgment and/or legal development in the Colleague’s jurisdiction that likely would result in the favorable treatment that applies to the RSUs as a result of the Colleague’s retirement or reaching a certain age being unlawful and/or discriminatory, the favorable treatment contemplated under Section 1.8 and Section 3.1(c) shall not apply and Section 3.1 shall apply to the Colleague without giving effect to Section 3.1(c).</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March 2024.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RSUs vest under the Plan.</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RSUs.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9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20"/>
          <w:szCs w:val="20"/>
          <w:b w:val="1"/>
          <w:bCs w:val="1"/>
          <w:color w:val="auto"/>
        </w:rPr>
        <w:t>RSU Payment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Reporting Obligation</w:t>
      </w:r>
    </w:p>
    <w:p>
      <w:pPr>
        <w:spacing w:after="0" w:line="25"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If the Colleague is a director, shadow director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Shares, etc.), if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RSU Payment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6"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RSUs do not provide any right for the Colleague to receive a cash payment and the RSUs will be settled in Shares only.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supplement Section 2.5 of the Agreement:</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97" w:lineRule="exact"/>
        <w:rPr>
          <w:sz w:val="20"/>
          <w:szCs w:val="20"/>
          <w:color w:val="auto"/>
        </w:rPr>
      </w:pPr>
    </w:p>
    <w:p>
      <w:pPr>
        <w:ind w:right="40"/>
        <w:spacing w:after="0" w:line="242"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 Colleague by the Company or the Employer at any time thereafter by any of the means referred to in Section 2.5 of the Agreement.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13" w:right="359" w:bottom="1440" w:gutter="0" w:footer="0" w:header="0"/>
        </w:sectPr>
      </w:pPr>
    </w:p>
    <w:bookmarkStart w:id="64" w:name="page65"/>
    <w:bookmarkEnd w:id="64"/>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p>
    <w:p>
      <w:pPr>
        <w:spacing w:after="0" w:line="25"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Under the Foreign Account Tax Compliance Act (“</w:t>
      </w:r>
      <w:r>
        <w:rPr>
          <w:rFonts w:ascii="Times New Roman" w:cs="Times New Roman" w:eastAsia="Times New Roman" w:hAnsi="Times New Roman"/>
          <w:sz w:val="20"/>
          <w:szCs w:val="20"/>
          <w:u w:val="single" w:color="auto"/>
          <w:color w:val="auto"/>
        </w:rPr>
        <w:t>FATCA</w:t>
      </w:r>
      <w:r>
        <w:rPr>
          <w:rFonts w:ascii="Times New Roman" w:cs="Times New Roman" w:eastAsia="Times New Roman" w:hAnsi="Times New Roman"/>
          <w:sz w:val="20"/>
          <w:szCs w:val="20"/>
          <w:color w:val="auto"/>
        </w:rPr>
        <w:t>”),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RSUs) may be required to report certain information related to their holdings to the extent the aggregate value of the RSUs/Shares exceeds certain thresholds (depending on the Colleague’s filing status) with the Colleague’s annual tax return. The Colleague should consult with their personal tax or legal advisor regarding any FATCA reporting requirements with respect to the RSUs or any Shares acquired under the Plan.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5" w:name="page66"/>
    <w:bookmarkEnd w:id="65"/>
    <w:p>
      <w:pPr>
        <w:ind w:left="9600"/>
        <w:spacing w:after="0"/>
        <w:rPr>
          <w:sz w:val="20"/>
          <w:szCs w:val="20"/>
          <w:color w:val="auto"/>
        </w:rPr>
      </w:pPr>
      <w:r>
        <w:rPr>
          <w:rFonts w:ascii="Times New Roman" w:cs="Times New Roman" w:eastAsia="Times New Roman" w:hAnsi="Times New Roman"/>
          <w:sz w:val="19"/>
          <w:szCs w:val="19"/>
          <w:b w:val="1"/>
          <w:bCs w:val="1"/>
          <w:u w:val="single" w:color="auto"/>
          <w:color w:val="auto"/>
        </w:rPr>
        <w:t>SCHEDULE B- US</w:t>
      </w:r>
    </w:p>
    <w:p>
      <w:pPr>
        <w:spacing w:after="0" w:line="227" w:lineRule="exact"/>
        <w:rPr>
          <w:sz w:val="20"/>
          <w:szCs w:val="20"/>
          <w:color w:val="auto"/>
        </w:rPr>
      </w:pPr>
    </w:p>
    <w:p>
      <w:pPr>
        <w:jc w:val="center"/>
        <w:ind w:left="1040" w:right="100"/>
        <w:spacing w:after="0" w:line="272" w:lineRule="auto"/>
        <w:rPr>
          <w:sz w:val="20"/>
          <w:szCs w:val="20"/>
          <w:color w:val="auto"/>
        </w:rPr>
      </w:pPr>
      <w:r>
        <w:rPr>
          <w:rFonts w:ascii="Times New Roman" w:cs="Times New Roman" w:eastAsia="Times New Roman" w:hAnsi="Times New Roman"/>
          <w:sz w:val="20"/>
          <w:szCs w:val="20"/>
          <w:b w:val="1"/>
          <w:bCs w:val="1"/>
          <w:color w:val="auto"/>
        </w:rPr>
        <w:t>AGREEMENT OF RESTRICTIVE COVENANTS AND OTHER OBLIGATIONS FOR EMPLOYEES IN THE UNITED STATES</w:t>
      </w:r>
    </w:p>
    <w:p>
      <w:pPr>
        <w:spacing w:after="0" w:line="15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20"/>
          <w:szCs w:val="20"/>
          <w:color w:val="auto"/>
        </w:rPr>
        <w:t>This Agreement of Restrictive Covenants and Other Obligations for Employees in the United States (the “</w:t>
      </w:r>
      <w:r>
        <w:rPr>
          <w:rFonts w:ascii="Times New Roman" w:cs="Times New Roman" w:eastAsia="Times New Roman" w:hAnsi="Times New Roman"/>
          <w:sz w:val="20"/>
          <w:szCs w:val="20"/>
          <w:u w:val="single" w:color="auto"/>
          <w:color w:val="auto"/>
        </w:rPr>
        <w:t>RCA</w:t>
      </w:r>
      <w:r>
        <w:rPr>
          <w:rFonts w:ascii="Times New Roman" w:cs="Times New Roman" w:eastAsia="Times New Roman" w:hAnsi="Times New Roman"/>
          <w:sz w:val="20"/>
          <w:szCs w:val="20"/>
          <w:color w:val="auto"/>
        </w:rPr>
        <w:t>”) is entered into by and between Willis Towers Watson Public Limited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Colleague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to be effective as of the date the Colleague signs or electronically accepts this RCA.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Colleague is employed by a Subsidiary of the Company;</w:t>
      </w:r>
    </w:p>
    <w:p>
      <w:pPr>
        <w:spacing w:after="0" w:line="228"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approval by the Committee or the Company’s Share Award Committee, the Colleague has been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receive a grant of restricted share units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 under the Company’s 2012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any Award granted to the Colleague is subject to the terms and conditions of the Plan, the award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evidencing the Colleague’s Award (including any country-specific terms thereto), and this RCA, and in consideration of the Award, the Colleague shall enter into and acknowledge their agreement to the terms and conditions of the Plan, the award agreement and this RCA; and</w:t>
      </w:r>
    </w:p>
    <w:p>
      <w:pPr>
        <w:spacing w:after="0" w:line="166" w:lineRule="exact"/>
        <w:rPr>
          <w:sz w:val="20"/>
          <w:szCs w:val="20"/>
          <w:color w:val="auto"/>
        </w:rPr>
      </w:pPr>
    </w:p>
    <w:p>
      <w:pPr>
        <w:jc w:val="both"/>
        <w:ind w:right="20" w:firstLine="40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Colleague acknowledges and agrees that they desire to receive the Award and understands and agrees any Award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in the Plan, the applicable award agreement, and this RCA.</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promises contained herein and for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 particular the Award, the receipt and sufficiency of which is hereby acknowledged in this recital and within Section 6.4 below, the Parties hereto agree, with the intent to be bound, as follows:</w:t>
      </w:r>
    </w:p>
    <w:p>
      <w:pPr>
        <w:spacing w:after="0" w:line="17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u w:val="single" w:color="auto"/>
          <w:color w:val="auto"/>
        </w:rPr>
        <w:t>Section 1</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Recitals</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Recitals set forth above are an integral part of this RCA and are incorporated herein by reference.</w:t>
      </w:r>
    </w:p>
    <w:p>
      <w:pPr>
        <w:spacing w:after="0" w:line="215"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u w:val="single" w:color="auto"/>
          <w:color w:val="auto"/>
        </w:rPr>
        <w:t>Section 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Definitions</w:t>
      </w:r>
    </w:p>
    <w:p>
      <w:pPr>
        <w:spacing w:after="0" w:line="211"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have the meaning as set forth in the recitals.</w:t>
      </w:r>
    </w:p>
    <w:p>
      <w:pPr>
        <w:spacing w:after="0" w:line="188" w:lineRule="exact"/>
        <w:rPr>
          <w:sz w:val="20"/>
          <w:szCs w:val="20"/>
          <w:color w:val="auto"/>
        </w:rPr>
      </w:pPr>
    </w:p>
    <w:p>
      <w:pPr>
        <w:jc w:val="both"/>
        <w:ind w:left="1220" w:hanging="837"/>
        <w:spacing w:after="0" w:line="255" w:lineRule="auto"/>
        <w:tabs>
          <w:tab w:leader="none" w:pos="12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shall mean insurance brokerage, reinsurance brokerage, surety brokerage, bond brokerage, insurance agency, underwriting agency, managing general agency, risk management, claims administration, self-insurance, risk management consulting, or other business performed by the Restricted Group.</w:t>
      </w:r>
    </w:p>
    <w:p>
      <w:pPr>
        <w:spacing w:after="0" w:line="143"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same meaning as set forth in the Plan or the applicable award agreement.</w:t>
      </w:r>
    </w:p>
    <w:p>
      <w:pPr>
        <w:spacing w:after="0" w:line="188" w:lineRule="exact"/>
        <w:rPr>
          <w:sz w:val="20"/>
          <w:szCs w:val="20"/>
          <w:color w:val="auto"/>
        </w:rPr>
      </w:pPr>
    </w:p>
    <w:p>
      <w:pPr>
        <w:jc w:val="both"/>
        <w:ind w:left="1220" w:hanging="837"/>
        <w:spacing w:after="0" w:line="250" w:lineRule="auto"/>
        <w:tabs>
          <w:tab w:leader="none" w:pos="12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66" w:name="page67"/>
    <w:bookmarkEnd w:id="66"/>
    <w:p>
      <w:pPr>
        <w:jc w:val="both"/>
        <w:ind w:left="840" w:hanging="837"/>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the public domain, provided that Colleague was not responsible, directly or indirectly, for such information entering the public domain without the Restricted Group’s consent.</w:t>
      </w:r>
    </w:p>
    <w:p>
      <w:pPr>
        <w:spacing w:after="0" w:line="156" w:lineRule="exact"/>
        <w:rPr>
          <w:sz w:val="20"/>
          <w:szCs w:val="20"/>
          <w:color w:val="auto"/>
        </w:rPr>
      </w:pPr>
    </w:p>
    <w:p>
      <w:pPr>
        <w:jc w:val="both"/>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Directly or indirectly</w:t>
      </w:r>
      <w:r>
        <w:rPr>
          <w:rFonts w:ascii="Times New Roman" w:cs="Times New Roman" w:eastAsia="Times New Roman" w:hAnsi="Times New Roman"/>
          <w:sz w:val="20"/>
          <w:szCs w:val="20"/>
          <w:color w:val="auto"/>
        </w:rPr>
        <w:t>” shall mean the Colleague acting either alone or jointly with or on behalf of or by means of or in concert with any other person, firm, company (whether as principal, partner, manager, employee, contractor, director, consultant, investor, or similar capacity), or otherwise.</w:t>
      </w:r>
    </w:p>
    <w:p>
      <w:pPr>
        <w:spacing w:after="0" w:line="143"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shall mean the Subsidiary that employs the Colleague. If the Company ever becomes an employer of the Colleague, then the term Employer shall refer to the Company.</w:t>
      </w:r>
    </w:p>
    <w:p>
      <w:pPr>
        <w:spacing w:after="0" w:line="126"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shall mean the contractual terms and conditions which govern the employment of the Colleague by Employer.</w:t>
      </w:r>
    </w:p>
    <w:p>
      <w:pPr>
        <w:spacing w:after="0" w:line="126" w:lineRule="exact"/>
        <w:rPr>
          <w:sz w:val="20"/>
          <w:szCs w:val="20"/>
          <w:color w:val="auto"/>
        </w:rPr>
      </w:pPr>
    </w:p>
    <w:p>
      <w:pPr>
        <w:jc w:val="both"/>
        <w:ind w:left="84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shall mean any person who is at the date the Colleague ceases to be an employee of Employer or was (i) at any time during the period of twelve (12) months prior to that date employed by the Restricted Group, (ii) an employee with whom Colleague had dealings, and (iii) employed by or engaged in the Business in a managerial capacity, or was an employee with insurance, reinsurance or other technical expertise.</w:t>
      </w:r>
    </w:p>
    <w:p>
      <w:pPr>
        <w:spacing w:after="0" w:line="1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have the meaning set forth in the recitals.</w:t>
      </w:r>
    </w:p>
    <w:p>
      <w:pPr>
        <w:spacing w:after="0" w:line="188" w:lineRule="exact"/>
        <w:rPr>
          <w:sz w:val="20"/>
          <w:szCs w:val="20"/>
          <w:color w:val="auto"/>
        </w:rPr>
      </w:pPr>
    </w:p>
    <w:p>
      <w:pPr>
        <w:jc w:val="both"/>
        <w:ind w:left="840" w:hanging="837"/>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Area</w:t>
      </w:r>
      <w:r>
        <w:rPr>
          <w:rFonts w:ascii="Times New Roman" w:cs="Times New Roman" w:eastAsia="Times New Roman" w:hAnsi="Times New Roman"/>
          <w:sz w:val="20"/>
          <w:szCs w:val="20"/>
          <w:color w:val="auto"/>
        </w:rPr>
        <w:t>” shall mean the counties, parishes, districts, municipalities, cities, metropolitan regions, localities and similar geographic and political subdivisions, within and outside of the United States of America, in which the Employer, the Company or any of its Subsidiaries has carried on Business in which the Colleague has been involved or concerned or working on at any time during the period of twelve (12) months prior to the date on which the Colleague ceases to be employed by Employer.</w:t>
      </w:r>
    </w:p>
    <w:p>
      <w:pPr>
        <w:spacing w:after="0" w:line="151" w:lineRule="exact"/>
        <w:rPr>
          <w:sz w:val="20"/>
          <w:szCs w:val="20"/>
          <w:color w:val="auto"/>
        </w:rPr>
      </w:pPr>
    </w:p>
    <w:p>
      <w:pPr>
        <w:jc w:val="both"/>
        <w:ind w:left="840" w:hanging="837"/>
        <w:spacing w:after="0" w:line="245" w:lineRule="auto"/>
        <w:tabs>
          <w:tab w:leader="none" w:pos="8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Client</w:t>
      </w:r>
      <w:r>
        <w:rPr>
          <w:rFonts w:ascii="Times New Roman" w:cs="Times New Roman" w:eastAsia="Times New Roman" w:hAnsi="Times New Roman"/>
          <w:sz w:val="20"/>
          <w:szCs w:val="20"/>
          <w:color w:val="auto"/>
        </w:rPr>
        <w:t>” shall mean any person, firm, or company who or which, at any time during the period of twelve (12) months prior to the date on which the Colleague ceases to be employed by Employer, is or was a client or customer of the Employer, the Company or any of its Subsidiaries or was in the habit and/or practice of dealing under contract with the Employer, the Company or any of its Subsidiaries and with whom or which the Colleague had dealings related to the Business or for whose relationship with the Employer, the Company or any of its Subsidiaries the Colleague had responsibility at any time during the said period.</w:t>
      </w:r>
    </w:p>
    <w:p>
      <w:pPr>
        <w:spacing w:after="0" w:line="156"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shall mean the period of twenty-four (24) months following the date on which the Colleague ceases to be employed by Employer.</w:t>
      </w:r>
    </w:p>
    <w:p>
      <w:pPr>
        <w:spacing w:after="0" w:line="126" w:lineRule="exact"/>
        <w:rPr>
          <w:sz w:val="20"/>
          <w:szCs w:val="20"/>
          <w:color w:val="auto"/>
        </w:rPr>
      </w:pPr>
    </w:p>
    <w:p>
      <w:pPr>
        <w:jc w:val="both"/>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Prospect</w:t>
      </w:r>
      <w:r>
        <w:rPr>
          <w:rFonts w:ascii="Times New Roman" w:cs="Times New Roman" w:eastAsia="Times New Roman" w:hAnsi="Times New Roman"/>
          <w:sz w:val="20"/>
          <w:szCs w:val="20"/>
          <w:color w:val="auto"/>
        </w:rPr>
        <w:t>” shall mean any person, firm, or company who or which, at any time during the period of six (6) months prior to the date on which the Colleague ceases to be employed by Employer, was an active prospective client of the Employer, the Company or</w:t>
      </w:r>
    </w:p>
    <w:p>
      <w:pPr>
        <w:spacing w:after="0" w:line="1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626110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7" w:right="33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any of its Subsidiaries with whom or with which the Colleague had dealings related to the Business (other than in a minimal</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and non-material way).</w:t>
            </w:r>
          </w:p>
        </w:tc>
      </w:tr>
      <w:tr>
        <w:trPr>
          <w:trHeight w:val="389"/>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1.15.</w:t>
            </w: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Group</w:t>
            </w:r>
            <w:r>
              <w:rPr>
                <w:rFonts w:ascii="Times New Roman" w:cs="Times New Roman" w:eastAsia="Times New Roman" w:hAnsi="Times New Roman"/>
                <w:sz w:val="20"/>
                <w:szCs w:val="20"/>
                <w:color w:val="auto"/>
              </w:rPr>
              <w:t>” shall mean the Company and its Subsidiaries, including the Employer, as in existence during the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Colleague’s employment with Employer and as of the date such employment ceases.</w:t>
            </w:r>
          </w:p>
        </w:tc>
      </w:tr>
      <w:tr>
        <w:trPr>
          <w:trHeight w:val="389"/>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1.16.</w:t>
            </w: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 direct and/or indirect subsidiary of the Company as well as any associate company that is</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designated by the Company as being eligible for participation in the Plan.</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w:t>
            </w:r>
          </w:p>
        </w:tc>
        <w:tc>
          <w:tcPr>
            <w:tcW w:w="760" w:type="dxa"/>
            <w:vAlign w:val="bottom"/>
          </w:tcPr>
          <w:p>
            <w:pPr>
              <w:spacing w:after="0"/>
              <w:rPr>
                <w:sz w:val="24"/>
                <w:szCs w:val="24"/>
                <w:color w:val="auto"/>
              </w:rPr>
            </w:pPr>
          </w:p>
        </w:tc>
        <w:tc>
          <w:tcPr>
            <w:tcW w:w="952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 Restrictive Covenants and Other Obligations</w:t>
            </w:r>
          </w:p>
        </w:tc>
      </w:tr>
      <w:tr>
        <w:trPr>
          <w:trHeight w:val="20"/>
        </w:trPr>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43"/>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The Colleague acknowledges that, by virtue of their management position and as an employee of Employer, the Colleague has</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acquired and/or will acquire knowledge of Confidential Information of the Restricted Group and their Business. The Colleague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further acknowledges that the Confidential Information that the Restricted Group has provided and/or will provide to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Colleague will give the Colleague a significant advantage if the Colleague were to directly or indirectly be engaged in any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Business at a Competitor of the Restricted Group.</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Without the Company’s prior written consent, the Colleague shall not directly or indirectly, at any time during or after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Colleague’s employment with any Employer, disclose any Confidential Information and shall use the Colleague’s best efforts to</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prevent the taking or disclosure of any Confidential Information to a Competitor, or otherwise, except as reasonably may be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required to be disclosed by the Colleague in the ordinary performance of their duties for Employer or as required by law.</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Notwithstanding the foregoing, you understand that if you make a confidential disclosure of a trade secret of the Company or</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other Confidential Information to a government official or an attorney for the sole purpose of reporting a suspected violation of</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law, or in a court filing under seal, or otherwise engage in activities protected under whistleblower statutes, you shall not be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held liable under this Agreement or under any federal or state trade secret law for such a disclosure or engaging of such activity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and shall also not be required to notify the Company of any such disclosure or engaging of any such activity.</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The Colleague acknowledges and agrees that any post-employment efforts by the Colleague to solicit the business of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Restricted Group’s clients would necessarily require the use of the Restricted Group’s trade secrets regarding the Restricted</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Group and/or its clients that the Colleague accessed, received, or developed during employment.  For the protection of trade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secrets, the Restricted Group is entitled to reasonable protection against unfair exploitation, diversion, and misappropriation of</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its client relationships through misappropriation of the Restricted Group’s trade secrets that include, without limitation,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information obtained and compiled by the Restricted Group at its expense relating to clients and their needs, preferences,</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pricing, and related information.</w:t>
            </w:r>
          </w:p>
        </w:tc>
      </w:tr>
      <w:tr>
        <w:trPr>
          <w:trHeight w:val="418"/>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3.4.</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The Colleague shall not, for the Relevant Period, directly or indirectly for a Competitor or otherwise:</w:t>
            </w:r>
          </w:p>
        </w:tc>
      </w:tr>
      <w:tr>
        <w:trPr>
          <w:trHeight w:val="389"/>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3.4.1.</w:t>
            </w: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within the Relevant Area, solicit any Relevant Client or Relevant Prospect for the purposes of any Business that</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competes, will compete, or seeks to compete with the Restricted Group;</w:t>
            </w:r>
          </w:p>
        </w:tc>
      </w:tr>
      <w:tr>
        <w:trPr>
          <w:trHeight w:val="389"/>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3.4.2.</w:t>
            </w: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within the Relevant Area accept, perform services for, or deal with any Relevant Client or Relevant Prospect for the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purposes of any Business that competes, will compete, or seeks to compete with the Restricted Group;</w:t>
            </w:r>
          </w:p>
        </w:tc>
      </w:tr>
      <w:tr>
        <w:trPr>
          <w:trHeight w:val="418"/>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80" w:type="dxa"/>
            <w:vAlign w:val="bottom"/>
            <w:gridSpan w:val="2"/>
          </w:tcPr>
          <w:p>
            <w:pPr>
              <w:ind w:left="2520"/>
              <w:spacing w:after="0"/>
              <w:rPr>
                <w:sz w:val="20"/>
                <w:szCs w:val="20"/>
                <w:color w:val="auto"/>
              </w:rPr>
            </w:pPr>
            <w:r>
              <w:rPr>
                <w:rFonts w:ascii="Times New Roman" w:cs="Times New Roman" w:eastAsia="Times New Roman" w:hAnsi="Times New Roman"/>
                <w:sz w:val="20"/>
                <w:szCs w:val="20"/>
                <w:color w:val="auto"/>
              </w:rPr>
              <w:t>B-3</w:t>
            </w:r>
          </w:p>
        </w:tc>
      </w:tr>
      <w:tr>
        <w:trPr>
          <w:trHeight w:val="985"/>
        </w:trPr>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3.4.3.</w:t>
            </w:r>
          </w:p>
        </w:tc>
        <w:tc>
          <w:tcPr>
            <w:tcW w:w="9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solicit for employment or entice away from the Restricted Group any Key Personnel; or</w:t>
            </w:r>
          </w:p>
        </w:tc>
      </w:tr>
      <w:tr>
        <w:trPr>
          <w:trHeight w:val="418"/>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3.4.4.</w:t>
            </w:r>
          </w:p>
        </w:tc>
        <w:tc>
          <w:tcPr>
            <w:tcW w:w="9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employ or engage, or endeavour to employ or engage any Key Personnel.</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To the extent the Colleague is a party to an Employment Agreement or other agreement with the Employer, the Company or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any Subsidiary that contains post-employment covenants and restrictions, those post-employment covenants and restrictions</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shall be separate and apart and independent from the covenants and restrictions set forth in Section 3.2, Section 3.3 and Section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3.4 herein.</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The Colleague shall not directly or indirectly, at any time during or after the Colleague’s employment with any Employer, take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any action or make any statement, written or oral, that disparages or criticizes the business or management of the Employer, the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Company or any Subsidiary or any of its or their respective directors, officers, agents, employees, products or services. Nothing</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contained herein limits or restricts any rights Colleague may have to engage in protected concerted activity under the National</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Labor Relations Act.</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The Colleague recognizes and agrees that the payment of damages will not be an adequate remedy for any breach by the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Colleague of any of the covenants set forth in Section 3 of this RCA. Colleague recognizes that irreparable injury will result to</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Company and/or its Subsidiaries in the event of any such breach and therefore Colleague agrees that Company may, in addition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to recovering damages, proceed in equity to enjoin Colleague from violating any such covenant.</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The Colleague acknowledges that the provisions of this Section 3 are fair, reasonable and necessary to protect the goodwill and</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interests of the Restricted Group.</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w:t>
            </w:r>
          </w:p>
        </w:tc>
        <w:tc>
          <w:tcPr>
            <w:tcW w:w="780" w:type="dxa"/>
            <w:vAlign w:val="bottom"/>
          </w:tcPr>
          <w:p>
            <w:pPr>
              <w:spacing w:after="0"/>
              <w:rPr>
                <w:sz w:val="24"/>
                <w:szCs w:val="24"/>
                <w:color w:val="auto"/>
              </w:rPr>
            </w:pPr>
          </w:p>
        </w:tc>
        <w:tc>
          <w:tcPr>
            <w:tcW w:w="9520" w:type="dxa"/>
            <w:vAlign w:val="bottom"/>
            <w:gridSpan w:val="4"/>
          </w:tcPr>
          <w:p>
            <w:pPr>
              <w:ind w:left="1140"/>
              <w:spacing w:after="0"/>
              <w:rPr>
                <w:sz w:val="20"/>
                <w:szCs w:val="20"/>
                <w:color w:val="auto"/>
              </w:rPr>
            </w:pPr>
            <w:r>
              <w:rPr>
                <w:rFonts w:ascii="Times New Roman" w:cs="Times New Roman" w:eastAsia="Times New Roman" w:hAnsi="Times New Roman"/>
                <w:sz w:val="20"/>
                <w:szCs w:val="20"/>
                <w:color w:val="auto"/>
              </w:rPr>
              <w:t>- Governing Law &amp; Jurisdiction</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43"/>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This RCA shall be governed by and construed in accordance with the laws of the state of New York, without regard to its</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conflicts of law principles.</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Any suit, action or proceeding arising out of or relating to this RCA shall only be brought in the State and Federal Courts</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located in the County of New York, State of New York and the Parties hereto irrevocably and unconditionally submit</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accordingly to the exclusive jurisdiction of such courts for the purpose of any such suit, action or proceeding. The Colleague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hereby irrevocably and unconditionally waives any objections they may now have or hereafter have to the laying of the venue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of any suit, action or proceeding arising out of or relating to this RCA in the foregoing courts.  The Colleague further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acknowledges that for purposes of N.Y.C.P.L.R. 327(b) and N.Y. G.O.L. Section 5-1402, the value of the Plan is in excess of</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One Million Dollars ($1,000,000) and the Colleague hereby further irrevocably and unconditionally waives any claim that any</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such suit, action or proceeding brought in the foregoing courts has been brought in an inconvenient forum.</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w:t>
            </w:r>
          </w:p>
        </w:tc>
        <w:tc>
          <w:tcPr>
            <w:tcW w:w="780" w:type="dxa"/>
            <w:vAlign w:val="bottom"/>
          </w:tcPr>
          <w:p>
            <w:pPr>
              <w:spacing w:after="0"/>
              <w:rPr>
                <w:sz w:val="24"/>
                <w:szCs w:val="24"/>
                <w:color w:val="auto"/>
              </w:rPr>
            </w:pPr>
          </w:p>
        </w:tc>
        <w:tc>
          <w:tcPr>
            <w:tcW w:w="9520" w:type="dxa"/>
            <w:vAlign w:val="bottom"/>
            <w:gridSpan w:val="4"/>
          </w:tcPr>
          <w:p>
            <w:pPr>
              <w:ind w:left="1140"/>
              <w:spacing w:after="0"/>
              <w:rPr>
                <w:sz w:val="20"/>
                <w:szCs w:val="20"/>
                <w:color w:val="auto"/>
              </w:rPr>
            </w:pPr>
            <w:r>
              <w:rPr>
                <w:rFonts w:ascii="Times New Roman" w:cs="Times New Roman" w:eastAsia="Times New Roman" w:hAnsi="Times New Roman"/>
                <w:sz w:val="20"/>
                <w:szCs w:val="20"/>
                <w:color w:val="auto"/>
              </w:rPr>
              <w:t>- Consideration, Severability, Beneficiaries &amp; Effect on other agreements</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4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43"/>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The Parties acknowledge that the provisions of this RCA are severable.  If any part or provision of this RCA shall be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determined by any court or tribunal to be invalid, then such partial invalidity shall not cause the remainder of this RCA to be or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become invalid. If any provision hereof is held unenforceable on the basis that it exceeds what is reasonable for the protection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of the goodwill and interests of the Restricted Group, but would be valid if part of the wording</w:t>
            </w:r>
          </w:p>
        </w:tc>
      </w:tr>
      <w:tr>
        <w:trPr>
          <w:trHeight w:val="418"/>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B-4</w:t>
            </w:r>
          </w:p>
        </w:tc>
      </w:tr>
      <w:tr>
        <w:trPr>
          <w:trHeight w:val="985"/>
        </w:trPr>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were modified or deleted, as permitted by applicable law, then such restriction or obligation shall apply with such deletions or</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modifications as may be necessary to make it enforceable.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22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The Colleague acknowledges that they remain bound by any Employment Agreement or any other agreement currently in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effect by and between the Colleague, on the one hand, and the Employer, the Company or any Subsidiary, on the other hand,</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including but not limited to any post-employment covenants and restrictions, and this RCA shall be in addition to, and not in</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place of any such agreements.</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Nothing contained in this RCA constitutes a promise or agreement to employ the Colleague for a guaranteed term or otherwise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modify the terms and conditions of the Colleague’s employment with the Employer.</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w:t>
            </w:r>
          </w:p>
        </w:tc>
        <w:tc>
          <w:tcPr>
            <w:tcW w:w="1028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 Miscellaneous</w:t>
            </w:r>
          </w:p>
        </w:tc>
      </w:tr>
      <w:tr>
        <w:trPr>
          <w:trHeight w:val="20"/>
        </w:trPr>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43"/>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and the provisions hereof, may not be modified, amended, terminated, or limited in any fashion except by written</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signed by both parties hereto, which specifically states that it is modifying, amending, or terminating this RCA.</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rights and remedies of the Restricted Group under this RCA shall inure to the benefit of any and all of its/their successors,</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assigns, parent companies, sister companies, subsidiaries, and other affiliated corporations, and the successors and assigns of</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each of them.</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waiver by either party of any breach of this RCA shall not operate or be construed as a waiver of that party’s rights on any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subsequent breach.</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Colleague acknowledges that the Award constitutes adequate consideration to support the covenants and promises made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by the Colleague within this RCA, regardless of whether such Award is ultimately beneficial to the Colleague.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Colleague acknowledges and agrees that the Colleague shall be obliged to draw the provisions of Section 3 of this RCA to</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attention of any third party who may, at any time before or after the termination of the Colleague’s employment with</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Employer, offer to employ or engage them and for or with whom Colleague intends to work within the Relevant Period.</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9"/>
              </w:rPr>
              <w:t>The various section headings contained in this RCA are for the purpose of convenience only and are not intended to define or</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limit the contents of such sections.</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may be executed in one or more counterparts, each of which shall constitute an original and all of which, taken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9"/>
              </w:rPr>
              <w:t>together, shall constitute one and the same document. This RCA will be binding, notwithstanding that either party’s signature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is displayed only on a facsimile or electronic copy of the signature page.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Any provisions which by their nature survive termination of this RCA, including the obligations set forth in Section 3 and</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Section 4, shall survive termination of this RCA.</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has been executed on behalf of the Company electronically and the Colleague accepts the electronic signature of</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Company.</w:t>
            </w:r>
          </w:p>
        </w:tc>
      </w:tr>
      <w:tr>
        <w:trPr>
          <w:trHeight w:val="389"/>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Colleague understands that they have the right to consult with an attorney prior to signing this RCA.</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100" w:type="dxa"/>
            <w:vAlign w:val="bottom"/>
          </w:tcPr>
          <w:p>
            <w:pPr>
              <w:ind w:left="1340"/>
              <w:spacing w:after="0"/>
              <w:rPr>
                <w:sz w:val="20"/>
                <w:szCs w:val="20"/>
                <w:color w:val="auto"/>
              </w:rPr>
            </w:pPr>
            <w:r>
              <w:rPr>
                <w:rFonts w:ascii="Times New Roman" w:cs="Times New Roman" w:eastAsia="Times New Roman" w:hAnsi="Times New Roman"/>
                <w:sz w:val="20"/>
                <w:szCs w:val="20"/>
                <w:color w:val="auto"/>
              </w:rPr>
              <w:t>B-5</w:t>
            </w:r>
          </w:p>
        </w:tc>
      </w:tr>
      <w:tr>
        <w:trPr>
          <w:trHeight w:val="985"/>
        </w:trPr>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0" w:right="339" w:bottom="1440" w:gutter="0" w:footer="0" w:header="0"/>
        </w:sectPr>
      </w:pPr>
    </w:p>
    <w:bookmarkStart w:id="70" w:name="page71"/>
    <w:bookmarkEnd w:id="70"/>
    <w:p>
      <w:pPr>
        <w:spacing w:after="0" w:line="18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7</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U.S. State-Specific Terms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herein to the contrary, if the Colleague primarily resides or works in any of the U.S. states below, or transfers employment and/or residency after the Grant Date to one of the U.S. states below, then the following terms shall apply to the restrictions in Section 3.4.2 (the “Restrictive Covenant”) of this RCA after the date on which the Colleague ceases to be employed by Employer for as long as the Colleague continues to work or reside in such state.</w:t>
      </w:r>
    </w:p>
    <w:p>
      <w:pPr>
        <w:spacing w:after="0" w:line="178"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7.1.</w:t>
      </w:r>
      <w:r>
        <w:rPr>
          <w:sz w:val="20"/>
          <w:szCs w:val="20"/>
          <w:color w:val="auto"/>
        </w:rPr>
        <w:tab/>
      </w:r>
      <w:r>
        <w:rPr>
          <w:rFonts w:ascii="Times New Roman" w:cs="Times New Roman" w:eastAsia="Times New Roman" w:hAnsi="Times New Roman"/>
          <w:sz w:val="19"/>
          <w:szCs w:val="19"/>
          <w:u w:val="single" w:color="auto"/>
          <w:color w:val="auto"/>
        </w:rPr>
        <w:t>Notice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Colleagues who primarily reside or work in the states below, the following notice requirements shall apply:</w:t>
      </w:r>
    </w:p>
    <w:p>
      <w:pPr>
        <w:spacing w:after="0" w:line="215"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u w:val="single" w:color="auto"/>
          <w:color w:val="auto"/>
        </w:rPr>
        <w:t>Colorado</w:t>
      </w:r>
      <w:r>
        <w:rPr>
          <w:rFonts w:ascii="Times New Roman" w:cs="Times New Roman" w:eastAsia="Times New Roman" w:hAnsi="Times New Roman"/>
          <w:sz w:val="20"/>
          <w:szCs w:val="20"/>
          <w:color w:val="auto"/>
        </w:rPr>
        <w:t>. The Colleague acknowledges that the Colleague was provided with a separate notice of the RCA and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Restrictive Covenant at least 14 days before the earlier of (1) the effective date of the RCA or (2) the Grant Date.</w:t>
      </w:r>
    </w:p>
    <w:p>
      <w:pPr>
        <w:spacing w:after="0" w:line="161"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20"/>
          <w:szCs w:val="20"/>
          <w:u w:val="single" w:color="auto"/>
          <w:color w:val="auto"/>
        </w:rPr>
        <w:t>District of Columbia</w:t>
      </w:r>
      <w:r>
        <w:rPr>
          <w:rFonts w:ascii="Times New Roman" w:cs="Times New Roman" w:eastAsia="Times New Roman" w:hAnsi="Times New Roman"/>
          <w:sz w:val="20"/>
          <w:szCs w:val="20"/>
          <w:color w:val="auto"/>
        </w:rPr>
        <w:t>. The Colleague acknowledges that the Colleague was provided with this notice (i) 14 days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before commencing employment (if a new employee) or (ii) 14 days before the execution of this Agreement and RCA (if an existing employee).</w:t>
      </w:r>
    </w:p>
    <w:p>
      <w:pPr>
        <w:spacing w:after="0" w:line="176" w:lineRule="exact"/>
        <w:rPr>
          <w:sz w:val="20"/>
          <w:szCs w:val="20"/>
          <w:color w:val="auto"/>
        </w:rPr>
      </w:pPr>
    </w:p>
    <w:p>
      <w:pPr>
        <w:jc w:val="both"/>
        <w:ind w:left="1880" w:hanging="748"/>
        <w:spacing w:after="0" w:line="246" w:lineRule="auto"/>
        <w:tabs>
          <w:tab w:leader="none" w:pos="186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20"/>
          <w:szCs w:val="20"/>
          <w:u w:val="single" w:color="auto"/>
          <w:color w:val="auto"/>
        </w:rPr>
        <w:t>Illinois</w:t>
      </w:r>
      <w:r>
        <w:rPr>
          <w:rFonts w:ascii="Times New Roman" w:cs="Times New Roman" w:eastAsia="Times New Roman" w:hAnsi="Times New Roman"/>
          <w:sz w:val="20"/>
          <w:szCs w:val="20"/>
          <w:color w:val="auto"/>
        </w:rPr>
        <w:t>. The Colleague acknowledges that (i) Employer has advised the Colleague to consult with an attorney before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entering into the RCA, and (ii) the Colleague received a copy of the RCA at least 14 calendar days before the commencement of the Colleague’s employment or 14 calendar days to review the covenant. The Colleague further acknowledges that the Employer is in compliance with this Section even if the Colleague voluntarily elects to sign the RCA before the expiration of the 14-day period.</w:t>
      </w:r>
    </w:p>
    <w:p>
      <w:pPr>
        <w:spacing w:after="0" w:line="183"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20"/>
          <w:szCs w:val="20"/>
          <w:u w:val="single" w:color="auto"/>
          <w:color w:val="auto"/>
        </w:rPr>
        <w:t>Maine</w:t>
      </w:r>
      <w:r>
        <w:rPr>
          <w:rFonts w:ascii="Times New Roman" w:cs="Times New Roman" w:eastAsia="Times New Roman" w:hAnsi="Times New Roman"/>
          <w:sz w:val="20"/>
          <w:szCs w:val="20"/>
          <w:color w:val="auto"/>
        </w:rPr>
        <w:t>. The Colleague acknowledges that the Employer has notified the Colleague of the RCA requirement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provided a copy of the RCA not less than 3 business days before Employer required the RCA to be signed.</w:t>
      </w:r>
    </w:p>
    <w:p>
      <w:pPr>
        <w:spacing w:after="0" w:line="161"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Colleague acknowledges that the Colleague (a) was provided with this notice at least 10 days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before the effective date of the RCA, and (b) that the Employer has advised the Colleague that the Colleague has the right to consult with an attorney of his or her choosing before executing this RCA.</w:t>
      </w:r>
    </w:p>
    <w:p>
      <w:pPr>
        <w:spacing w:after="0" w:line="176" w:lineRule="exact"/>
        <w:rPr>
          <w:sz w:val="20"/>
          <w:szCs w:val="20"/>
          <w:color w:val="auto"/>
        </w:rPr>
      </w:pPr>
    </w:p>
    <w:p>
      <w:pPr>
        <w:jc w:val="both"/>
        <w:ind w:left="1880" w:right="2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20"/>
          <w:szCs w:val="20"/>
          <w:u w:val="single" w:color="auto"/>
          <w:color w:val="auto"/>
        </w:rPr>
        <w:t>New Hampshire</w:t>
      </w:r>
      <w:r>
        <w:rPr>
          <w:rFonts w:ascii="Times New Roman" w:cs="Times New Roman" w:eastAsia="Times New Roman" w:hAnsi="Times New Roman"/>
          <w:sz w:val="20"/>
          <w:szCs w:val="20"/>
          <w:color w:val="auto"/>
        </w:rPr>
        <w:t>. The Colleague acknowledges that the Colleague was provided with this notice before the effective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date of the RCA.</w:t>
      </w:r>
    </w:p>
    <w:p>
      <w:pPr>
        <w:spacing w:after="0" w:line="161"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 acknowledges that this notice was provided to the Colleague at least two (2) weeks before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effective date of the RCA.</w:t>
      </w:r>
    </w:p>
    <w:p>
      <w:pPr>
        <w:spacing w:after="0" w:line="16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7.2.</w:t>
      </w:r>
      <w:r>
        <w:rPr>
          <w:sz w:val="20"/>
          <w:szCs w:val="20"/>
          <w:color w:val="auto"/>
        </w:rPr>
        <w:tab/>
      </w:r>
      <w:r>
        <w:rPr>
          <w:rFonts w:ascii="Times New Roman" w:cs="Times New Roman" w:eastAsia="Times New Roman" w:hAnsi="Times New Roman"/>
          <w:sz w:val="19"/>
          <w:szCs w:val="19"/>
          <w:u w:val="single" w:color="auto"/>
          <w:color w:val="auto"/>
        </w:rPr>
        <w:t>Relevant Period</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Relevant Period for the Restrictive Covenant shall be as described below.</w:t>
      </w:r>
    </w:p>
    <w:p>
      <w:pPr>
        <w:spacing w:after="0" w:line="161" w:lineRule="exact"/>
        <w:rPr>
          <w:sz w:val="20"/>
          <w:szCs w:val="20"/>
          <w:color w:val="auto"/>
        </w:rPr>
      </w:pPr>
    </w:p>
    <w:p>
      <w:pPr>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20"/>
          <w:szCs w:val="20"/>
          <w:u w:val="single" w:color="auto"/>
          <w:color w:val="auto"/>
        </w:rPr>
        <w:t>District of Colombia</w:t>
      </w:r>
      <w:r>
        <w:rPr>
          <w:rFonts w:ascii="Times New Roman" w:cs="Times New Roman" w:eastAsia="Times New Roman" w:hAnsi="Times New Roman"/>
          <w:sz w:val="20"/>
          <w:szCs w:val="20"/>
          <w:color w:val="auto"/>
        </w:rPr>
        <w:t>. The Relevant Period shall mean the period of twelve (12) months following the date on which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Colleague ceases to be employed by Employer.</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188" w:lineRule="exact"/>
        <w:rPr>
          <w:sz w:val="20"/>
          <w:szCs w:val="20"/>
          <w:color w:val="auto"/>
        </w:rPr>
      </w:pPr>
    </w:p>
    <w:p>
      <w:pPr>
        <w:jc w:val="both"/>
        <w:ind w:left="1500" w:hanging="748"/>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Relevant Period shall mean the period of twelve (12)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 unless the Colleague has breached his or her fiduciary duty to the Company Group or the Colleague has unlawfully taken, physically or electronically, property belonging to the Company Group.</w:t>
      </w:r>
    </w:p>
    <w:p>
      <w:pPr>
        <w:spacing w:after="0" w:line="178"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7.2.3</w:t>
      </w:r>
      <w:r>
        <w:rPr>
          <w:sz w:val="20"/>
          <w:szCs w:val="20"/>
          <w:color w:val="auto"/>
        </w:rPr>
        <w:tab/>
      </w:r>
      <w:r>
        <w:rPr>
          <w:rFonts w:ascii="Times New Roman" w:cs="Times New Roman" w:eastAsia="Times New Roman" w:hAnsi="Times New Roman"/>
          <w:sz w:val="20"/>
          <w:szCs w:val="20"/>
          <w:u w:val="single" w:color="auto"/>
          <w:color w:val="auto"/>
        </w:rPr>
        <w:t>Montana</w:t>
      </w:r>
      <w:r>
        <w:rPr>
          <w:rFonts w:ascii="Times New Roman" w:cs="Times New Roman" w:eastAsia="Times New Roman" w:hAnsi="Times New Roman"/>
          <w:sz w:val="20"/>
          <w:szCs w:val="20"/>
          <w:color w:val="auto"/>
        </w:rPr>
        <w:t>. The Relevant Period shall mean the period of twelve (12)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7.2.4</w:t>
      </w:r>
      <w:r>
        <w:rPr>
          <w:sz w:val="20"/>
          <w:szCs w:val="20"/>
          <w:color w:val="auto"/>
        </w:rPr>
        <w:tab/>
      </w:r>
      <w:r>
        <w:rPr>
          <w:rFonts w:ascii="Times New Roman" w:cs="Times New Roman" w:eastAsia="Times New Roman" w:hAnsi="Times New Roman"/>
          <w:sz w:val="20"/>
          <w:szCs w:val="20"/>
          <w:u w:val="single" w:color="auto"/>
          <w:color w:val="auto"/>
        </w:rPr>
        <w:t>Utah</w:t>
      </w:r>
      <w:r>
        <w:rPr>
          <w:rFonts w:ascii="Times New Roman" w:cs="Times New Roman" w:eastAsia="Times New Roman" w:hAnsi="Times New Roman"/>
          <w:sz w:val="20"/>
          <w:szCs w:val="20"/>
          <w:color w:val="auto"/>
        </w:rPr>
        <w:t>. The Relevant Period shall mean the period of twelve (12) months following the date on which the Colleague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ceases to be employed by Employer.</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7.2.5</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The Relevant Period shall mean the period of eighteen (18)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w:t>
      </w:r>
    </w:p>
    <w:p>
      <w:pPr>
        <w:spacing w:after="0" w:line="1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u w:val="single" w:color="auto"/>
          <w:color w:val="auto"/>
        </w:rPr>
        <w:t>7.3.</w:t>
      </w:r>
      <w:r>
        <w:rPr>
          <w:sz w:val="20"/>
          <w:szCs w:val="20"/>
          <w:color w:val="auto"/>
        </w:rPr>
        <w:tab/>
      </w:r>
      <w:r>
        <w:rPr>
          <w:rFonts w:ascii="Times New Roman" w:cs="Times New Roman" w:eastAsia="Times New Roman" w:hAnsi="Times New Roman"/>
          <w:sz w:val="19"/>
          <w:szCs w:val="19"/>
          <w:u w:val="single" w:color="auto"/>
          <w:color w:val="auto"/>
        </w:rPr>
        <w:t>Salary Requirements</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Restrictive Covenant shall only apply to Colleagues who meet the following salary qualifications:</w:t>
      </w:r>
    </w:p>
    <w:p>
      <w:pPr>
        <w:spacing w:after="0" w:line="161" w:lineRule="exact"/>
        <w:rPr>
          <w:sz w:val="20"/>
          <w:szCs w:val="20"/>
          <w:color w:val="auto"/>
        </w:rPr>
      </w:pPr>
    </w:p>
    <w:p>
      <w:pPr>
        <w:jc w:val="both"/>
        <w:ind w:left="1500" w:hanging="748"/>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7.3.1</w:t>
      </w:r>
      <w:r>
        <w:rPr>
          <w:sz w:val="20"/>
          <w:szCs w:val="20"/>
          <w:color w:val="auto"/>
        </w:rPr>
        <w:tab/>
      </w:r>
      <w:r>
        <w:rPr>
          <w:rFonts w:ascii="Times New Roman" w:cs="Times New Roman" w:eastAsia="Times New Roman" w:hAnsi="Times New Roman"/>
          <w:sz w:val="20"/>
          <w:szCs w:val="20"/>
          <w:u w:val="single" w:color="auto"/>
          <w:color w:val="auto"/>
        </w:rPr>
        <w:t>District of Colombia</w:t>
      </w:r>
      <w:r>
        <w:rPr>
          <w:rFonts w:ascii="Times New Roman" w:cs="Times New Roman" w:eastAsia="Times New Roman" w:hAnsi="Times New Roman"/>
          <w:sz w:val="20"/>
          <w:szCs w:val="20"/>
          <w:color w:val="auto"/>
        </w:rPr>
        <w:t>. The Colleague is (i) reasonably expected to earn from the Employer in a consecutive 12-month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period compensation greater than or equal to the minimum qualifying annual compensation, or (ii) the Colleague’s compensation earned from the Employer in the consecutive 12-month period preceding the start of the Relevant Period is greater than or equal to the minimum qualifying annual compensation, as defined by the Ban on Non-Compete Agreements Amendment Act (BNAAA) DC ST § 32-581.01(10) and (13), and adjusted in accordance with the BNAAA.</w:t>
      </w:r>
    </w:p>
    <w:p>
      <w:pPr>
        <w:spacing w:after="0" w:line="183"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7.3.2</w:t>
      </w:r>
      <w:r>
        <w:rPr>
          <w:sz w:val="20"/>
          <w:szCs w:val="20"/>
          <w:color w:val="auto"/>
        </w:rPr>
        <w:tab/>
      </w:r>
      <w:r>
        <w:rPr>
          <w:rFonts w:ascii="Times New Roman" w:cs="Times New Roman" w:eastAsia="Times New Roman" w:hAnsi="Times New Roman"/>
          <w:sz w:val="20"/>
          <w:szCs w:val="20"/>
          <w:u w:val="single" w:color="auto"/>
          <w:color w:val="auto"/>
        </w:rPr>
        <w:t>Illinois</w:t>
      </w:r>
      <w:r>
        <w:rPr>
          <w:rFonts w:ascii="Times New Roman" w:cs="Times New Roman" w:eastAsia="Times New Roman" w:hAnsi="Times New Roman"/>
          <w:sz w:val="20"/>
          <w:szCs w:val="20"/>
          <w:color w:val="auto"/>
        </w:rPr>
        <w:t>. The Colleague’s actual or expected annualized rate of earnings exceeds the statutory amount set in the Illinois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Freedom to Work Act (IFWA) 820 ILCS 90/10, as adjusted in accordance with the IFWA.</w:t>
      </w:r>
    </w:p>
    <w:p>
      <w:pPr>
        <w:spacing w:after="0" w:line="16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7.3.3</w:t>
      </w:r>
      <w:r>
        <w:rPr>
          <w:sz w:val="20"/>
          <w:szCs w:val="20"/>
          <w:color w:val="auto"/>
        </w:rPr>
        <w:tab/>
      </w:r>
      <w:r>
        <w:rPr>
          <w:rFonts w:ascii="Times New Roman" w:cs="Times New Roman" w:eastAsia="Times New Roman" w:hAnsi="Times New Roman"/>
          <w:sz w:val="19"/>
          <w:szCs w:val="19"/>
          <w:u w:val="single" w:color="auto"/>
          <w:color w:val="auto"/>
        </w:rPr>
        <w:t>Maine</w:t>
      </w:r>
      <w:r>
        <w:rPr>
          <w:rFonts w:ascii="Times New Roman" w:cs="Times New Roman" w:eastAsia="Times New Roman" w:hAnsi="Times New Roman"/>
          <w:sz w:val="19"/>
          <w:szCs w:val="19"/>
          <w:color w:val="auto"/>
        </w:rPr>
        <w:t>. The Colleague earns wages equal to, or greater than, 400% of the federal poverty level.</w:t>
      </w:r>
    </w:p>
    <w:p>
      <w:pPr>
        <w:spacing w:after="0" w:line="21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7.3.4</w:t>
      </w:r>
      <w:r>
        <w:rPr>
          <w:sz w:val="20"/>
          <w:szCs w:val="20"/>
          <w:color w:val="auto"/>
        </w:rPr>
        <w:tab/>
      </w:r>
      <w:r>
        <w:rPr>
          <w:rFonts w:ascii="Times New Roman" w:cs="Times New Roman" w:eastAsia="Times New Roman" w:hAnsi="Times New Roman"/>
          <w:sz w:val="19"/>
          <w:szCs w:val="19"/>
          <w:u w:val="single" w:color="auto"/>
          <w:color w:val="auto"/>
        </w:rPr>
        <w:t>Maryland</w:t>
      </w:r>
      <w:r>
        <w:rPr>
          <w:rFonts w:ascii="Times New Roman" w:cs="Times New Roman" w:eastAsia="Times New Roman" w:hAnsi="Times New Roman"/>
          <w:sz w:val="19"/>
          <w:szCs w:val="19"/>
          <w:color w:val="auto"/>
        </w:rPr>
        <w:t>. The Colleague earns at least 150% of the Maryland minimum wage rate.</w:t>
      </w:r>
    </w:p>
    <w:p>
      <w:pPr>
        <w:spacing w:after="0" w:line="21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7.3.5</w:t>
      </w:r>
      <w:r>
        <w:rPr>
          <w:sz w:val="20"/>
          <w:szCs w:val="20"/>
          <w:color w:val="auto"/>
        </w:rPr>
        <w:tab/>
      </w:r>
      <w:r>
        <w:rPr>
          <w:rFonts w:ascii="Times New Roman" w:cs="Times New Roman" w:eastAsia="Times New Roman" w:hAnsi="Times New Roman"/>
          <w:sz w:val="19"/>
          <w:szCs w:val="19"/>
          <w:u w:val="single" w:color="auto"/>
          <w:color w:val="auto"/>
        </w:rPr>
        <w:t>New Hampshire</w:t>
      </w:r>
      <w:r>
        <w:rPr>
          <w:rFonts w:ascii="Times New Roman" w:cs="Times New Roman" w:eastAsia="Times New Roman" w:hAnsi="Times New Roman"/>
          <w:sz w:val="19"/>
          <w:szCs w:val="19"/>
          <w:color w:val="auto"/>
        </w:rPr>
        <w:t>. The Colleague earns an hourly rate that exceeds 200% of the federal minimum wage.</w:t>
      </w:r>
    </w:p>
    <w:p>
      <w:pPr>
        <w:spacing w:after="0" w:line="215"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7.3.6</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Colleague’s total annual compensation (including commissions) at termination exceeds a minimum</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amount set under Section 653.295 of the Oregon Revised Statutes (ORS), as adjusted in accordance with the ORS.</w:t>
      </w:r>
    </w:p>
    <w:p>
      <w:pPr>
        <w:spacing w:after="0" w:line="161" w:lineRule="exact"/>
        <w:rPr>
          <w:sz w:val="20"/>
          <w:szCs w:val="20"/>
          <w:color w:val="auto"/>
        </w:rPr>
      </w:pPr>
    </w:p>
    <w:p>
      <w:pPr>
        <w:jc w:val="both"/>
        <w:ind w:left="1500" w:hanging="748"/>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7.3.7</w:t>
      </w:r>
      <w:r>
        <w:rPr>
          <w:sz w:val="20"/>
          <w:szCs w:val="20"/>
          <w:color w:val="auto"/>
        </w:rPr>
        <w:tab/>
      </w:r>
      <w:r>
        <w:rPr>
          <w:rFonts w:ascii="Times New Roman" w:cs="Times New Roman" w:eastAsia="Times New Roman" w:hAnsi="Times New Roman"/>
          <w:sz w:val="19"/>
          <w:szCs w:val="19"/>
          <w:u w:val="single" w:color="auto"/>
          <w:color w:val="auto"/>
        </w:rPr>
        <w:t>Rhode Island</w:t>
      </w:r>
      <w:r>
        <w:rPr>
          <w:rFonts w:ascii="Times New Roman" w:cs="Times New Roman" w:eastAsia="Times New Roman" w:hAnsi="Times New Roman"/>
          <w:sz w:val="19"/>
          <w:szCs w:val="19"/>
          <w:color w:val="auto"/>
        </w:rPr>
        <w:t>. The Colleague’s average annual earnings (as defined under the Rhode Island Noncompetition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Agreement Act (RINAA) Gen.Laws 1956, § 28-59-2(2)) are more than 250% of the federal poverty level for individuals as established by the United States Department of Health and Human Services federal poverty guidelines.</w:t>
      </w:r>
    </w:p>
    <w:p>
      <w:pPr>
        <w:spacing w:after="0" w:line="158" w:lineRule="exact"/>
        <w:rPr>
          <w:sz w:val="20"/>
          <w:szCs w:val="20"/>
          <w:color w:val="auto"/>
        </w:rPr>
      </w:pPr>
    </w:p>
    <w:p>
      <w:pPr>
        <w:jc w:val="both"/>
        <w:ind w:left="1500" w:right="2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7.3.8</w:t>
      </w:r>
      <w:r>
        <w:rPr>
          <w:sz w:val="20"/>
          <w:szCs w:val="20"/>
          <w:color w:val="auto"/>
        </w:rPr>
        <w:tab/>
      </w:r>
      <w:r>
        <w:rPr>
          <w:rFonts w:ascii="Times New Roman" w:cs="Times New Roman" w:eastAsia="Times New Roman" w:hAnsi="Times New Roman"/>
          <w:sz w:val="20"/>
          <w:szCs w:val="20"/>
          <w:u w:val="single" w:color="auto"/>
          <w:color w:val="auto"/>
        </w:rPr>
        <w:t>Virginia</w:t>
      </w:r>
      <w:r>
        <w:rPr>
          <w:rFonts w:ascii="Times New Roman" w:cs="Times New Roman" w:eastAsia="Times New Roman" w:hAnsi="Times New Roman"/>
          <w:sz w:val="20"/>
          <w:szCs w:val="20"/>
          <w:color w:val="auto"/>
        </w:rPr>
        <w:t>. The Colleague is not considered a “low wage employee”, as defined under Section 40.1-28.7:8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Virginia Code.</w:t>
      </w:r>
    </w:p>
    <w:p>
      <w:pPr>
        <w:spacing w:after="0" w:line="16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626110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72" w:name="page73"/>
    <w:bookmarkEnd w:id="72"/>
    <w:p>
      <w:pPr>
        <w:spacing w:after="0" w:line="187"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7.3.9</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The Colleague’s annualized earnings exceed the statutory threshold as described by the Revised Code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Washington (RCW) 49.62.040, as adjusted in accordance with the RCW.</w:t>
      </w:r>
    </w:p>
    <w:p>
      <w:pPr>
        <w:spacing w:after="0" w:line="16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7.4.</w:t>
      </w:r>
      <w:r>
        <w:rPr>
          <w:sz w:val="20"/>
          <w:szCs w:val="20"/>
          <w:color w:val="auto"/>
        </w:rPr>
        <w:tab/>
      </w:r>
      <w:r>
        <w:rPr>
          <w:rFonts w:ascii="Times New Roman" w:cs="Times New Roman" w:eastAsia="Times New Roman" w:hAnsi="Times New Roman"/>
          <w:sz w:val="19"/>
          <w:szCs w:val="19"/>
          <w:u w:val="single" w:color="auto"/>
          <w:color w:val="auto"/>
        </w:rPr>
        <w:t>Employee Qualifications</w:t>
      </w:r>
    </w:p>
    <w:p>
      <w:pPr>
        <w:spacing w:after="0" w:line="215"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Restrictive Covenant shall only apply to Colleagues who meet the following qualifications:</w:t>
      </w:r>
    </w:p>
    <w:p>
      <w:pPr>
        <w:spacing w:after="0" w:line="161" w:lineRule="exact"/>
        <w:rPr>
          <w:sz w:val="20"/>
          <w:szCs w:val="20"/>
          <w:color w:val="auto"/>
        </w:rPr>
      </w:pPr>
    </w:p>
    <w:p>
      <w:pPr>
        <w:jc w:val="both"/>
        <w:ind w:left="1880" w:hanging="748"/>
        <w:spacing w:after="0" w:line="245" w:lineRule="auto"/>
        <w:tabs>
          <w:tab w:leader="none" w:pos="1860" w:val="left"/>
        </w:tabs>
        <w:rPr>
          <w:sz w:val="20"/>
          <w:szCs w:val="20"/>
          <w:color w:val="auto"/>
        </w:rPr>
      </w:pPr>
      <w:r>
        <w:rPr>
          <w:rFonts w:ascii="Times New Roman" w:cs="Times New Roman" w:eastAsia="Times New Roman" w:hAnsi="Times New Roman"/>
          <w:sz w:val="20"/>
          <w:szCs w:val="20"/>
          <w:color w:val="auto"/>
        </w:rPr>
        <w:t>7.4.1</w:t>
      </w:r>
      <w:r>
        <w:rPr>
          <w:sz w:val="20"/>
          <w:szCs w:val="20"/>
          <w:color w:val="auto"/>
        </w:rPr>
        <w:tab/>
      </w:r>
      <w:r>
        <w:rPr>
          <w:rFonts w:ascii="Times New Roman" w:cs="Times New Roman" w:eastAsia="Times New Roman" w:hAnsi="Times New Roman"/>
          <w:sz w:val="20"/>
          <w:szCs w:val="20"/>
          <w:u w:val="single" w:color="auto"/>
          <w:color w:val="auto"/>
        </w:rPr>
        <w:t>Georgia</w:t>
      </w:r>
      <w:r>
        <w:rPr>
          <w:rFonts w:ascii="Times New Roman" w:cs="Times New Roman" w:eastAsia="Times New Roman" w:hAnsi="Times New Roman"/>
          <w:sz w:val="20"/>
          <w:szCs w:val="20"/>
          <w:color w:val="auto"/>
        </w:rPr>
        <w:t>. The Colleague (i) customarily and regularly solicits customers or prospective customers for his or her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employer, (ii) customarily and regularly engages in making sales or obtaining orders or contracts for products or services to be performed by others, (iii) has the authority to hire or fire other employees or particular weight is given to the Participant’s suggestions and recommendations as to the hiring, firing, advancement, promotion, or any other change of status of other employees, or (iv) performs the duties of a “key employee” or professional under Georgia law.</w:t>
      </w:r>
    </w:p>
    <w:p>
      <w:pPr>
        <w:spacing w:after="0" w:line="183"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0"/>
          <w:szCs w:val="20"/>
          <w:color w:val="auto"/>
        </w:rPr>
        <w:t>7.4.2</w:t>
      </w:r>
      <w:r>
        <w:rPr>
          <w:sz w:val="20"/>
          <w:szCs w:val="20"/>
          <w:color w:val="auto"/>
        </w:rPr>
        <w:tab/>
      </w:r>
      <w:r>
        <w:rPr>
          <w:rFonts w:ascii="Times New Roman" w:cs="Times New Roman" w:eastAsia="Times New Roman" w:hAnsi="Times New Roman"/>
          <w:sz w:val="19"/>
          <w:szCs w:val="19"/>
          <w:u w:val="single" w:color="auto"/>
          <w:color w:val="auto"/>
        </w:rPr>
        <w:t>Idaho</w:t>
      </w:r>
      <w:r>
        <w:rPr>
          <w:rFonts w:ascii="Times New Roman" w:cs="Times New Roman" w:eastAsia="Times New Roman" w:hAnsi="Times New Roman"/>
          <w:sz w:val="19"/>
          <w:szCs w:val="19"/>
          <w:color w:val="auto"/>
        </w:rPr>
        <w:t>. The Colleague performs the duties of a “key employee” or “key independent contractors” under Idaho law.</w:t>
      </w:r>
    </w:p>
    <w:p>
      <w:pPr>
        <w:spacing w:after="0" w:line="215"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7.4.3</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Colleague (i) is classified as exempt under the Fair Labor Standards Act and (ii) was not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terminated without cause or laid off.</w:t>
      </w:r>
    </w:p>
    <w:p>
      <w:pPr>
        <w:spacing w:after="0" w:line="161" w:lineRule="exact"/>
        <w:rPr>
          <w:sz w:val="20"/>
          <w:szCs w:val="20"/>
          <w:color w:val="auto"/>
        </w:rPr>
      </w:pPr>
    </w:p>
    <w:p>
      <w:pPr>
        <w:jc w:val="both"/>
        <w:ind w:left="1880" w:hanging="748"/>
        <w:spacing w:after="0" w:line="249" w:lineRule="auto"/>
        <w:tabs>
          <w:tab w:leader="none" w:pos="1860" w:val="left"/>
        </w:tabs>
        <w:rPr>
          <w:sz w:val="20"/>
          <w:szCs w:val="20"/>
          <w:color w:val="auto"/>
        </w:rPr>
      </w:pPr>
      <w:r>
        <w:rPr>
          <w:rFonts w:ascii="Times New Roman" w:cs="Times New Roman" w:eastAsia="Times New Roman" w:hAnsi="Times New Roman"/>
          <w:sz w:val="20"/>
          <w:szCs w:val="20"/>
          <w:color w:val="auto"/>
        </w:rPr>
        <w:t>7.4.4</w:t>
      </w:r>
      <w:r>
        <w:rPr>
          <w:sz w:val="20"/>
          <w:szCs w:val="20"/>
          <w:color w:val="auto"/>
        </w:rPr>
        <w:tab/>
      </w:r>
      <w:r>
        <w:rPr>
          <w:rFonts w:ascii="Times New Roman" w:cs="Times New Roman" w:eastAsia="Times New Roman" w:hAnsi="Times New Roman"/>
          <w:sz w:val="20"/>
          <w:szCs w:val="20"/>
          <w:u w:val="single" w:color="auto"/>
          <w:color w:val="auto"/>
        </w:rPr>
        <w:t>Nevada</w:t>
      </w:r>
      <w:r>
        <w:rPr>
          <w:rFonts w:ascii="Times New Roman" w:cs="Times New Roman" w:eastAsia="Times New Roman" w:hAnsi="Times New Roman"/>
          <w:sz w:val="20"/>
          <w:szCs w:val="20"/>
          <w:color w:val="auto"/>
        </w:rPr>
        <w:t>. The Colleague (i) is not paid solely on an hourly wage basis, exclusive of any tips or gratuities, and (ii)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Colleague’s termination was not part of a reduction of force, reorganization, or similar restructuring of the Company Group (unless the Company Group pays the Colleague’s salary, benefits, or equivalent compensation, including severance pay, if any, during the Relevant Period).</w:t>
      </w:r>
    </w:p>
    <w:p>
      <w:pPr>
        <w:spacing w:after="0" w:line="178"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7.4.5</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 who (i) is engaged in administrative, executive, or professional work, (ii) performs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predominantly intellectual, managerial, or creative tasks, (iii) exercises discretion and independent judgment, and (iv) is paid on a salary basis.</w:t>
      </w:r>
    </w:p>
    <w:p>
      <w:pPr>
        <w:spacing w:after="0" w:line="176"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7.5.</w:t>
      </w:r>
      <w:r>
        <w:rPr>
          <w:sz w:val="20"/>
          <w:szCs w:val="20"/>
          <w:color w:val="auto"/>
        </w:rPr>
        <w:tab/>
      </w:r>
      <w:r>
        <w:rPr>
          <w:rFonts w:ascii="Times New Roman" w:cs="Times New Roman" w:eastAsia="Times New Roman" w:hAnsi="Times New Roman"/>
          <w:sz w:val="19"/>
          <w:szCs w:val="19"/>
          <w:u w:val="single" w:color="auto"/>
          <w:color w:val="auto"/>
        </w:rPr>
        <w:t>Relevant Area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Colleagues who primarily reside or work in the states below, the Relevant Area for the Restrictive Covenant shall be as described below.</w:t>
      </w:r>
    </w:p>
    <w:p>
      <w:pPr>
        <w:spacing w:after="0" w:line="226" w:lineRule="exact"/>
        <w:rPr>
          <w:sz w:val="20"/>
          <w:szCs w:val="20"/>
          <w:color w:val="auto"/>
        </w:rPr>
      </w:pPr>
    </w:p>
    <w:p>
      <w:pPr>
        <w:jc w:val="both"/>
        <w:ind w:left="1880" w:hanging="748"/>
        <w:spacing w:after="0" w:line="242" w:lineRule="auto"/>
        <w:tabs>
          <w:tab w:leader="none" w:pos="1860" w:val="left"/>
        </w:tabs>
        <w:rPr>
          <w:sz w:val="20"/>
          <w:szCs w:val="20"/>
          <w:color w:val="auto"/>
        </w:rPr>
      </w:pPr>
      <w:r>
        <w:rPr>
          <w:rFonts w:ascii="Times New Roman" w:cs="Times New Roman" w:eastAsia="Times New Roman" w:hAnsi="Times New Roman"/>
          <w:sz w:val="20"/>
          <w:szCs w:val="20"/>
          <w:color w:val="auto"/>
        </w:rPr>
        <w:t>7.5.1</w:t>
      </w:r>
      <w:r>
        <w:rPr>
          <w:sz w:val="20"/>
          <w:szCs w:val="20"/>
          <w:color w:val="auto"/>
        </w:rPr>
        <w:tab/>
      </w:r>
      <w:r>
        <w:rPr>
          <w:rFonts w:ascii="Times New Roman" w:cs="Times New Roman" w:eastAsia="Times New Roman" w:hAnsi="Times New Roman"/>
          <w:sz w:val="20"/>
          <w:szCs w:val="20"/>
          <w:u w:val="single" w:color="auto"/>
          <w:color w:val="auto"/>
        </w:rPr>
        <w:t>Louisiana</w:t>
      </w:r>
      <w:r>
        <w:rPr>
          <w:rFonts w:ascii="Times New Roman" w:cs="Times New Roman" w:eastAsia="Times New Roman" w:hAnsi="Times New Roman"/>
          <w:sz w:val="20"/>
          <w:szCs w:val="20"/>
          <w:color w:val="auto"/>
        </w:rPr>
        <w:t>. Within the State of Louisiana, the Relevant Area shall be the following parishes, municipalities, or parts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thereof in which the Company Group conducts business: Acadia Parish, Allen Parish, Ascension Parish, Assumption Parish, Avoyelles Parish, Beauregard Parish, Bienville Parish, Bossier Parish, Caddo Parish, Calcasieu Parish, Caldwell Parish, Cameron Parish, Catahoula Parish, Claiborne Parish, Concordia Parish, DeSoto Parish, East Baton Rouge Parish, East Carroll Parish, East Feliciana Parish, Evangeline Parish, Franklin Parish, Grant Parish, Iberia Parish, Iberville Parish, Jackson Parish, Jefferson Parish, Jefferson Davis Parish, Lafayette Parish, Lafourche Parish, LaSalle Parish, Lincoln Parish, Livingston Parish, Madison Parish, Morehouse Parish, Natchitoches Parish, Orleans Parish, Ouachita Parish, Plaquemines Parish, Pointe Coupee Parish, Rapides Parish, Red River Parish, Richland Parish, Sabine Parish, St. Bernard Parish, St. Charles Parish, St. Helena Parish, St. James Parish, St. John the Baptist Parish, St. Landry Parish, St. Martin Parish, St. Mary Parish, St. Tammany Parish, Tangipahoa Parish, Tensas Parish, Terrebonne Parish,</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line="187" w:lineRule="exact"/>
        <w:rPr>
          <w:sz w:val="20"/>
          <w:szCs w:val="20"/>
          <w:color w:val="auto"/>
        </w:rPr>
      </w:pPr>
    </w:p>
    <w:p>
      <w:pPr>
        <w:ind w:left="1500"/>
        <w:spacing w:after="0" w:line="268" w:lineRule="auto"/>
        <w:rPr>
          <w:sz w:val="20"/>
          <w:szCs w:val="20"/>
          <w:color w:val="auto"/>
        </w:rPr>
      </w:pPr>
      <w:r>
        <w:rPr>
          <w:rFonts w:ascii="Times New Roman" w:cs="Times New Roman" w:eastAsia="Times New Roman" w:hAnsi="Times New Roman"/>
          <w:sz w:val="20"/>
          <w:szCs w:val="20"/>
          <w:color w:val="auto"/>
        </w:rPr>
        <w:t>Union Parish, Vermilion Parish, Vernon Parish, Washington Parish, Webster Parish, West Baton Rouge Parish, West Carroll Parish, West Feliciana Parish, and Winn Parish.</w:t>
      </w:r>
    </w:p>
    <w:p>
      <w:pPr>
        <w:spacing w:after="0" w:line="1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u w:val="single" w:color="auto"/>
          <w:color w:val="auto"/>
        </w:rPr>
        <w:t>7.6.</w:t>
      </w:r>
      <w:r>
        <w:rPr>
          <w:sz w:val="20"/>
          <w:szCs w:val="20"/>
          <w:color w:val="auto"/>
        </w:rPr>
        <w:tab/>
      </w:r>
      <w:r>
        <w:rPr>
          <w:rFonts w:ascii="Times New Roman" w:cs="Times New Roman" w:eastAsia="Times New Roman" w:hAnsi="Times New Roman"/>
          <w:sz w:val="19"/>
          <w:szCs w:val="19"/>
          <w:u w:val="single" w:color="auto"/>
          <w:color w:val="auto"/>
        </w:rPr>
        <w:t>Other Terms and Conditions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Colleagues who primarily reside or work in the states below, the following terms and conditions shall apply:</w:t>
      </w:r>
    </w:p>
    <w:p>
      <w:pPr>
        <w:spacing w:after="0" w:line="215"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7.6.1</w:t>
      </w:r>
      <w:r>
        <w:rPr>
          <w:sz w:val="20"/>
          <w:szCs w:val="20"/>
          <w:color w:val="auto"/>
        </w:rPr>
        <w:tab/>
      </w:r>
      <w:r>
        <w:rPr>
          <w:rFonts w:ascii="Times New Roman" w:cs="Times New Roman" w:eastAsia="Times New Roman" w:hAnsi="Times New Roman"/>
          <w:sz w:val="20"/>
          <w:szCs w:val="20"/>
          <w:u w:val="single" w:color="auto"/>
          <w:color w:val="auto"/>
        </w:rPr>
        <w:t>Maine</w:t>
      </w:r>
      <w:r>
        <w:rPr>
          <w:rFonts w:ascii="Times New Roman" w:cs="Times New Roman" w:eastAsia="Times New Roman" w:hAnsi="Times New Roman"/>
          <w:sz w:val="20"/>
          <w:szCs w:val="20"/>
          <w:color w:val="auto"/>
        </w:rPr>
        <w:t>. The Restrictive Covenant shall only be effective upon the later of (i) one year after the commencement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Colleague’s employment or (ii) 6 months after the Colleague executes the RCA.</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7.6.2</w:t>
      </w:r>
      <w:r>
        <w:rPr>
          <w:sz w:val="20"/>
          <w:szCs w:val="20"/>
          <w:color w:val="auto"/>
        </w:rPr>
        <w:tab/>
      </w:r>
      <w:r>
        <w:rPr>
          <w:rFonts w:ascii="Times New Roman" w:cs="Times New Roman" w:eastAsia="Times New Roman" w:hAnsi="Times New Roman"/>
          <w:sz w:val="20"/>
          <w:szCs w:val="20"/>
          <w:u w:val="single" w:color="auto"/>
          <w:color w:val="auto"/>
        </w:rPr>
        <w:t>Nebraska</w:t>
      </w:r>
      <w:r>
        <w:rPr>
          <w:rFonts w:ascii="Times New Roman" w:cs="Times New Roman" w:eastAsia="Times New Roman" w:hAnsi="Times New Roman"/>
          <w:sz w:val="20"/>
          <w:szCs w:val="20"/>
          <w:color w:val="auto"/>
        </w:rPr>
        <w:t>. The Relevant Client shall refer to the Colleague’s current clients on the date on which the Colleague ceases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be employed by Employer.</w:t>
      </w:r>
    </w:p>
    <w:p>
      <w:pPr>
        <w:spacing w:after="0" w:line="161" w:lineRule="exact"/>
        <w:rPr>
          <w:sz w:val="20"/>
          <w:szCs w:val="20"/>
          <w:color w:val="auto"/>
        </w:rPr>
      </w:pPr>
    </w:p>
    <w:p>
      <w:pPr>
        <w:jc w:val="both"/>
        <w:ind w:left="1500" w:hanging="748"/>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7.6.3</w:t>
      </w:r>
      <w:r>
        <w:rPr>
          <w:sz w:val="20"/>
          <w:szCs w:val="20"/>
          <w:color w:val="auto"/>
        </w:rPr>
        <w:tab/>
      </w:r>
      <w:r>
        <w:rPr>
          <w:rFonts w:ascii="Times New Roman" w:cs="Times New Roman" w:eastAsia="Times New Roman" w:hAnsi="Times New Roman"/>
          <w:sz w:val="20"/>
          <w:szCs w:val="20"/>
          <w:u w:val="single" w:color="auto"/>
          <w:color w:val="auto"/>
        </w:rPr>
        <w:t>Nevada</w:t>
      </w:r>
      <w:r>
        <w:rPr>
          <w:rFonts w:ascii="Times New Roman" w:cs="Times New Roman" w:eastAsia="Times New Roman" w:hAnsi="Times New Roman"/>
          <w:sz w:val="20"/>
          <w:szCs w:val="20"/>
          <w:color w:val="auto"/>
        </w:rPr>
        <w:t>. The Restrictive Covenant shall not restrict the Colleague during the Relevant Period from providing a service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a former customer or client if (i) the Colleague did not solicit the former customer or client; (ii) the customer or client voluntarily chose to leave and sought the Colleague’s services; and (iii) the Colleague has otherwise complied with the RCA provisions regarding time, geographic area, and scope of the restrained activity, other than any limitation on providing services to a former customer or client of Employer who seeks the services of the Colleague without any contact instigated by the Colleague.</w:t>
      </w:r>
    </w:p>
    <w:p>
      <w:pPr>
        <w:spacing w:after="0" w:line="183"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7.6.4</w:t>
      </w:r>
      <w:r>
        <w:rPr>
          <w:sz w:val="20"/>
          <w:szCs w:val="20"/>
          <w:color w:val="auto"/>
        </w:rPr>
        <w:tab/>
      </w:r>
      <w:r>
        <w:rPr>
          <w:rFonts w:ascii="Times New Roman" w:cs="Times New Roman" w:eastAsia="Times New Roman" w:hAnsi="Times New Roman"/>
          <w:sz w:val="19"/>
          <w:szCs w:val="19"/>
          <w:u w:val="single" w:color="auto"/>
          <w:color w:val="auto"/>
        </w:rPr>
        <w:t>North Carolina</w:t>
      </w:r>
      <w:r>
        <w:rPr>
          <w:rFonts w:ascii="Times New Roman" w:cs="Times New Roman" w:eastAsia="Times New Roman" w:hAnsi="Times New Roman"/>
          <w:sz w:val="19"/>
          <w:szCs w:val="19"/>
          <w:color w:val="auto"/>
        </w:rPr>
        <w:t>. Section 3.5 of this RCA is replaced and restated in its entirety as follows:</w:t>
      </w:r>
    </w:p>
    <w:p>
      <w:pPr>
        <w:spacing w:after="0" w:line="21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To the extent the Colleague is a party to an Employment Agreement or other agreement with the Employer, the Company or any Subsidiary that contains post-employment covenants and restrictions, the Restrictive Covenant in Section 3.4.2 of his RCA shall be a part of and integrated into such agreement, and the post-employment covenants and restrictions in such Employment Agreement or other agreement shall be in addition to the covenants and restrictions set forth in Section 3.2, Section 3.3 and Section 3.4 herein. In the event of any conflict between the Restrictive Covenant and any other post-employment covenant and restrictions between the Colleague and the Employer, the Company or any Subsidiary, such other post-employment covenant and/or restrictions shall prevail.</w:t>
      </w:r>
    </w:p>
    <w:p>
      <w:pPr>
        <w:spacing w:after="0" w:line="184" w:lineRule="exact"/>
        <w:rPr>
          <w:sz w:val="20"/>
          <w:szCs w:val="20"/>
          <w:color w:val="auto"/>
        </w:rPr>
      </w:pPr>
    </w:p>
    <w:p>
      <w:pPr>
        <w:jc w:val="both"/>
        <w:ind w:left="1500"/>
        <w:spacing w:after="0" w:line="268" w:lineRule="auto"/>
        <w:rPr>
          <w:sz w:val="20"/>
          <w:szCs w:val="20"/>
          <w:color w:val="auto"/>
        </w:rPr>
      </w:pPr>
      <w:r>
        <w:rPr>
          <w:rFonts w:ascii="Times New Roman" w:cs="Times New Roman" w:eastAsia="Times New Roman" w:hAnsi="Times New Roman"/>
          <w:sz w:val="20"/>
          <w:szCs w:val="20"/>
          <w:color w:val="auto"/>
        </w:rPr>
        <w:t>The Colleague acknowledges that the Award under this Agreement constitutes good and valuable consideration for the RCA.</w:t>
      </w:r>
    </w:p>
    <w:p>
      <w:pPr>
        <w:spacing w:after="0" w:line="161" w:lineRule="exact"/>
        <w:rPr>
          <w:sz w:val="20"/>
          <w:szCs w:val="20"/>
          <w:color w:val="auto"/>
        </w:rPr>
      </w:pPr>
    </w:p>
    <w:p>
      <w:pPr>
        <w:jc w:val="both"/>
        <w:ind w:left="1500" w:hanging="748"/>
        <w:spacing w:after="0" w:line="253" w:lineRule="auto"/>
        <w:tabs>
          <w:tab w:leader="none" w:pos="1480" w:val="left"/>
        </w:tabs>
        <w:rPr>
          <w:sz w:val="20"/>
          <w:szCs w:val="20"/>
          <w:color w:val="auto"/>
        </w:rPr>
      </w:pPr>
      <w:r>
        <w:rPr>
          <w:rFonts w:ascii="Times New Roman" w:cs="Times New Roman" w:eastAsia="Times New Roman" w:hAnsi="Times New Roman"/>
          <w:sz w:val="20"/>
          <w:szCs w:val="20"/>
          <w:color w:val="auto"/>
        </w:rPr>
        <w:t>7.6.5</w:t>
      </w:r>
      <w:r>
        <w:rPr>
          <w:sz w:val="20"/>
          <w:szCs w:val="20"/>
          <w:color w:val="auto"/>
        </w:rPr>
        <w:tab/>
      </w:r>
      <w:r>
        <w:rPr>
          <w:rFonts w:ascii="Times New Roman" w:cs="Times New Roman" w:eastAsia="Times New Roman" w:hAnsi="Times New Roman"/>
          <w:sz w:val="20"/>
          <w:szCs w:val="20"/>
          <w:u w:val="single" w:color="auto"/>
          <w:color w:val="auto"/>
        </w:rPr>
        <w:t>Virginia</w:t>
      </w:r>
      <w:r>
        <w:rPr>
          <w:rFonts w:ascii="Times New Roman" w:cs="Times New Roman" w:eastAsia="Times New Roman" w:hAnsi="Times New Roman"/>
          <w:sz w:val="20"/>
          <w:szCs w:val="20"/>
          <w:color w:val="auto"/>
        </w:rPr>
        <w:t>. The Restrictive Covenant shall not prohibit the Colleague from providing services to the Company Group’s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customers or clients during the post-employment period of the Relevant Period, if the Colleague did not initiate contact with or solicit such customer or client, to the extent required by Virginia law.</w:t>
      </w:r>
    </w:p>
    <w:p>
      <w:pPr>
        <w:spacing w:after="0" w:line="176" w:lineRule="exact"/>
        <w:rPr>
          <w:sz w:val="20"/>
          <w:szCs w:val="20"/>
          <w:color w:val="auto"/>
        </w:rPr>
      </w:pPr>
    </w:p>
    <w:p>
      <w:pPr>
        <w:jc w:val="both"/>
        <w:ind w:left="1500" w:hanging="748"/>
        <w:spacing w:after="0" w:line="249" w:lineRule="auto"/>
        <w:tabs>
          <w:tab w:leader="none" w:pos="1480" w:val="left"/>
        </w:tabs>
        <w:rPr>
          <w:sz w:val="20"/>
          <w:szCs w:val="20"/>
          <w:color w:val="auto"/>
        </w:rPr>
      </w:pPr>
      <w:r>
        <w:rPr>
          <w:rFonts w:ascii="Times New Roman" w:cs="Times New Roman" w:eastAsia="Times New Roman" w:hAnsi="Times New Roman"/>
          <w:sz w:val="20"/>
          <w:szCs w:val="20"/>
          <w:color w:val="auto"/>
        </w:rPr>
        <w:t>7.6.6</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If the Colleague’s employment with Employer ended a result of a layoff, should any member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Company Group choose to enforce the RCA, then during the Relevant Period, Employer (or other member of the Company Group, as applicable) shall pay the Colleague compensation equivalent to the Colleague’s base salary as of the date on which the Colleague ceases to be employed by Employer, minus any</w:t>
      </w:r>
    </w:p>
    <w:p>
      <w:pPr>
        <w:spacing w:after="0" w:line="17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626110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40" w:right="339" w:bottom="1440" w:gutter="0" w:footer="0" w:header="0"/>
        </w:sectPr>
      </w:pPr>
    </w:p>
    <w:bookmarkStart w:id="74" w:name="page75"/>
    <w:bookmarkEnd w:id="74"/>
    <w:p>
      <w:pPr>
        <w:spacing w:after="0" w:line="188" w:lineRule="exact"/>
        <w:rPr>
          <w:sz w:val="20"/>
          <w:szCs w:val="20"/>
          <w:color w:val="auto"/>
        </w:rPr>
      </w:pPr>
    </w:p>
    <w:p>
      <w:pPr>
        <w:ind w:left="1880"/>
        <w:spacing w:after="0" w:line="268" w:lineRule="auto"/>
        <w:rPr>
          <w:sz w:val="20"/>
          <w:szCs w:val="20"/>
          <w:color w:val="auto"/>
        </w:rPr>
      </w:pPr>
      <w:r>
        <w:rPr>
          <w:rFonts w:ascii="Times New Roman" w:cs="Times New Roman" w:eastAsia="Times New Roman" w:hAnsi="Times New Roman"/>
          <w:sz w:val="20"/>
          <w:szCs w:val="20"/>
          <w:color w:val="auto"/>
        </w:rPr>
        <w:t>severance or other compensation paid by the Company Group and any compensation the Colleague earns through subsequent noncompetitive employment during the Relevant Period.</w:t>
      </w:r>
    </w:p>
    <w:p>
      <w:pPr>
        <w:spacing w:after="0" w:line="16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7.7.</w:t>
      </w:r>
      <w:r>
        <w:rPr>
          <w:sz w:val="20"/>
          <w:szCs w:val="20"/>
          <w:color w:val="auto"/>
        </w:rPr>
        <w:tab/>
      </w:r>
      <w:r>
        <w:rPr>
          <w:rFonts w:ascii="Times New Roman" w:cs="Times New Roman" w:eastAsia="Times New Roman" w:hAnsi="Times New Roman"/>
          <w:sz w:val="19"/>
          <w:szCs w:val="19"/>
          <w:u w:val="single" w:color="auto"/>
          <w:color w:val="auto"/>
        </w:rPr>
        <w:t>Restrictive Covenant Does Not Apply</w:t>
      </w:r>
    </w:p>
    <w:p>
      <w:pPr>
        <w:spacing w:after="0" w:line="215" w:lineRule="exact"/>
        <w:rPr>
          <w:sz w:val="20"/>
          <w:szCs w:val="20"/>
          <w:color w:val="auto"/>
        </w:rPr>
      </w:pPr>
    </w:p>
    <w:p>
      <w:pPr>
        <w:jc w:val="both"/>
        <w:ind w:right="40"/>
        <w:spacing w:after="0" w:line="245" w:lineRule="auto"/>
        <w:rPr>
          <w:sz w:val="20"/>
          <w:szCs w:val="20"/>
          <w:color w:val="auto"/>
        </w:rPr>
      </w:pPr>
      <w:r>
        <w:rPr>
          <w:rFonts w:ascii="Times New Roman" w:cs="Times New Roman" w:eastAsia="Times New Roman" w:hAnsi="Times New Roman"/>
          <w:sz w:val="20"/>
          <w:szCs w:val="20"/>
          <w:color w:val="auto"/>
        </w:rPr>
        <w:t>The Restrictive Covenant shall not apply to any Colleague who primarily resides or works in, or transfers employment and/or residency after the Grant Date to, California, Minnesota, North Dakota, or Oklahoma. For any Colleague who primarily resides or works in California, any covenant within any agreement between the Colleague and the Employer that restricts post-employment competition in California, including but not limited to Sections 3.4.1 and 3.4.2, are hereby rescinded and shall be deemed null and void. Notwithstanding the foregoing, all other terms of any such agreement(s), including prohibitions on the use of confidential and proprietary information and trade secrets, remain in full force and effect under California law.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right="260" w:firstLine="39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153670</wp:posOffset>
            </wp:positionV>
            <wp:extent cx="2157730" cy="4794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215773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B- OUS</w:t>
      </w:r>
    </w:p>
    <w:p>
      <w:pPr>
        <w:spacing w:after="0" w:line="200" w:lineRule="exact"/>
        <w:rPr>
          <w:sz w:val="20"/>
          <w:szCs w:val="20"/>
          <w:color w:val="auto"/>
        </w:rPr>
      </w:pPr>
    </w:p>
    <w:p>
      <w:pPr>
        <w:spacing w:after="0" w:line="352" w:lineRule="exact"/>
        <w:rPr>
          <w:sz w:val="20"/>
          <w:szCs w:val="20"/>
          <w:color w:val="auto"/>
        </w:rPr>
      </w:pPr>
    </w:p>
    <w:p>
      <w:pPr>
        <w:jc w:val="center"/>
        <w:ind w:right="40"/>
        <w:spacing w:after="0" w:line="272" w:lineRule="auto"/>
        <w:rPr>
          <w:sz w:val="20"/>
          <w:szCs w:val="20"/>
          <w:color w:val="auto"/>
        </w:rPr>
      </w:pPr>
      <w:r>
        <w:rPr>
          <w:rFonts w:ascii="Times New Roman" w:cs="Times New Roman" w:eastAsia="Times New Roman" w:hAnsi="Times New Roman"/>
          <w:sz w:val="20"/>
          <w:szCs w:val="20"/>
          <w:b w:val="1"/>
          <w:bCs w:val="1"/>
          <w:color w:val="auto"/>
        </w:rPr>
        <w:t>AGREEMENT OF RESTRICTIVE COVENANTS AND OTHER OBLIGATIONS FOR EMPLOYEES OUTSIDE OF THE UNITED STATES</w:t>
      </w:r>
    </w:p>
    <w:p>
      <w:pPr>
        <w:spacing w:after="0" w:line="386" w:lineRule="exact"/>
        <w:rPr>
          <w:sz w:val="20"/>
          <w:szCs w:val="20"/>
          <w:color w:val="auto"/>
        </w:rPr>
      </w:pPr>
    </w:p>
    <w:p>
      <w:pPr>
        <w:ind w:right="220" w:firstLine="395"/>
        <w:spacing w:after="0" w:line="253" w:lineRule="auto"/>
        <w:rPr>
          <w:sz w:val="20"/>
          <w:szCs w:val="20"/>
          <w:color w:val="auto"/>
        </w:rPr>
      </w:pPr>
      <w:r>
        <w:rPr>
          <w:rFonts w:ascii="Times New Roman" w:cs="Times New Roman" w:eastAsia="Times New Roman" w:hAnsi="Times New Roman"/>
          <w:sz w:val="20"/>
          <w:szCs w:val="20"/>
          <w:color w:val="auto"/>
        </w:rPr>
        <w:t>This Agreement of Restrictive Covenants and Other Obligations for Employees Outside of the United States (the “</w:t>
      </w:r>
      <w:r>
        <w:rPr>
          <w:rFonts w:ascii="Times New Roman" w:cs="Times New Roman" w:eastAsia="Times New Roman" w:hAnsi="Times New Roman"/>
          <w:sz w:val="20"/>
          <w:szCs w:val="20"/>
          <w:u w:val="single" w:color="auto"/>
          <w:color w:val="auto"/>
        </w:rPr>
        <w:t>Non-U.S. RCA</w:t>
      </w:r>
      <w:r>
        <w:rPr>
          <w:rFonts w:ascii="Times New Roman" w:cs="Times New Roman" w:eastAsia="Times New Roman" w:hAnsi="Times New Roman"/>
          <w:sz w:val="20"/>
          <w:szCs w:val="20"/>
          <w:color w:val="auto"/>
        </w:rPr>
        <w:t>”) is entered into by and between Willis Towers Watson Public Limited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Colleague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to be effective as of the date the Colleague signs or electronically accepts this Non-U.S. RCA.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Colleague is employed by a Subsidiary of the Company;</w:t>
      </w:r>
    </w:p>
    <w:p>
      <w:pPr>
        <w:spacing w:after="0" w:line="228" w:lineRule="exact"/>
        <w:rPr>
          <w:sz w:val="20"/>
          <w:szCs w:val="20"/>
          <w:color w:val="auto"/>
        </w:rPr>
      </w:pPr>
    </w:p>
    <w:p>
      <w:pPr>
        <w:ind w:right="200" w:firstLine="749"/>
        <w:spacing w:after="0" w:line="299"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subject to approval by the Committee or the Company’s Share Award Committee, the Colleague has been designated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receive a grant of time-based restricted share units (“</w:t>
      </w:r>
      <w:r>
        <w:rPr>
          <w:rFonts w:ascii="Times New Roman" w:cs="Times New Roman" w:eastAsia="Times New Roman" w:hAnsi="Times New Roman"/>
          <w:sz w:val="19"/>
          <w:szCs w:val="19"/>
          <w:u w:val="single" w:color="auto"/>
          <w:color w:val="auto"/>
        </w:rPr>
        <w:t>RSUs</w:t>
      </w:r>
      <w:r>
        <w:rPr>
          <w:rFonts w:ascii="Times New Roman" w:cs="Times New Roman" w:eastAsia="Times New Roman" w:hAnsi="Times New Roman"/>
          <w:sz w:val="19"/>
          <w:szCs w:val="19"/>
          <w:color w:val="auto"/>
        </w:rPr>
        <w:t>” or “</w:t>
      </w:r>
      <w:r>
        <w:rPr>
          <w:rFonts w:ascii="Times New Roman" w:cs="Times New Roman" w:eastAsia="Times New Roman" w:hAnsi="Times New Roman"/>
          <w:sz w:val="19"/>
          <w:szCs w:val="19"/>
          <w:u w:val="single" w:color="auto"/>
          <w:color w:val="auto"/>
        </w:rPr>
        <w:t>Awards</w:t>
      </w:r>
      <w:r>
        <w:rPr>
          <w:rFonts w:ascii="Times New Roman" w:cs="Times New Roman" w:eastAsia="Times New Roman" w:hAnsi="Times New Roman"/>
          <w:sz w:val="19"/>
          <w:szCs w:val="19"/>
          <w:color w:val="auto"/>
        </w:rPr>
        <w:t>”) under the Company’s 2012 Equity Incentive Plan (the “</w:t>
      </w:r>
      <w:r>
        <w:rPr>
          <w:rFonts w:ascii="Times New Roman" w:cs="Times New Roman" w:eastAsia="Times New Roman" w:hAnsi="Times New Roman"/>
          <w:sz w:val="19"/>
          <w:szCs w:val="19"/>
          <w:u w:val="single" w:color="auto"/>
          <w:color w:val="auto"/>
        </w:rPr>
        <w:t>Plan</w:t>
      </w:r>
      <w:r>
        <w:rPr>
          <w:rFonts w:ascii="Times New Roman" w:cs="Times New Roman" w:eastAsia="Times New Roman" w:hAnsi="Times New Roman"/>
          <w:sz w:val="19"/>
          <w:szCs w:val="19"/>
          <w:color w:val="auto"/>
        </w:rPr>
        <w:t>”);</w:t>
      </w:r>
    </w:p>
    <w:p>
      <w:pPr>
        <w:spacing w:after="0" w:line="143" w:lineRule="exact"/>
        <w:rPr>
          <w:sz w:val="20"/>
          <w:szCs w:val="20"/>
          <w:color w:val="auto"/>
        </w:rPr>
      </w:pPr>
    </w:p>
    <w:p>
      <w:pPr>
        <w:ind w:right="140" w:firstLine="749"/>
        <w:spacing w:after="0" w:line="27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any Award granted to the Colleague is subject to the terms and conditions of the Plan, the award agreement evidencing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Colleague’s Award (including any country specific terms thereto) and this Non-U.S. RCA, and in consideration of the Award, the Colleague shall enter into and acknowledge their agreement to the terms and conditions of the Plan, the award agreement and this RCA; and</w:t>
      </w:r>
    </w:p>
    <w:p>
      <w:pPr>
        <w:spacing w:after="0" w:line="166" w:lineRule="exact"/>
        <w:rPr>
          <w:sz w:val="20"/>
          <w:szCs w:val="20"/>
          <w:color w:val="auto"/>
        </w:rPr>
      </w:pPr>
    </w:p>
    <w:p>
      <w:pPr>
        <w:ind w:right="18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Colleague acknowledges and agrees that they desire to receive the Award and understands and agrees such Award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in the Plan, the applicable award agreement and this Non-U.S. RCA, and such other written agreements and documentation as the Company or the Employer may require.</w:t>
      </w:r>
    </w:p>
    <w:p>
      <w:pPr>
        <w:spacing w:after="0" w:line="184" w:lineRule="exact"/>
        <w:rPr>
          <w:sz w:val="20"/>
          <w:szCs w:val="20"/>
          <w:color w:val="auto"/>
        </w:rPr>
      </w:pPr>
    </w:p>
    <w:p>
      <w:pPr>
        <w:ind w:right="44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promises contained herein and for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 particular the Award, the receipt and sufficiency of which is hereby acknowledged in this recital and within Section 6.4 below, the Parties hereto agree, with the intent to be bound, as follows:</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Section 8</w:t>
      </w:r>
      <w:r>
        <w:rPr>
          <w:sz w:val="20"/>
          <w:szCs w:val="20"/>
          <w:color w:val="auto"/>
        </w:rPr>
        <w:tab/>
      </w:r>
      <w:r>
        <w:rPr>
          <w:rFonts w:ascii="Times New Roman" w:cs="Times New Roman" w:eastAsia="Times New Roman" w:hAnsi="Times New Roman"/>
          <w:sz w:val="20"/>
          <w:szCs w:val="20"/>
          <w:color w:val="auto"/>
        </w:rPr>
        <w:t>–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-10795</wp:posOffset>
            </wp:positionV>
            <wp:extent cx="5295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Recitals set forth above are an integral part of this Non-U.S. RCA, and are incorporated herein by reference.</w:t>
      </w:r>
    </w:p>
    <w:p>
      <w:pPr>
        <w:spacing w:after="0" w:line="215"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20"/>
          <w:szCs w:val="20"/>
          <w:u w:val="single" w:color="auto"/>
          <w:color w:val="auto"/>
        </w:rPr>
        <w:t>Section 9</w:t>
      </w:r>
      <w:r>
        <w:rPr>
          <w:sz w:val="20"/>
          <w:szCs w:val="20"/>
          <w:color w:val="auto"/>
        </w:rPr>
        <w:tab/>
      </w:r>
      <w:r>
        <w:rPr>
          <w:rFonts w:ascii="Times New Roman" w:cs="Times New Roman" w:eastAsia="Times New Roman" w:hAnsi="Times New Roman"/>
          <w:sz w:val="19"/>
          <w:szCs w:val="19"/>
          <w:color w:val="auto"/>
        </w:rPr>
        <w:t>–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-10795</wp:posOffset>
            </wp:positionV>
            <wp:extent cx="6902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19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have the meaning as set forth in the recitals.</w:t>
      </w:r>
    </w:p>
    <w:p>
      <w:pPr>
        <w:spacing w:after="0" w:line="188" w:lineRule="exact"/>
        <w:rPr>
          <w:sz w:val="20"/>
          <w:szCs w:val="20"/>
          <w:color w:val="auto"/>
        </w:rPr>
      </w:pPr>
    </w:p>
    <w:p>
      <w:pPr>
        <w:jc w:val="both"/>
        <w:ind w:left="1220" w:right="380" w:hanging="837"/>
        <w:spacing w:after="0" w:line="255" w:lineRule="auto"/>
        <w:tabs>
          <w:tab w:leader="none" w:pos="12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shall mean insurance brokerage, reinsurance brokerage, surety brokerage, bond brokerage, insurance agency, underwriting agency, managing general agency, risk management, claims administration, self-insurance, risk management consulting or other business performed by the Restricted Group.</w:t>
      </w:r>
    </w:p>
    <w:p>
      <w:pPr>
        <w:spacing w:after="0" w:line="143"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same meaning as set forth in the Plan or the applicable award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76" w:name="page77"/>
    <w:bookmarkEnd w:id="76"/>
    <w:p>
      <w:pPr>
        <w:ind w:left="840" w:right="14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spacing w:after="0" w:line="147" w:lineRule="exact"/>
        <w:rPr>
          <w:sz w:val="20"/>
          <w:szCs w:val="20"/>
          <w:color w:val="auto"/>
        </w:rPr>
      </w:pPr>
    </w:p>
    <w:p>
      <w:pPr>
        <w:ind w:left="840" w:hanging="837"/>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spacing w:after="0" w:line="156" w:lineRule="exact"/>
        <w:rPr>
          <w:sz w:val="20"/>
          <w:szCs w:val="20"/>
          <w:color w:val="auto"/>
        </w:rPr>
      </w:pPr>
    </w:p>
    <w:p>
      <w:pPr>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Directly or indirectly</w:t>
      </w:r>
      <w:r>
        <w:rPr>
          <w:rFonts w:ascii="Times New Roman" w:cs="Times New Roman" w:eastAsia="Times New Roman" w:hAnsi="Times New Roman"/>
          <w:sz w:val="20"/>
          <w:szCs w:val="20"/>
          <w:color w:val="auto"/>
        </w:rPr>
        <w:t>” shall mean the Colleague acting either alone or jointly with or on behalf of or by means of any other person, firm or company (whether as principal, partner, manager, employee, contractor, director, consultant, investor or similar capacity).</w:t>
      </w:r>
    </w:p>
    <w:p>
      <w:pPr>
        <w:spacing w:after="0" w:line="143" w:lineRule="exact"/>
        <w:rPr>
          <w:sz w:val="20"/>
          <w:szCs w:val="20"/>
          <w:color w:val="auto"/>
        </w:rPr>
      </w:pPr>
    </w:p>
    <w:p>
      <w:pPr>
        <w:ind w:left="840" w:right="66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shall mean the Subsidiary that employs the Colleague. If the Company ever becomes an employer of the Colleague, then the term Employer shall refer to the Company.</w:t>
      </w:r>
    </w:p>
    <w:p>
      <w:pPr>
        <w:spacing w:after="0" w:line="126" w:lineRule="exact"/>
        <w:rPr>
          <w:sz w:val="20"/>
          <w:szCs w:val="20"/>
          <w:color w:val="auto"/>
        </w:rPr>
      </w:pPr>
    </w:p>
    <w:p>
      <w:pPr>
        <w:ind w:left="840" w:right="16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shall mean the contractual terms and conditions which govern the employment of the Colleague by Employer.</w:t>
      </w:r>
    </w:p>
    <w:p>
      <w:pPr>
        <w:spacing w:after="0" w:line="126" w:lineRule="exact"/>
        <w:rPr>
          <w:sz w:val="20"/>
          <w:szCs w:val="20"/>
          <w:color w:val="auto"/>
        </w:rPr>
      </w:pPr>
    </w:p>
    <w:p>
      <w:pPr>
        <w:jc w:val="both"/>
        <w:ind w:left="840" w:right="10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Garden Leave</w:t>
      </w:r>
      <w:r>
        <w:rPr>
          <w:rFonts w:ascii="Times New Roman" w:cs="Times New Roman" w:eastAsia="Times New Roman" w:hAnsi="Times New Roman"/>
          <w:sz w:val="20"/>
          <w:szCs w:val="20"/>
          <w:color w:val="auto"/>
        </w:rPr>
        <w:t>” shall mean any period during any notice period where Employer requires the Colleague to remain available to respond to questions and requests from the Employer, but not to enter into the office(s) of the Restricted Group without the prior written consent of Employer.</w:t>
      </w:r>
    </w:p>
    <w:p>
      <w:pPr>
        <w:spacing w:after="0" w:line="143" w:lineRule="exact"/>
        <w:rPr>
          <w:sz w:val="20"/>
          <w:szCs w:val="20"/>
          <w:color w:val="auto"/>
        </w:rPr>
      </w:pPr>
    </w:p>
    <w:p>
      <w:pPr>
        <w:ind w:left="840" w:right="40" w:hanging="837"/>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shall mean any person who is at the date the Colleague ceases to be an employee of Employer or was at any time during the period of twelve months prior to that date employed by the Restricted Group and who was an employee with whom the Colleague had dealings other than in a minimal and non-material way and who was employed by or engaged in the Business in an executive or senior managerial capacity, or was an employee with insurance, reinsurance or other technical expertise.</w:t>
      </w:r>
    </w:p>
    <w:p>
      <w:pPr>
        <w:spacing w:after="0" w:line="1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have the meaning set forth in the recitals.</w:t>
      </w:r>
    </w:p>
    <w:p>
      <w:pPr>
        <w:spacing w:after="0" w:line="188" w:lineRule="exact"/>
        <w:rPr>
          <w:sz w:val="20"/>
          <w:szCs w:val="20"/>
          <w:color w:val="auto"/>
        </w:rPr>
      </w:pPr>
    </w:p>
    <w:p>
      <w:pPr>
        <w:ind w:left="840" w:right="18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Area</w:t>
      </w:r>
      <w:r>
        <w:rPr>
          <w:rFonts w:ascii="Times New Roman" w:cs="Times New Roman" w:eastAsia="Times New Roman" w:hAnsi="Times New Roman"/>
          <w:sz w:val="20"/>
          <w:szCs w:val="20"/>
          <w:color w:val="auto"/>
        </w:rPr>
        <w:t>” shall mean: such country or countries in which the Colleague has carried on Business on behalf of the Company or any of its Subsidiaries in which the Colleague has been involved or concerned or worked on other than in a minimal and non-material way at any time during the period of 12 months prior to the date on which the Colleague ceases to be employed by Employer.</w:t>
      </w:r>
    </w:p>
    <w:p>
      <w:pPr>
        <w:spacing w:after="0" w:line="147" w:lineRule="exact"/>
        <w:rPr>
          <w:sz w:val="20"/>
          <w:szCs w:val="20"/>
          <w:color w:val="auto"/>
        </w:rPr>
      </w:pPr>
    </w:p>
    <w:p>
      <w:pPr>
        <w:ind w:left="840" w:right="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Client</w:t>
      </w:r>
      <w:r>
        <w:rPr>
          <w:rFonts w:ascii="Times New Roman" w:cs="Times New Roman" w:eastAsia="Times New Roman" w:hAnsi="Times New Roman"/>
          <w:sz w:val="20"/>
          <w:szCs w:val="20"/>
          <w:color w:val="auto"/>
        </w:rPr>
        <w:t>” shall mean any person, firm or company who or which at any time during the period of twelve months prior to the date on which the Colleague ceases to be employed by Employer is or was a client or customer of the Company or any of its Subsidiaries or was in the habit and/or practice of dealing under contract with the Company or any of its</w:t>
      </w:r>
    </w:p>
    <w:p>
      <w:pPr>
        <w:spacing w:after="0" w:line="1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626110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7" w:right="339" w:bottom="1440" w:gutter="0" w:footer="0" w:header="0"/>
        </w:sectPr>
      </w:pPr>
    </w:p>
    <w:bookmarkStart w:id="77" w:name="page78"/>
    <w:bookmarkEnd w:id="77"/>
    <w:p>
      <w:pPr>
        <w:jc w:val="both"/>
        <w:ind w:left="1120" w:right="240"/>
        <w:spacing w:after="0" w:line="253" w:lineRule="auto"/>
        <w:rPr>
          <w:sz w:val="20"/>
          <w:szCs w:val="20"/>
          <w:color w:val="auto"/>
        </w:rPr>
      </w:pPr>
      <w:r>
        <w:rPr>
          <w:rFonts w:ascii="Times New Roman" w:cs="Times New Roman" w:eastAsia="Times New Roman" w:hAnsi="Times New Roman"/>
          <w:sz w:val="20"/>
          <w:szCs w:val="20"/>
          <w:color w:val="auto"/>
        </w:rPr>
        <w:t>Subsidiaries and with whom or which the Colleague had dealings related to the Business (other than in a minimal and non-material way) or for whose relationship with the Company or any of its Subsidiaries the Colleague had responsibility at any time during the said period.</w:t>
      </w:r>
    </w:p>
    <w:p>
      <w:pPr>
        <w:spacing w:after="0" w:line="145" w:lineRule="exact"/>
        <w:rPr>
          <w:sz w:val="20"/>
          <w:szCs w:val="20"/>
          <w:color w:val="auto"/>
        </w:rPr>
      </w:pPr>
    </w:p>
    <w:p>
      <w:pPr>
        <w:jc w:val="both"/>
        <w:ind w:left="1120" w:right="60" w:hanging="837"/>
        <w:spacing w:after="0" w:line="255" w:lineRule="auto"/>
        <w:tabs>
          <w:tab w:leader="none" w:pos="110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shall mean the period of twelve months following the date on which the Colleague ceases to be employed by Employer reduced by the length of any period of Garden Leave (if applicable) observed by the Colleague at the instruction of Employer.</w:t>
      </w:r>
    </w:p>
    <w:p>
      <w:pPr>
        <w:spacing w:after="0" w:line="143" w:lineRule="exact"/>
        <w:rPr>
          <w:sz w:val="20"/>
          <w:szCs w:val="20"/>
          <w:color w:val="auto"/>
        </w:rPr>
      </w:pPr>
    </w:p>
    <w:p>
      <w:pPr>
        <w:ind w:left="1120" w:right="60" w:hanging="837"/>
        <w:spacing w:after="0" w:line="250" w:lineRule="auto"/>
        <w:tabs>
          <w:tab w:leader="none" w:pos="110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Prospect</w:t>
      </w:r>
      <w:r>
        <w:rPr>
          <w:rFonts w:ascii="Times New Roman" w:cs="Times New Roman" w:eastAsia="Times New Roman" w:hAnsi="Times New Roman"/>
          <w:sz w:val="20"/>
          <w:szCs w:val="20"/>
          <w:color w:val="auto"/>
        </w:rPr>
        <w:t>” shall mean any person, firm or company who or which at any time during the period of twelve months prior to the date on which the Colleague ceases to be employed by Employer was an active prospective client of the Company or any of its Subsidiaries with whom or with which the Colleague had dealings related to the Business (other than in a minimal and non-material way).</w:t>
      </w:r>
    </w:p>
    <w:p>
      <w:pPr>
        <w:spacing w:after="0" w:line="147" w:lineRule="exact"/>
        <w:rPr>
          <w:sz w:val="20"/>
          <w:szCs w:val="20"/>
          <w:color w:val="auto"/>
        </w:rPr>
      </w:pPr>
    </w:p>
    <w:p>
      <w:pPr>
        <w:ind w:left="1120" w:right="240" w:hanging="837"/>
        <w:spacing w:after="0" w:line="272" w:lineRule="auto"/>
        <w:tabs>
          <w:tab w:leader="none" w:pos="110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Group</w:t>
      </w:r>
      <w:r>
        <w:rPr>
          <w:rFonts w:ascii="Times New Roman" w:cs="Times New Roman" w:eastAsia="Times New Roman" w:hAnsi="Times New Roman"/>
          <w:sz w:val="20"/>
          <w:szCs w:val="20"/>
          <w:color w:val="auto"/>
        </w:rPr>
        <w:t>” shall mean the Company and its Subsidiaries, as in existence during the Colleague’s employment with Employer and as of the date such employment ceases.</w:t>
      </w:r>
    </w:p>
    <w:p>
      <w:pPr>
        <w:spacing w:after="0" w:line="126" w:lineRule="exact"/>
        <w:rPr>
          <w:sz w:val="20"/>
          <w:szCs w:val="20"/>
          <w:color w:val="auto"/>
        </w:rPr>
      </w:pPr>
    </w:p>
    <w:p>
      <w:pPr>
        <w:ind w:left="1120" w:right="600" w:hanging="837"/>
        <w:spacing w:after="0" w:line="272" w:lineRule="auto"/>
        <w:tabs>
          <w:tab w:leader="none" w:pos="110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 direct and/or indirect subsidiary of the Company as well as any associate company which is designated by the Company as being eligible for participation in the Plan.</w:t>
      </w:r>
    </w:p>
    <w:p>
      <w:pPr>
        <w:spacing w:after="0" w:line="15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u w:val="single" w:color="auto"/>
          <w:color w:val="auto"/>
        </w:rPr>
        <w:t>Section 10</w:t>
      </w:r>
      <w:r>
        <w:rPr>
          <w:sz w:val="20"/>
          <w:szCs w:val="20"/>
          <w:color w:val="auto"/>
        </w:rPr>
        <w:tab/>
      </w:r>
      <w:r>
        <w:rPr>
          <w:rFonts w:ascii="Times New Roman" w:cs="Times New Roman" w:eastAsia="Times New Roman" w:hAnsi="Times New Roman"/>
          <w:sz w:val="19"/>
          <w:szCs w:val="19"/>
          <w:color w:val="auto"/>
        </w:rPr>
        <w:t>- Restrictive Covenants and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-10795</wp:posOffset>
            </wp:positionV>
            <wp:extent cx="235585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95" w:lineRule="exact"/>
        <w:rPr>
          <w:sz w:val="20"/>
          <w:szCs w:val="20"/>
          <w:color w:val="auto"/>
        </w:rPr>
      </w:pPr>
    </w:p>
    <w:p>
      <w:pPr>
        <w:ind w:left="1100" w:right="240" w:hanging="823"/>
        <w:spacing w:after="0" w:line="246" w:lineRule="auto"/>
        <w:tabs>
          <w:tab w:leader="none" w:pos="108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Colleague acknowledges that by virtue of their senior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w:t>
      </w:r>
    </w:p>
    <w:p>
      <w:pPr>
        <w:spacing w:after="0" w:line="156" w:lineRule="exact"/>
        <w:rPr>
          <w:sz w:val="20"/>
          <w:szCs w:val="20"/>
          <w:color w:val="auto"/>
        </w:rPr>
      </w:pPr>
    </w:p>
    <w:p>
      <w:pPr>
        <w:ind w:left="1100" w:right="40" w:hanging="448"/>
        <w:spacing w:after="0" w:line="242" w:lineRule="auto"/>
        <w:tabs>
          <w:tab w:leader="none" w:pos="1080" w:val="left"/>
        </w:tabs>
        <w:rPr>
          <w:sz w:val="20"/>
          <w:szCs w:val="20"/>
          <w:color w:val="auto"/>
        </w:rPr>
      </w:pPr>
      <w:r>
        <w:rPr>
          <w:rFonts w:ascii="Times New Roman" w:cs="Times New Roman" w:eastAsia="Times New Roman" w:hAnsi="Times New Roman"/>
          <w:sz w:val="20"/>
          <w:szCs w:val="20"/>
          <w:color w:val="auto"/>
        </w:rPr>
        <w:t>3.2</w:t>
        <w:tab/>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except as reasonably may be required to be disclosed by the Colleague in the ordinary performance of their duties for Employer or as required by law. Notwithstanding,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spacing w:after="0" w:line="165" w:lineRule="exact"/>
        <w:rPr>
          <w:sz w:val="20"/>
          <w:szCs w:val="20"/>
          <w:color w:val="auto"/>
        </w:rPr>
      </w:pPr>
    </w:p>
    <w:p>
      <w:pPr>
        <w:ind w:left="1120" w:hanging="837"/>
        <w:spacing w:after="0" w:line="244" w:lineRule="auto"/>
        <w:tabs>
          <w:tab w:leader="none" w:pos="110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spacing w:after="0" w:line="15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626110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411" w:right="339" w:bottom="1440" w:gutter="0" w:footer="0" w:header="0"/>
        </w:sectPr>
      </w:pPr>
    </w:p>
    <w:bookmarkStart w:id="78" w:name="page79"/>
    <w:bookmarkEnd w:id="78"/>
    <w:p>
      <w:pPr>
        <w:ind w:left="1120" w:right="20" w:hanging="837"/>
        <w:spacing w:after="0" w:line="244" w:lineRule="auto"/>
        <w:tabs>
          <w:tab w:leader="none" w:pos="110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The Colleague shall provide a minimum of three month’s notice or such notice contained in the Colleague’s Employment Agreement, whichever is the longer, in the event of their resignation from employment with Employer. The Colleague shall provide a written resignation letter to Employer prior to the commencement of any such notice period. To the extent allowed by applicable law, the Colleague may be placed on Garden Leave for all or any portion of any notice period. During the notice period, whether or not the Colleague is on Garden Leave, the Colleague shall remain an employee of Employer and shall continue to receive the Colleague’s full salary and benefits. The Company or Employer shall have the discretion to apply a shorter period than the three-month period set forth in 3.4.</w:t>
      </w:r>
    </w:p>
    <w:p>
      <w:pPr>
        <w:spacing w:after="0" w:line="157" w:lineRule="exact"/>
        <w:rPr>
          <w:sz w:val="20"/>
          <w:szCs w:val="20"/>
          <w:color w:val="auto"/>
        </w:rPr>
      </w:pPr>
    </w:p>
    <w:p>
      <w:pPr>
        <w:ind w:left="280"/>
        <w:spacing w:after="0"/>
        <w:tabs>
          <w:tab w:leader="none" w:pos="110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Colleague shall not, for the Relevant Period, directly or indirectly:</w:t>
      </w:r>
    </w:p>
    <w:p>
      <w:pPr>
        <w:spacing w:after="0" w:line="188" w:lineRule="exact"/>
        <w:rPr>
          <w:sz w:val="20"/>
          <w:szCs w:val="20"/>
          <w:color w:val="auto"/>
        </w:rPr>
      </w:pPr>
    </w:p>
    <w:p>
      <w:pPr>
        <w:ind w:left="1780" w:right="300" w:hanging="748"/>
        <w:spacing w:after="0" w:line="268" w:lineRule="auto"/>
        <w:tabs>
          <w:tab w:leader="none" w:pos="1760" w:val="left"/>
        </w:tabs>
        <w:rPr>
          <w:sz w:val="20"/>
          <w:szCs w:val="20"/>
          <w:color w:val="auto"/>
        </w:rPr>
      </w:pPr>
      <w:r>
        <w:rPr>
          <w:rFonts w:ascii="Times New Roman" w:cs="Times New Roman" w:eastAsia="Times New Roman" w:hAnsi="Times New Roman"/>
          <w:sz w:val="20"/>
          <w:szCs w:val="20"/>
          <w:color w:val="auto"/>
        </w:rPr>
        <w:t>3.5.1.</w:t>
        <w:tab/>
        <w:t>within the Relevant Area, solicit any Relevant Client or Relevant Prospect for the purposes of any Business which competes or will compete or seeks to compete with the Restricted Group;</w:t>
      </w:r>
    </w:p>
    <w:p>
      <w:pPr>
        <w:spacing w:after="0" w:line="161" w:lineRule="exact"/>
        <w:rPr>
          <w:sz w:val="20"/>
          <w:szCs w:val="20"/>
          <w:color w:val="auto"/>
        </w:rPr>
      </w:pPr>
    </w:p>
    <w:p>
      <w:pPr>
        <w:jc w:val="center"/>
        <w:ind w:left="1320" w:right="140"/>
        <w:spacing w:after="0" w:line="268" w:lineRule="auto"/>
        <w:rPr>
          <w:sz w:val="20"/>
          <w:szCs w:val="20"/>
          <w:color w:val="auto"/>
        </w:rPr>
      </w:pPr>
      <w:r>
        <w:rPr>
          <w:rFonts w:ascii="Times New Roman" w:cs="Times New Roman" w:eastAsia="Times New Roman" w:hAnsi="Times New Roman"/>
          <w:sz w:val="20"/>
          <w:szCs w:val="20"/>
          <w:color w:val="auto"/>
        </w:rPr>
        <w:t>3.5.2.   within the Relevant Area, accept, perform services for, or deal with any Relevant Client or Relevant Prospect for the purposes of any Business which competes or will compete or seeks to compete with the Restricted Group;</w:t>
      </w:r>
    </w:p>
    <w:p>
      <w:pPr>
        <w:spacing w:after="0" w:line="161" w:lineRule="exact"/>
        <w:rPr>
          <w:sz w:val="20"/>
          <w:szCs w:val="20"/>
          <w:color w:val="auto"/>
        </w:rPr>
      </w:pPr>
    </w:p>
    <w:p>
      <w:pPr>
        <w:ind w:left="1040"/>
        <w:spacing w:after="0"/>
        <w:tabs>
          <w:tab w:leader="none" w:pos="1760" w:val="left"/>
        </w:tabs>
        <w:rPr>
          <w:sz w:val="20"/>
          <w:szCs w:val="20"/>
          <w:color w:val="auto"/>
        </w:rPr>
      </w:pPr>
      <w:r>
        <w:rPr>
          <w:rFonts w:ascii="Times New Roman" w:cs="Times New Roman" w:eastAsia="Times New Roman" w:hAnsi="Times New Roman"/>
          <w:sz w:val="20"/>
          <w:szCs w:val="20"/>
          <w:color w:val="auto"/>
        </w:rPr>
        <w:t>3.5.3.</w:t>
      </w:r>
      <w:r>
        <w:rPr>
          <w:sz w:val="20"/>
          <w:szCs w:val="20"/>
          <w:color w:val="auto"/>
        </w:rPr>
        <w:tab/>
      </w:r>
      <w:r>
        <w:rPr>
          <w:rFonts w:ascii="Times New Roman" w:cs="Times New Roman" w:eastAsia="Times New Roman" w:hAnsi="Times New Roman"/>
          <w:sz w:val="19"/>
          <w:szCs w:val="19"/>
          <w:color w:val="auto"/>
        </w:rPr>
        <w:t>solicit for employment or entice away from the Restricted Group any Key Personnel; or</w:t>
      </w:r>
    </w:p>
    <w:p>
      <w:pPr>
        <w:spacing w:after="0" w:line="215" w:lineRule="exact"/>
        <w:rPr>
          <w:sz w:val="20"/>
          <w:szCs w:val="20"/>
          <w:color w:val="auto"/>
        </w:rPr>
      </w:pPr>
    </w:p>
    <w:p>
      <w:pPr>
        <w:ind w:left="1100"/>
        <w:spacing w:after="0"/>
        <w:tabs>
          <w:tab w:leader="none" w:pos="2200" w:val="left"/>
        </w:tabs>
        <w:rPr>
          <w:sz w:val="20"/>
          <w:szCs w:val="20"/>
          <w:color w:val="auto"/>
        </w:rPr>
      </w:pPr>
      <w:r>
        <w:rPr>
          <w:rFonts w:ascii="Times New Roman" w:cs="Times New Roman" w:eastAsia="Times New Roman" w:hAnsi="Times New Roman"/>
          <w:sz w:val="20"/>
          <w:szCs w:val="20"/>
          <w:color w:val="auto"/>
        </w:rPr>
        <w:t>3.5.4.</w:t>
      </w:r>
      <w:r>
        <w:rPr>
          <w:sz w:val="20"/>
          <w:szCs w:val="20"/>
          <w:color w:val="auto"/>
        </w:rPr>
        <w:tab/>
      </w:r>
      <w:r>
        <w:rPr>
          <w:rFonts w:ascii="Times New Roman" w:cs="Times New Roman" w:eastAsia="Times New Roman" w:hAnsi="Times New Roman"/>
          <w:sz w:val="19"/>
          <w:szCs w:val="19"/>
          <w:color w:val="auto"/>
        </w:rPr>
        <w:t>employ or engage or endeavour to employ or engage any Key Personnel.</w:t>
      </w:r>
    </w:p>
    <w:p>
      <w:pPr>
        <w:spacing w:after="0" w:line="215" w:lineRule="exact"/>
        <w:rPr>
          <w:sz w:val="20"/>
          <w:szCs w:val="20"/>
          <w:color w:val="auto"/>
        </w:rPr>
      </w:pPr>
    </w:p>
    <w:p>
      <w:pPr>
        <w:ind w:left="1120" w:right="200" w:hanging="837"/>
        <w:spacing w:after="0" w:line="253" w:lineRule="auto"/>
        <w:tabs>
          <w:tab w:leader="none" w:pos="110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To the extent the Colleague is a party to an Employment Agreement or other agreement with the Restricted Group that contains post-employment restrictions, those post-employment restrictions shall run concurrently with the post-employment restrictions contained in this Section 3.</w:t>
      </w:r>
    </w:p>
    <w:p>
      <w:pPr>
        <w:spacing w:after="0" w:line="149" w:lineRule="exact"/>
        <w:rPr>
          <w:sz w:val="20"/>
          <w:szCs w:val="20"/>
          <w:color w:val="auto"/>
        </w:rPr>
      </w:pPr>
    </w:p>
    <w:p>
      <w:pPr>
        <w:ind w:left="1120" w:right="280" w:hanging="837"/>
        <w:spacing w:after="0" w:line="268" w:lineRule="auto"/>
        <w:tabs>
          <w:tab w:leader="none" w:pos="110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The Colleague acknowledges that the provisions of this Section 3 are fair, reasonable and necessary to protect the goodwill and interests of the Restricted Group.</w:t>
      </w:r>
    </w:p>
    <w:p>
      <w:pPr>
        <w:spacing w:after="0" w:line="16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 Non-Disparagement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614680</wp:posOffset>
            </wp:positionH>
            <wp:positionV relativeFrom="paragraph">
              <wp:posOffset>-10795</wp:posOffset>
            </wp:positionV>
            <wp:extent cx="11430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95" w:lineRule="exact"/>
        <w:rPr>
          <w:sz w:val="20"/>
          <w:szCs w:val="20"/>
          <w:color w:val="auto"/>
        </w:rPr>
      </w:pPr>
    </w:p>
    <w:p>
      <w:pPr>
        <w:ind w:left="1040" w:hanging="748"/>
        <w:spacing w:after="0" w:line="246" w:lineRule="auto"/>
        <w:tabs>
          <w:tab w:leader="none" w:pos="102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The Employer and Colleague agree not to act in any manner detrimental to each other or cause to be made any derogatory statements concerning each other (including an obligation on the Employer and Colleague not to make any statement whether oral or in writing which may have the effect of damaging the reputation of the other) including, in Colleague’s case, concerning the business, officers, employees, directors (including any non-executive directors or former directors), consultants, agents, distributors, clients or customers (whether former or current) or otherwise of the Restricted Group.</w:t>
      </w:r>
    </w:p>
    <w:p>
      <w:pPr>
        <w:spacing w:after="0" w:line="156" w:lineRule="exact"/>
        <w:rPr>
          <w:sz w:val="20"/>
          <w:szCs w:val="20"/>
          <w:color w:val="auto"/>
        </w:rPr>
      </w:pPr>
    </w:p>
    <w:p>
      <w:pPr>
        <w:ind w:left="1040" w:right="140" w:hanging="823"/>
        <w:spacing w:after="0" w:line="273" w:lineRule="auto"/>
        <w:tabs>
          <w:tab w:leader="none" w:pos="102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The Employer and Colleague further agree that without the prior written consent of the other party they shall not make, or cause to be made, any statement or comment to the press (whether local, national or specialist) or any other media concerning Colleague’s employment with the Employer or, where applicable, their termination of employment for any reason.</w:t>
      </w:r>
    </w:p>
    <w:p>
      <w:pPr>
        <w:spacing w:after="0" w:line="158"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u w:val="single" w:color="auto"/>
          <w:color w:val="auto"/>
        </w:rPr>
        <w:t>Section 12</w:t>
      </w:r>
      <w:r>
        <w:rPr>
          <w:sz w:val="20"/>
          <w:szCs w:val="20"/>
          <w:color w:val="auto"/>
        </w:rPr>
        <w:tab/>
      </w:r>
      <w:r>
        <w:rPr>
          <w:rFonts w:ascii="Times New Roman" w:cs="Times New Roman" w:eastAsia="Times New Roman" w:hAnsi="Times New Roman"/>
          <w:sz w:val="19"/>
          <w:szCs w:val="19"/>
          <w:color w:val="auto"/>
        </w:rPr>
        <w:t>- Governing Law &amp;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610870</wp:posOffset>
            </wp:positionH>
            <wp:positionV relativeFrom="paragraph">
              <wp:posOffset>-10795</wp:posOffset>
            </wp:positionV>
            <wp:extent cx="164147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95" w:lineRule="exact"/>
        <w:rPr>
          <w:sz w:val="20"/>
          <w:szCs w:val="20"/>
          <w:color w:val="auto"/>
        </w:rPr>
      </w:pPr>
    </w:p>
    <w:p>
      <w:pPr>
        <w:ind w:left="1040" w:right="160" w:hanging="837"/>
        <w:spacing w:after="0" w:line="268" w:lineRule="auto"/>
        <w:tabs>
          <w:tab w:leader="none" w:pos="102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This Non-U.S. RCA shall be governed by and construed in accordance with the laws of the jurisdiction in which Colleague is employed by Employer, without regard to its conflict of laws.</w:t>
      </w:r>
    </w:p>
    <w:p>
      <w:pPr>
        <w:spacing w:after="0" w:line="1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626110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20" w:top="1411" w:right="359" w:bottom="1440" w:gutter="0" w:footer="0" w:header="0"/>
        </w:sectPr>
      </w:pPr>
    </w:p>
    <w:bookmarkStart w:id="79" w:name="page80"/>
    <w:bookmarkEnd w:id="79"/>
    <w:p>
      <w:pPr>
        <w:ind w:left="1140" w:hanging="837"/>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The courts of the jurisdiction in which the Colleague is employed by Employer shall have jurisdiction to hear any suit, action or proceeding and to settle any disputes which may arise out of or in connection with this Non-U.S. RCA and for such purposes the parties hereto irrevocably submit to the jurisdiction of such courts.</w:t>
      </w:r>
    </w:p>
    <w:p>
      <w:pPr>
        <w:spacing w:after="0" w:line="176"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20"/>
          <w:szCs w:val="20"/>
          <w:u w:val="single" w:color="auto"/>
          <w:color w:val="auto"/>
        </w:rPr>
        <w:t>Section 13</w:t>
      </w:r>
      <w:r>
        <w:rPr>
          <w:sz w:val="20"/>
          <w:szCs w:val="20"/>
          <w:color w:val="auto"/>
        </w:rPr>
        <w:tab/>
      </w:r>
      <w:r>
        <w:rPr>
          <w:rFonts w:ascii="Times New Roman" w:cs="Times New Roman" w:eastAsia="Times New Roman" w:hAnsi="Times New Roman"/>
          <w:sz w:val="19"/>
          <w:szCs w:val="19"/>
          <w:color w:val="auto"/>
        </w:rPr>
        <w:t>– Consideration, Severability, Beneficiaries &amp; Effect on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723265</wp:posOffset>
            </wp:positionH>
            <wp:positionV relativeFrom="paragraph">
              <wp:posOffset>-10795</wp:posOffset>
            </wp:positionV>
            <wp:extent cx="382270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3822700" cy="8255"/>
                    </a:xfrm>
                    <a:prstGeom prst="rect">
                      <a:avLst/>
                    </a:prstGeom>
                    <a:noFill/>
                  </pic:spPr>
                </pic:pic>
              </a:graphicData>
            </a:graphic>
          </wp:anchor>
        </w:drawing>
      </w:r>
    </w:p>
    <w:p>
      <w:pPr>
        <w:spacing w:after="0" w:line="195" w:lineRule="exact"/>
        <w:rPr>
          <w:sz w:val="20"/>
          <w:szCs w:val="20"/>
          <w:color w:val="auto"/>
        </w:rPr>
      </w:pPr>
    </w:p>
    <w:p>
      <w:pPr>
        <w:ind w:left="1140" w:hanging="837"/>
        <w:spacing w:after="0" w:line="249" w:lineRule="auto"/>
        <w:tabs>
          <w:tab w:leader="none" w:pos="11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The Colleague acknowledges that the covenants and undertakings they have made herein, including those made in Section 3, are being given for the benefit of the Restricted Group, including Employer, and may be enforced by the Company and/or by its Subsidiaries, including for avoidance of doubt, Employer, on behalf of all or any of them and that such Subsidiaries are intended beneficiaries of this Non-U.S. RCA.</w:t>
      </w:r>
    </w:p>
    <w:p>
      <w:pPr>
        <w:spacing w:after="0" w:line="151" w:lineRule="exact"/>
        <w:rPr>
          <w:sz w:val="20"/>
          <w:szCs w:val="20"/>
          <w:color w:val="auto"/>
        </w:rPr>
      </w:pPr>
    </w:p>
    <w:p>
      <w:pPr>
        <w:ind w:left="1140" w:right="40" w:hanging="837"/>
        <w:spacing w:after="0" w:line="245" w:lineRule="auto"/>
        <w:tabs>
          <w:tab w:leader="none" w:pos="11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The parties acknowledge that the provisions of this Non-U.S. RCA are severable. If any part or provision of this Non-U.S. RCA shall be determined by any court or tribunal to be invalid, then such partial invalidity shall not cause the remainder of this Non-U.S. RCA to be or become invalid. If any provision hereof is held unenforceable on the basis that it exceeds what is reasonable for the protection of the goodwill and interests of the Restricted Group, but would be valid if part of the wording were modified or deleted, as permitted by applicable law, then such restriction or obligation shall apply with such deletions or modifications as may be necessary to make it enforceable.</w:t>
      </w:r>
    </w:p>
    <w:p>
      <w:pPr>
        <w:spacing w:after="0" w:line="156" w:lineRule="exact"/>
        <w:rPr>
          <w:sz w:val="20"/>
          <w:szCs w:val="20"/>
          <w:color w:val="auto"/>
        </w:rPr>
      </w:pPr>
    </w:p>
    <w:p>
      <w:pPr>
        <w:ind w:left="1140" w:right="160" w:hanging="837"/>
        <w:spacing w:after="0" w:line="246" w:lineRule="auto"/>
        <w:tabs>
          <w:tab w:leader="none" w:pos="11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The Colleague acknowledges that they remain bound by any Employment Agreement or any other agreement entered into by the Colleague with the Restricted Group and this Non-U.S. RCA shall be in addition to, and not in place of any such agreements. The Colleague further acknowledges that in the event of any breach by the Colleague of any provision contained in such agreements or this Non-U.S. RCA, the Company and/or any Subsidiary, including for avoidance of doubt Employer, may, in their discretion, enforce any term and condition of those agreements and/or this Non-U.S. RCA.</w:t>
      </w:r>
    </w:p>
    <w:p>
      <w:pPr>
        <w:spacing w:after="0" w:line="156" w:lineRule="exact"/>
        <w:rPr>
          <w:sz w:val="20"/>
          <w:szCs w:val="20"/>
          <w:color w:val="auto"/>
        </w:rPr>
      </w:pPr>
    </w:p>
    <w:p>
      <w:pPr>
        <w:ind w:left="1140" w:right="440" w:hanging="837"/>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The Colleague acknowledges that any Awards, separately and/or together, constitute adequate consideration to support the covenants and promises made by the Colleague within this Non-U.S. RCA.</w:t>
      </w:r>
    </w:p>
    <w:p>
      <w:pPr>
        <w:spacing w:after="0" w:line="161" w:lineRule="exact"/>
        <w:rPr>
          <w:sz w:val="20"/>
          <w:szCs w:val="20"/>
          <w:color w:val="auto"/>
        </w:rPr>
      </w:pPr>
    </w:p>
    <w:p>
      <w:pPr>
        <w:ind w:left="100"/>
        <w:spacing w:after="0"/>
        <w:tabs>
          <w:tab w:leader="none" w:pos="1100" w:val="left"/>
        </w:tabs>
        <w:rPr>
          <w:sz w:val="20"/>
          <w:szCs w:val="20"/>
          <w:color w:val="auto"/>
        </w:rPr>
      </w:pPr>
      <w:r>
        <w:rPr>
          <w:rFonts w:ascii="Times New Roman" w:cs="Times New Roman" w:eastAsia="Times New Roman" w:hAnsi="Times New Roman"/>
          <w:sz w:val="20"/>
          <w:szCs w:val="20"/>
          <w:u w:val="single" w:color="auto"/>
          <w:color w:val="auto"/>
        </w:rPr>
        <w:t>Section 14</w:t>
      </w:r>
      <w:r>
        <w:rPr>
          <w:sz w:val="20"/>
          <w:szCs w:val="20"/>
          <w:color w:val="auto"/>
        </w:rPr>
        <w:tab/>
      </w:r>
      <w:r>
        <w:rPr>
          <w:rFonts w:ascii="Times New Roman" w:cs="Times New Roman" w:eastAsia="Times New Roman" w:hAnsi="Times New Roman"/>
          <w:sz w:val="19"/>
          <w:szCs w:val="19"/>
          <w:color w:val="auto"/>
        </w:rPr>
        <w:t>–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674370</wp:posOffset>
            </wp:positionH>
            <wp:positionV relativeFrom="paragraph">
              <wp:posOffset>-10795</wp:posOffset>
            </wp:positionV>
            <wp:extent cx="8502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19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This Non-U.S. RCA may not be modified except by written agreement signed by both parties hereto.</w:t>
      </w:r>
    </w:p>
    <w:p>
      <w:pPr>
        <w:spacing w:after="0" w:line="188" w:lineRule="exact"/>
        <w:rPr>
          <w:sz w:val="20"/>
          <w:szCs w:val="20"/>
          <w:color w:val="auto"/>
        </w:rPr>
      </w:pPr>
    </w:p>
    <w:p>
      <w:pPr>
        <w:ind w:left="1140" w:right="40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The rights of the Restricted Group under this Non-U.S. RCA shall inure to the benefit of any and all of its/their successors, assigns, parent companies, sister companies, subsidiaries and other affiliated corporations.</w:t>
      </w:r>
    </w:p>
    <w:p>
      <w:pPr>
        <w:spacing w:after="0" w:line="134" w:lineRule="exact"/>
        <w:rPr>
          <w:sz w:val="20"/>
          <w:szCs w:val="20"/>
          <w:color w:val="auto"/>
        </w:rPr>
      </w:pPr>
    </w:p>
    <w:p>
      <w:pPr>
        <w:ind w:left="1140" w:right="36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color w:val="auto"/>
        </w:rPr>
        <w:t>The waiver by either party of any breach of this Non-U.S. RCA shall not operate or be construed as a waiver of that party’s rights on any subsequent breach.</w:t>
      </w:r>
    </w:p>
    <w:p>
      <w:pPr>
        <w:spacing w:after="0" w:line="134" w:lineRule="exact"/>
        <w:rPr>
          <w:sz w:val="20"/>
          <w:szCs w:val="20"/>
          <w:color w:val="auto"/>
        </w:rPr>
      </w:pPr>
    </w:p>
    <w:p>
      <w:pPr>
        <w:jc w:val="both"/>
        <w:ind w:left="1140" w:right="60" w:hanging="748"/>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color w:val="auto"/>
        </w:rPr>
        <w:t>The Colleague acknowledges and agrees that the Colleague shall be obliged to draw the provisions of Section 3 to the attention of any third party who may, at any time before or after the termination of the Colleague’s employment with Employer, offer to employ or engage them and for or with whom the Colleague intends to work within the Relevant Period.</w:t>
      </w:r>
    </w:p>
    <w:p>
      <w:pPr>
        <w:spacing w:after="0" w:line="149" w:lineRule="exact"/>
        <w:rPr>
          <w:sz w:val="20"/>
          <w:szCs w:val="20"/>
          <w:color w:val="auto"/>
        </w:rPr>
      </w:pPr>
    </w:p>
    <w:p>
      <w:pPr>
        <w:ind w:left="1140" w:right="14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color w:val="auto"/>
        </w:rPr>
        <w:t>The various section headings contained in this Non-U.S. RCA are for the purpose of convenience only and are not intended to define or limit the contents of such sections.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0" w:name="page81"/>
    <w:bookmarkEnd w:id="80"/>
    <w:p>
      <w:pPr>
        <w:spacing w:after="0" w:line="201" w:lineRule="exact"/>
        <w:rPr>
          <w:sz w:val="20"/>
          <w:szCs w:val="20"/>
          <w:color w:val="auto"/>
        </w:rPr>
      </w:pPr>
    </w:p>
    <w:p>
      <w:pPr>
        <w:ind w:left="1140" w:right="140" w:hanging="748"/>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This Non-U.S. RCA may be executed in one or more counterparts, each of which shall constitute an original and all of which taken together shall constitute one and the same document. This Non-U.S. RCA will be binding, notwithstanding that either party’s signature is displayed only on a facsimile or electronic copy of the signature page.</w:t>
      </w:r>
    </w:p>
    <w:p>
      <w:pPr>
        <w:spacing w:after="0" w:line="14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Any provisions which by their nature survive termination of this Non-U.S. RCA, including the obligations set forth in Sections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3 and 4 shall survive termination of this Non-U.S. RCA.</w:t>
      </w:r>
    </w:p>
    <w:p>
      <w:pPr>
        <w:spacing w:after="0" w:line="166"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The Colleague understands that they have the right to consult with an attorney prior to signing this Non-U.S. RCA.</w:t>
      </w:r>
    </w:p>
    <w:p>
      <w:pPr>
        <w:spacing w:after="0" w:line="200" w:lineRule="exact"/>
        <w:rPr>
          <w:sz w:val="20"/>
          <w:szCs w:val="20"/>
          <w:color w:val="auto"/>
        </w:rPr>
      </w:pPr>
    </w:p>
    <w:p>
      <w:pPr>
        <w:spacing w:after="0" w:line="21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______Electronic Signature_____________________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_______Colleague Name_____________________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81" w:name="page82"/>
    <w:bookmarkEnd w:id="81"/>
    <w:p>
      <w:pPr>
        <w:ind w:left="9960"/>
        <w:spacing w:after="0"/>
        <w:rPr>
          <w:sz w:val="20"/>
          <w:szCs w:val="20"/>
          <w:color w:val="auto"/>
        </w:rPr>
      </w:pPr>
      <w:r>
        <w:rPr>
          <w:rFonts w:ascii="Times New Roman" w:cs="Times New Roman" w:eastAsia="Times New Roman" w:hAnsi="Times New Roman"/>
          <w:sz w:val="19"/>
          <w:szCs w:val="19"/>
          <w:b w:val="1"/>
          <w:bCs w:val="1"/>
          <w:u w:val="single" w:color="auto"/>
          <w:color w:val="auto"/>
        </w:rPr>
        <w:t>SCHEDULE C</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Willis Towers Watson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Global Employee Personal Information Protection Notice</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Last Updated</w:t>
      </w:r>
      <w:r>
        <w:rPr>
          <w:rFonts w:ascii="Times New Roman" w:cs="Times New Roman" w:eastAsia="Times New Roman" w:hAnsi="Times New Roman"/>
          <w:sz w:val="20"/>
          <w:szCs w:val="20"/>
          <w:b w:val="1"/>
          <w:bCs w:val="1"/>
          <w:color w:val="auto"/>
        </w:rPr>
        <w:t>: September 2023</w:t>
      </w:r>
    </w:p>
    <w:p>
      <w:pPr>
        <w:spacing w:after="0" w:line="228" w:lineRule="exact"/>
        <w:rPr>
          <w:sz w:val="20"/>
          <w:szCs w:val="20"/>
          <w:color w:val="auto"/>
        </w:rPr>
      </w:pPr>
    </w:p>
    <w:p>
      <w:pPr>
        <w:ind w:left="740" w:hanging="732"/>
        <w:spacing w:after="0"/>
        <w:tabs>
          <w:tab w:leader="none" w:pos="740" w:val="left"/>
        </w:tabs>
        <w:numPr>
          <w:ilvl w:val="0"/>
          <w:numId w:val="40"/>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Introduction</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“the Willis Towers Watson Group”). The Willis Towers Watson Group values the trust of its employees worldwide and is committed to protecting their personal information.</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52" w:lineRule="exact"/>
        <w:rPr>
          <w:sz w:val="20"/>
          <w:szCs w:val="20"/>
          <w:color w:val="auto"/>
        </w:rPr>
      </w:pPr>
    </w:p>
    <w:p>
      <w:pPr>
        <w:ind w:left="760" w:hanging="752"/>
        <w:spacing w:after="0"/>
        <w:tabs>
          <w:tab w:leader="none" w:pos="760" w:val="left"/>
        </w:tabs>
        <w:numPr>
          <w:ilvl w:val="0"/>
          <w:numId w:val="41"/>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What Personal Information about you that we collect, and how we collect Your Personal Information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(“Dependents”).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Sources of Personal Information</w:t>
      </w:r>
    </w:p>
    <w:p>
      <w:pPr>
        <w:spacing w:after="0" w:line="2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2" w:name="page83"/>
    <w:bookmarkEnd w:id="82"/>
    <w:p>
      <w:pPr>
        <w:spacing w:after="0" w:line="228" w:lineRule="exact"/>
        <w:rPr>
          <w:sz w:val="20"/>
          <w:szCs w:val="20"/>
          <w:color w:val="auto"/>
        </w:rPr>
      </w:pPr>
    </w:p>
    <w:p>
      <w:pPr>
        <w:ind w:left="1480" w:hanging="739"/>
        <w:spacing w:after="0" w:line="268" w:lineRule="auto"/>
        <w:tabs>
          <w:tab w:leader="none" w:pos="14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(as allowed by law), or references obtained during recruitment;</w:t>
      </w:r>
    </w:p>
    <w:p>
      <w:pPr>
        <w:spacing w:after="0" w:line="201"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68"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29"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43"/>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The Legal Bases and purposes for which we use, transfer, and disclose Your Personal Information</w:t>
      </w:r>
    </w:p>
    <w:p>
      <w:pPr>
        <w:spacing w:after="0" w:line="2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In the EU, data protection laws and other laws, for example the Cayman Islands Data Protection Act (“DPA”) require that we only process personal information subject to one or more valid legal bases. In such cases our legal basis will be one of the following:</w:t>
      </w:r>
    </w:p>
    <w:p>
      <w:pPr>
        <w:spacing w:after="0" w:line="201" w:lineRule="exact"/>
        <w:rPr>
          <w:sz w:val="20"/>
          <w:szCs w:val="20"/>
          <w:color w:val="auto"/>
        </w:rPr>
      </w:pPr>
    </w:p>
    <w:p>
      <w:pPr>
        <w:ind w:left="1480" w:hanging="739"/>
        <w:spacing w:after="0"/>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188"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201"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201" w:lineRule="exact"/>
        <w:rPr>
          <w:rFonts w:ascii="Times New Roman" w:cs="Times New Roman" w:eastAsia="Times New Roman" w:hAnsi="Times New Roman"/>
          <w:sz w:val="20"/>
          <w:szCs w:val="20"/>
          <w:color w:val="auto"/>
        </w:rPr>
      </w:pPr>
    </w:p>
    <w:p>
      <w:pPr>
        <w:jc w:val="both"/>
        <w:ind w:left="1480" w:hanging="739"/>
        <w:spacing w:after="0" w:line="246"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237"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 or</w:t>
      </w:r>
    </w:p>
    <w:p>
      <w:pPr>
        <w:spacing w:after="0" w:line="201" w:lineRule="exact"/>
        <w:rPr>
          <w:rFonts w:ascii="Times New Roman" w:cs="Times New Roman" w:eastAsia="Times New Roman" w:hAnsi="Times New Roman"/>
          <w:sz w:val="20"/>
          <w:szCs w:val="20"/>
          <w:color w:val="auto"/>
        </w:rPr>
      </w:pPr>
    </w:p>
    <w:p>
      <w:pPr>
        <w:jc w:val="both"/>
        <w:ind w:left="1480" w:hanging="739"/>
        <w:spacing w:after="0" w:line="253" w:lineRule="auto"/>
        <w:tabs>
          <w:tab w:leader="none" w:pos="148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privacy@willistowerswatson.com.</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184" w:lineRule="exact"/>
        <w:rPr>
          <w:sz w:val="20"/>
          <w:szCs w:val="20"/>
          <w:color w:val="auto"/>
        </w:rPr>
      </w:pPr>
    </w:p>
    <w:p>
      <w:pPr>
        <w:ind w:left="740" w:hanging="732"/>
        <w:spacing w:after="0"/>
        <w:tabs>
          <w:tab w:leader="none" w:pos="740" w:val="left"/>
        </w:tabs>
        <w:numPr>
          <w:ilvl w:val="0"/>
          <w:numId w:val="45"/>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Monitoring tools, profiling and automated decision-making</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privacy@willistowerswatson.com.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45" w:lineRule="exact"/>
        <w:rPr>
          <w:sz w:val="20"/>
          <w:szCs w:val="20"/>
          <w:color w:val="auto"/>
        </w:rPr>
      </w:pPr>
    </w:p>
    <w:p>
      <w:pPr>
        <w:ind w:left="740" w:hanging="732"/>
        <w:spacing w:after="0"/>
        <w:tabs>
          <w:tab w:leader="none" w:pos="740" w:val="left"/>
        </w:tabs>
        <w:numPr>
          <w:ilvl w:val="0"/>
          <w:numId w:val="46"/>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Transfer of Personal Information</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Some of these countries are recognized by the European Commission or other regulators as providing an adequate level of protection according to EEA standards (the full list of these countries is available here),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privacy@willistowerswatson.com.</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personnel within the Willis Towers Watson Group will generally have access to your business contact information such as name, position, telephone number, postal address, email address and photograph.</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9"/>
          <w:szCs w:val="19"/>
          <w:color w:val="auto"/>
        </w:rPr>
        <w:t>Personal Information for the provision of services to Willis Towers Watson Group, and in compliance with applicable law.</w:t>
      </w:r>
    </w:p>
    <w:p>
      <w:pPr>
        <w:sectPr>
          <w:pgSz w:w="11900" w:h="16838" w:orient="portrait"/>
          <w:cols w:equalWidth="0" w:num="1">
            <w:col w:w="10139"/>
          </w:cols>
          <w:pgMar w:left="320" w:top="1411" w:right="1440" w:bottom="1440" w:gutter="0" w:footer="0" w:header="0"/>
        </w:sectPr>
      </w:pPr>
    </w:p>
    <w:p>
      <w:pPr>
        <w:spacing w:after="0" w:line="200" w:lineRule="exact"/>
        <w:rPr>
          <w:sz w:val="20"/>
          <w:szCs w:val="20"/>
          <w:color w:val="auto"/>
        </w:rPr>
      </w:pPr>
    </w:p>
    <w:p>
      <w:pPr>
        <w:spacing w:after="0" w:line="21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1" w:right="1440" w:bottom="1440" w:gutter="0" w:footer="0" w:header="0"/>
          <w:type w:val="continuous"/>
        </w:sectPr>
      </w:pPr>
    </w:p>
    <w:bookmarkStart w:id="85" w:name="page86"/>
    <w:bookmarkEnd w:id="85"/>
    <w:p>
      <w:pPr>
        <w:spacing w:after="0" w:line="386" w:lineRule="exact"/>
        <w:rPr>
          <w:sz w:val="20"/>
          <w:szCs w:val="20"/>
          <w:color w:val="auto"/>
        </w:rPr>
      </w:pPr>
    </w:p>
    <w:p>
      <w:pPr>
        <w:ind w:left="740" w:hanging="732"/>
        <w:spacing w:after="0"/>
        <w:tabs>
          <w:tab w:leader="none" w:pos="740" w:val="left"/>
        </w:tabs>
        <w:numPr>
          <w:ilvl w:val="0"/>
          <w:numId w:val="47"/>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Security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45" w:lineRule="exact"/>
        <w:rPr>
          <w:sz w:val="20"/>
          <w:szCs w:val="20"/>
          <w:color w:val="auto"/>
        </w:rPr>
      </w:pPr>
    </w:p>
    <w:p>
      <w:pPr>
        <w:ind w:left="740" w:hanging="732"/>
        <w:spacing w:after="0"/>
        <w:tabs>
          <w:tab w:leader="none" w:pos="740" w:val="left"/>
        </w:tabs>
        <w:numPr>
          <w:ilvl w:val="0"/>
          <w:numId w:val="48"/>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Data Retention</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30" w:lineRule="exact"/>
        <w:rPr>
          <w:sz w:val="20"/>
          <w:szCs w:val="20"/>
          <w:color w:val="auto"/>
        </w:rPr>
      </w:pPr>
    </w:p>
    <w:p>
      <w:pPr>
        <w:ind w:left="740" w:hanging="732"/>
        <w:spacing w:after="0"/>
        <w:tabs>
          <w:tab w:leader="none" w:pos="740" w:val="left"/>
        </w:tabs>
        <w:numPr>
          <w:ilvl w:val="0"/>
          <w:numId w:val="49"/>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Access and correction requests, questions, and complaints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w:t>
      </w:r>
    </w:p>
    <w:p>
      <w:pPr>
        <w:spacing w:after="0" w:line="188" w:lineRule="exact"/>
        <w:rPr>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rectify the information we hold about you;</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ind w:left="760" w:hanging="378"/>
        <w:spacing w:after="0" w:line="239" w:lineRule="auto"/>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 (and the right to seek compensation pertaining to DPA);</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 and</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ind w:left="760" w:hanging="378"/>
        <w:spacing w:after="0"/>
        <w:tabs>
          <w:tab w:leader="none" w:pos="76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you have any questions about this Notice or if you would like to discuss or exercise your rights, please contact Human Resources or email privacy@willistowerswatson.com.</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45" w:lineRule="exact"/>
        <w:rPr>
          <w:sz w:val="20"/>
          <w:szCs w:val="20"/>
          <w:color w:val="auto"/>
        </w:rPr>
      </w:pPr>
    </w:p>
    <w:p>
      <w:pPr>
        <w:ind w:left="740" w:hanging="732"/>
        <w:spacing w:after="0"/>
        <w:tabs>
          <w:tab w:leader="none" w:pos="740" w:val="left"/>
        </w:tabs>
        <w:numPr>
          <w:ilvl w:val="0"/>
          <w:numId w:val="51"/>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Employee’s Obligations</w:t>
      </w:r>
    </w:p>
    <w:p>
      <w:pPr>
        <w:spacing w:after="0" w:line="1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6" w:name="page87"/>
    <w:bookmarkEnd w:id="86"/>
    <w:p>
      <w:pPr>
        <w:ind w:right="20"/>
        <w:spacing w:after="0" w:line="268" w:lineRule="auto"/>
        <w:rPr>
          <w:sz w:val="20"/>
          <w:szCs w:val="20"/>
          <w:color w:val="auto"/>
        </w:rPr>
      </w:pPr>
      <w:r>
        <w:rPr>
          <w:rFonts w:ascii="Times New Roman" w:cs="Times New Roman" w:eastAsia="Times New Roman" w:hAnsi="Times New Roman"/>
          <w:sz w:val="20"/>
          <w:szCs w:val="20"/>
          <w:color w:val="auto"/>
        </w:rPr>
        <w:t>the content of this Notice and to explain the use (including transfer and disclosure) of that Personal Information by us as set out in this Notice.</w:t>
      </w:r>
    </w:p>
    <w:p>
      <w:pPr>
        <w:spacing w:after="0" w:line="130" w:lineRule="exact"/>
        <w:rPr>
          <w:sz w:val="20"/>
          <w:szCs w:val="20"/>
          <w:color w:val="auto"/>
        </w:rPr>
      </w:pPr>
    </w:p>
    <w:p>
      <w:pPr>
        <w:ind w:left="740" w:hanging="732"/>
        <w:spacing w:after="0"/>
        <w:tabs>
          <w:tab w:leader="none" w:pos="740" w:val="left"/>
        </w:tabs>
        <w:numPr>
          <w:ilvl w:val="0"/>
          <w:numId w:val="52"/>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Changes to the Policy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45" w:lineRule="exact"/>
        <w:rPr>
          <w:sz w:val="20"/>
          <w:szCs w:val="20"/>
          <w:color w:val="auto"/>
        </w:rPr>
      </w:pPr>
    </w:p>
    <w:p>
      <w:pPr>
        <w:ind w:left="740" w:hanging="732"/>
        <w:spacing w:after="0"/>
        <w:tabs>
          <w:tab w:leader="none" w:pos="740" w:val="left"/>
        </w:tabs>
        <w:numPr>
          <w:ilvl w:val="0"/>
          <w:numId w:val="53"/>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Contact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questions or comments about this Notice, please contact Human Resources or email privacy@willistowerswatson.com.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and their contact details. These are:</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380" w:type="dxa"/>
            <w:vAlign w:val="bottom"/>
            <w:tcBorders>
              <w:top w:val="single" w:sz="8" w:color="auto"/>
              <w:left w:val="single" w:sz="8" w:color="auto"/>
              <w:bottom w:val="single" w:sz="8" w:color="auto"/>
              <w:right w:val="single" w:sz="8" w:color="auto"/>
            </w:tcBorders>
            <w:shd w:val="clear" w:color="auto" w:fill="D9EEFF"/>
          </w:tcPr>
          <w:p>
            <w:pPr>
              <w:ind w:left="340"/>
              <w:spacing w:after="0"/>
              <w:rPr>
                <w:sz w:val="20"/>
                <w:szCs w:val="20"/>
                <w:color w:val="auto"/>
              </w:rPr>
            </w:pPr>
            <w:r>
              <w:rPr>
                <w:rFonts w:ascii="Times New Roman" w:cs="Times New Roman" w:eastAsia="Times New Roman" w:hAnsi="Times New Roman"/>
                <w:sz w:val="20"/>
                <w:szCs w:val="20"/>
                <w:color w:val="auto"/>
              </w:rPr>
              <w:t>Country</w:t>
            </w:r>
          </w:p>
        </w:tc>
        <w:tc>
          <w:tcPr>
            <w:tcW w:w="2640" w:type="dxa"/>
            <w:vAlign w:val="bottom"/>
            <w:tcBorders>
              <w:top w:val="single" w:sz="8" w:color="auto"/>
              <w:bottom w:val="single" w:sz="8" w:color="auto"/>
              <w:right w:val="single" w:sz="8" w:color="auto"/>
            </w:tcBorders>
            <w:shd w:val="clear" w:color="auto" w:fill="D9EEFF"/>
          </w:tcPr>
          <w:p>
            <w:pPr>
              <w:ind w:left="1040"/>
              <w:spacing w:after="0"/>
              <w:rPr>
                <w:sz w:val="20"/>
                <w:szCs w:val="20"/>
                <w:color w:val="auto"/>
              </w:rPr>
            </w:pPr>
            <w:r>
              <w:rPr>
                <w:rFonts w:ascii="Times New Roman" w:cs="Times New Roman" w:eastAsia="Times New Roman" w:hAnsi="Times New Roman"/>
                <w:sz w:val="20"/>
                <w:szCs w:val="20"/>
                <w:color w:val="auto"/>
              </w:rPr>
              <w:t>Name</w:t>
            </w:r>
          </w:p>
        </w:tc>
        <w:tc>
          <w:tcPr>
            <w:tcW w:w="280" w:type="dxa"/>
            <w:vAlign w:val="bottom"/>
            <w:tcBorders>
              <w:top w:val="single" w:sz="8" w:color="auto"/>
              <w:bottom w:val="single" w:sz="8" w:color="auto"/>
            </w:tcBorders>
            <w:shd w:val="clear" w:color="auto" w:fill="D9EEFF"/>
          </w:tcPr>
          <w:p>
            <w:pPr>
              <w:spacing w:after="0"/>
              <w:rPr>
                <w:sz w:val="24"/>
                <w:szCs w:val="24"/>
                <w:color w:val="auto"/>
              </w:rPr>
            </w:pPr>
          </w:p>
        </w:tc>
        <w:tc>
          <w:tcPr>
            <w:tcW w:w="6480" w:type="dxa"/>
            <w:vAlign w:val="bottom"/>
            <w:tcBorders>
              <w:top w:val="single" w:sz="8" w:color="auto"/>
              <w:bottom w:val="single" w:sz="8" w:color="auto"/>
              <w:right w:val="single" w:sz="8" w:color="auto"/>
            </w:tcBorders>
            <w:shd w:val="clear" w:color="auto" w:fill="D9EEFF"/>
          </w:tcPr>
          <w:p>
            <w:pPr>
              <w:ind w:left="2500"/>
              <w:spacing w:after="0"/>
              <w:rPr>
                <w:sz w:val="20"/>
                <w:szCs w:val="20"/>
                <w:color w:val="auto"/>
              </w:rPr>
            </w:pPr>
            <w:r>
              <w:rPr>
                <w:rFonts w:ascii="Times New Roman" w:cs="Times New Roman" w:eastAsia="Times New Roman" w:hAnsi="Times New Roman"/>
                <w:sz w:val="20"/>
                <w:szCs w:val="20"/>
                <w:color w:val="auto"/>
              </w:rPr>
              <w:t>Contact details</w:t>
            </w:r>
          </w:p>
        </w:tc>
      </w:tr>
      <w:tr>
        <w:trPr>
          <w:trHeight w:val="197"/>
        </w:trPr>
        <w:tc>
          <w:tcPr>
            <w:tcW w:w="1380" w:type="dxa"/>
            <w:vAlign w:val="bottom"/>
            <w:tcBorders>
              <w:top w:val="single" w:sz="8" w:color="auto"/>
              <w:left w:val="single" w:sz="8" w:color="auto"/>
              <w:right w:val="single" w:sz="8" w:color="auto"/>
            </w:tcBorders>
            <w:shd w:val="clear" w:color="auto" w:fill="D9EEFF"/>
          </w:tcPr>
          <w:p>
            <w:pPr>
              <w:ind w:left="120"/>
              <w:spacing w:after="0" w:line="197" w:lineRule="exact"/>
              <w:rPr>
                <w:sz w:val="20"/>
                <w:szCs w:val="20"/>
                <w:color w:val="auto"/>
              </w:rPr>
            </w:pPr>
            <w:r>
              <w:rPr>
                <w:rFonts w:ascii="Times New Roman" w:cs="Times New Roman" w:eastAsia="Times New Roman" w:hAnsi="Times New Roman"/>
                <w:sz w:val="20"/>
                <w:szCs w:val="20"/>
                <w:color w:val="auto"/>
              </w:rPr>
              <w:t>Canada</w:t>
            </w:r>
          </w:p>
        </w:tc>
        <w:tc>
          <w:tcPr>
            <w:tcW w:w="2640" w:type="dxa"/>
            <w:vAlign w:val="bottom"/>
            <w:tcBorders>
              <w:top w:val="single" w:sz="8" w:color="D9EEFF"/>
              <w:right w:val="single" w:sz="8" w:color="auto"/>
            </w:tcBorders>
            <w:shd w:val="clear" w:color="auto" w:fill="D9EEFF"/>
          </w:tcPr>
          <w:p>
            <w:pPr>
              <w:spacing w:after="0"/>
              <w:rPr>
                <w:sz w:val="17"/>
                <w:szCs w:val="17"/>
                <w:color w:val="auto"/>
              </w:rPr>
            </w:pPr>
          </w:p>
        </w:tc>
        <w:tc>
          <w:tcPr>
            <w:tcW w:w="6760" w:type="dxa"/>
            <w:vAlign w:val="bottom"/>
            <w:tcBorders>
              <w:top w:val="single" w:sz="8" w:color="D9EEFF"/>
              <w:right w:val="single" w:sz="8" w:color="auto"/>
            </w:tcBorders>
            <w:gridSpan w:val="2"/>
            <w:shd w:val="clear" w:color="auto" w:fill="D9EEFF"/>
          </w:tcPr>
          <w:p>
            <w:pPr>
              <w:ind w:left="80"/>
              <w:spacing w:after="0" w:line="197"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Towers Watson Canada Inc. and/or Willis Canada Inc.</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130 King St W, Exchange Tower, Suite 1500</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P.O. Box 424</w:t>
            </w:r>
          </w:p>
        </w:tc>
      </w:tr>
      <w:tr>
        <w:trPr>
          <w:trHeight w:val="258"/>
        </w:trPr>
        <w:tc>
          <w:tcPr>
            <w:tcW w:w="1380" w:type="dxa"/>
            <w:vAlign w:val="bottom"/>
            <w:tcBorders>
              <w:left w:val="single" w:sz="8" w:color="auto"/>
              <w:right w:val="single" w:sz="8" w:color="auto"/>
            </w:tcBorders>
            <w:shd w:val="clear" w:color="auto" w:fill="D9EEFF"/>
          </w:tcPr>
          <w:p>
            <w:pPr>
              <w:spacing w:after="0"/>
              <w:rPr>
                <w:sz w:val="22"/>
                <w:szCs w:val="22"/>
                <w:color w:val="auto"/>
              </w:rPr>
            </w:pPr>
          </w:p>
        </w:tc>
        <w:tc>
          <w:tcPr>
            <w:tcW w:w="2640" w:type="dxa"/>
            <w:vAlign w:val="bottom"/>
            <w:tcBorders>
              <w:right w:val="single" w:sz="8" w:color="auto"/>
            </w:tcBorders>
            <w:shd w:val="clear" w:color="auto" w:fill="D9EEFF"/>
          </w:tcPr>
          <w:p>
            <w:pPr>
              <w:spacing w:after="0"/>
              <w:rPr>
                <w:sz w:val="22"/>
                <w:szCs w:val="22"/>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Toronto, ON M5X 1E3</w:t>
            </w:r>
          </w:p>
        </w:tc>
      </w:tr>
      <w:tr>
        <w:trPr>
          <w:trHeight w:val="430"/>
        </w:trPr>
        <w:tc>
          <w:tcPr>
            <w:tcW w:w="1380" w:type="dxa"/>
            <w:vAlign w:val="bottom"/>
            <w:tcBorders>
              <w:left w:val="single" w:sz="8" w:color="auto"/>
              <w:right w:val="single" w:sz="8" w:color="auto"/>
            </w:tcBorders>
            <w:shd w:val="clear" w:color="auto" w:fill="D9EEFF"/>
          </w:tcPr>
          <w:p>
            <w:pPr>
              <w:spacing w:after="0"/>
              <w:rPr>
                <w:sz w:val="24"/>
                <w:szCs w:val="24"/>
                <w:color w:val="auto"/>
              </w:rPr>
            </w:pPr>
          </w:p>
        </w:tc>
        <w:tc>
          <w:tcPr>
            <w:tcW w:w="2640" w:type="dxa"/>
            <w:vAlign w:val="bottom"/>
            <w:tcBorders>
              <w:right w:val="single" w:sz="8" w:color="auto"/>
            </w:tcBorders>
            <w:shd w:val="clear" w:color="auto" w:fill="D9EEFF"/>
          </w:tcPr>
          <w:p>
            <w:pPr>
              <w:spacing w:after="0"/>
              <w:rPr>
                <w:sz w:val="24"/>
                <w:szCs w:val="24"/>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Email: privacy@willistowerswatson.com</w:t>
            </w:r>
          </w:p>
        </w:tc>
      </w:tr>
      <w:tr>
        <w:trPr>
          <w:trHeight w:val="262"/>
        </w:trPr>
        <w:tc>
          <w:tcPr>
            <w:tcW w:w="1380" w:type="dxa"/>
            <w:vAlign w:val="bottom"/>
            <w:tcBorders>
              <w:left w:val="single" w:sz="8" w:color="auto"/>
              <w:bottom w:val="single" w:sz="8" w:color="auto"/>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6760" w:type="dxa"/>
            <w:vAlign w:val="bottom"/>
            <w:tcBorders>
              <w:bottom w:val="single" w:sz="8" w:color="auto"/>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Phone: 416.960.2700</w:t>
            </w:r>
          </w:p>
        </w:tc>
      </w:tr>
      <w:tr>
        <w:trPr>
          <w:trHeight w:val="217"/>
        </w:trPr>
        <w:tc>
          <w:tcPr>
            <w:tcW w:w="1380" w:type="dxa"/>
            <w:vAlign w:val="bottom"/>
            <w:tcBorders>
              <w:left w:val="single" w:sz="8" w:color="auto"/>
              <w:right w:val="single" w:sz="8" w:color="auto"/>
            </w:tcBorders>
            <w:shd w:val="clear" w:color="auto" w:fill="D9EEFF"/>
          </w:tcPr>
          <w:p>
            <w:pPr>
              <w:ind w:left="120"/>
              <w:spacing w:after="0" w:line="217" w:lineRule="exact"/>
              <w:rPr>
                <w:sz w:val="20"/>
                <w:szCs w:val="20"/>
                <w:color w:val="auto"/>
              </w:rPr>
            </w:pPr>
            <w:r>
              <w:rPr>
                <w:rFonts w:ascii="Times New Roman" w:cs="Times New Roman" w:eastAsia="Times New Roman" w:hAnsi="Times New Roman"/>
                <w:sz w:val="20"/>
                <w:szCs w:val="20"/>
                <w:color w:val="auto"/>
              </w:rPr>
              <w:t>Nigeria</w:t>
            </w:r>
          </w:p>
        </w:tc>
        <w:tc>
          <w:tcPr>
            <w:tcW w:w="2640" w:type="dxa"/>
            <w:vAlign w:val="bottom"/>
            <w:tcBorders>
              <w:right w:val="single" w:sz="8" w:color="auto"/>
            </w:tcBorders>
            <w:shd w:val="clear" w:color="auto" w:fill="D9EEFF"/>
          </w:tcPr>
          <w:p>
            <w:pPr>
              <w:ind w:left="40"/>
              <w:spacing w:after="0" w:line="217" w:lineRule="exact"/>
              <w:rPr>
                <w:sz w:val="20"/>
                <w:szCs w:val="20"/>
                <w:color w:val="auto"/>
              </w:rPr>
            </w:pPr>
            <w:r>
              <w:rPr>
                <w:rFonts w:ascii="Times New Roman" w:cs="Times New Roman" w:eastAsia="Times New Roman" w:hAnsi="Times New Roman"/>
                <w:sz w:val="20"/>
                <w:szCs w:val="20"/>
                <w:color w:val="auto"/>
              </w:rPr>
              <w:t>Adewunmi Akinmodiro</w:t>
            </w:r>
          </w:p>
        </w:tc>
        <w:tc>
          <w:tcPr>
            <w:tcW w:w="6760" w:type="dxa"/>
            <w:vAlign w:val="bottom"/>
            <w:tcBorders>
              <w:right w:val="single" w:sz="8" w:color="auto"/>
            </w:tcBorders>
            <w:gridSpan w:val="2"/>
            <w:shd w:val="clear" w:color="auto" w:fill="D9EEFF"/>
          </w:tcPr>
          <w:p>
            <w:pPr>
              <w:ind w:left="80"/>
              <w:spacing w:after="0" w:line="217"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Willis Towers Watson Nigeria Limited</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140"/>
              <w:spacing w:after="0"/>
              <w:rPr>
                <w:sz w:val="20"/>
                <w:szCs w:val="20"/>
                <w:color w:val="auto"/>
              </w:rPr>
            </w:pPr>
            <w:r>
              <w:rPr>
                <w:rFonts w:ascii="Times New Roman" w:cs="Times New Roman" w:eastAsia="Times New Roman" w:hAnsi="Times New Roman"/>
                <w:sz w:val="20"/>
                <w:szCs w:val="20"/>
                <w:color w:val="auto"/>
              </w:rPr>
              <w:t>6th Floor, Africa RE Building. Plot 1679 Karimu Kotun Street, Victoria Island</w:t>
            </w:r>
          </w:p>
        </w:tc>
      </w:tr>
      <w:tr>
        <w:trPr>
          <w:trHeight w:val="258"/>
        </w:trPr>
        <w:tc>
          <w:tcPr>
            <w:tcW w:w="1380" w:type="dxa"/>
            <w:vAlign w:val="bottom"/>
            <w:tcBorders>
              <w:left w:val="single" w:sz="8" w:color="auto"/>
              <w:right w:val="single" w:sz="8" w:color="auto"/>
            </w:tcBorders>
            <w:shd w:val="clear" w:color="auto" w:fill="D9EEFF"/>
          </w:tcPr>
          <w:p>
            <w:pPr>
              <w:spacing w:after="0"/>
              <w:rPr>
                <w:sz w:val="22"/>
                <w:szCs w:val="22"/>
                <w:color w:val="auto"/>
              </w:rPr>
            </w:pPr>
          </w:p>
        </w:tc>
        <w:tc>
          <w:tcPr>
            <w:tcW w:w="2640" w:type="dxa"/>
            <w:vAlign w:val="bottom"/>
            <w:tcBorders>
              <w:right w:val="single" w:sz="8" w:color="auto"/>
            </w:tcBorders>
            <w:shd w:val="clear" w:color="auto" w:fill="D9EEFF"/>
          </w:tcPr>
          <w:p>
            <w:pPr>
              <w:spacing w:after="0"/>
              <w:rPr>
                <w:sz w:val="22"/>
                <w:szCs w:val="22"/>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Lagos, Nigeria.</w:t>
            </w:r>
          </w:p>
        </w:tc>
      </w:tr>
      <w:tr>
        <w:trPr>
          <w:trHeight w:val="237"/>
        </w:trPr>
        <w:tc>
          <w:tcPr>
            <w:tcW w:w="1380" w:type="dxa"/>
            <w:vAlign w:val="bottom"/>
            <w:tcBorders>
              <w:left w:val="single" w:sz="8" w:color="auto"/>
              <w:bottom w:val="single" w:sz="8" w:color="auto"/>
              <w:right w:val="single" w:sz="8" w:color="auto"/>
            </w:tcBorders>
            <w:shd w:val="clear" w:color="auto" w:fill="D9EEFF"/>
          </w:tcPr>
          <w:p>
            <w:pPr>
              <w:spacing w:after="0"/>
              <w:rPr>
                <w:sz w:val="20"/>
                <w:szCs w:val="20"/>
                <w:color w:val="auto"/>
              </w:rPr>
            </w:pPr>
          </w:p>
        </w:tc>
        <w:tc>
          <w:tcPr>
            <w:tcW w:w="2640" w:type="dxa"/>
            <w:vAlign w:val="bottom"/>
            <w:tcBorders>
              <w:bottom w:val="single" w:sz="8" w:color="auto"/>
              <w:right w:val="single" w:sz="8" w:color="auto"/>
            </w:tcBorders>
            <w:shd w:val="clear" w:color="auto" w:fill="D9EEFF"/>
          </w:tcPr>
          <w:p>
            <w:pPr>
              <w:spacing w:after="0"/>
              <w:rPr>
                <w:sz w:val="20"/>
                <w:szCs w:val="20"/>
                <w:color w:val="auto"/>
              </w:rPr>
            </w:pPr>
          </w:p>
        </w:tc>
        <w:tc>
          <w:tcPr>
            <w:tcW w:w="280" w:type="dxa"/>
            <w:vAlign w:val="bottom"/>
            <w:tcBorders>
              <w:bottom w:val="single" w:sz="8" w:color="auto"/>
            </w:tcBorders>
            <w:shd w:val="clear" w:color="auto" w:fill="D9EEFF"/>
          </w:tcPr>
          <w:p>
            <w:pPr>
              <w:spacing w:after="0"/>
              <w:rPr>
                <w:sz w:val="20"/>
                <w:szCs w:val="20"/>
                <w:color w:val="auto"/>
              </w:rPr>
            </w:pPr>
          </w:p>
        </w:tc>
        <w:tc>
          <w:tcPr>
            <w:tcW w:w="6480" w:type="dxa"/>
            <w:vAlign w:val="bottom"/>
            <w:tcBorders>
              <w:bottom w:val="single" w:sz="8" w:color="auto"/>
              <w:right w:val="single" w:sz="8" w:color="auto"/>
            </w:tcBorders>
            <w:shd w:val="clear" w:color="auto" w:fill="D9EEFF"/>
          </w:tcPr>
          <w:p>
            <w:pPr>
              <w:spacing w:after="0"/>
              <w:rPr>
                <w:sz w:val="20"/>
                <w:szCs w:val="20"/>
                <w:color w:val="auto"/>
              </w:rPr>
            </w:pPr>
          </w:p>
        </w:tc>
      </w:tr>
      <w:tr>
        <w:trPr>
          <w:trHeight w:val="213"/>
        </w:trPr>
        <w:tc>
          <w:tcPr>
            <w:tcW w:w="1380" w:type="dxa"/>
            <w:vAlign w:val="bottom"/>
            <w:tcBorders>
              <w:left w:val="single" w:sz="8" w:color="auto"/>
              <w:right w:val="single" w:sz="8" w:color="auto"/>
            </w:tcBorders>
            <w:shd w:val="clear" w:color="auto" w:fill="D9EEFF"/>
          </w:tcPr>
          <w:p>
            <w:pPr>
              <w:ind w:left="120"/>
              <w:spacing w:after="0" w:line="213" w:lineRule="exact"/>
              <w:rPr>
                <w:sz w:val="20"/>
                <w:szCs w:val="20"/>
                <w:color w:val="auto"/>
              </w:rPr>
            </w:pPr>
            <w:r>
              <w:rPr>
                <w:rFonts w:ascii="Times New Roman" w:cs="Times New Roman" w:eastAsia="Times New Roman" w:hAnsi="Times New Roman"/>
                <w:sz w:val="20"/>
                <w:szCs w:val="20"/>
                <w:color w:val="auto"/>
              </w:rPr>
              <w:t>South Africa</w:t>
            </w:r>
          </w:p>
        </w:tc>
        <w:tc>
          <w:tcPr>
            <w:tcW w:w="2640" w:type="dxa"/>
            <w:vAlign w:val="bottom"/>
            <w:tcBorders>
              <w:right w:val="single" w:sz="8" w:color="auto"/>
            </w:tcBorders>
            <w:shd w:val="clear" w:color="auto" w:fill="D9EEFF"/>
          </w:tcPr>
          <w:p>
            <w:pPr>
              <w:ind w:left="40"/>
              <w:spacing w:after="0" w:line="213" w:lineRule="exact"/>
              <w:rPr>
                <w:sz w:val="20"/>
                <w:szCs w:val="20"/>
                <w:color w:val="auto"/>
              </w:rPr>
            </w:pPr>
            <w:r>
              <w:rPr>
                <w:rFonts w:ascii="Times New Roman" w:cs="Times New Roman" w:eastAsia="Times New Roman" w:hAnsi="Times New Roman"/>
                <w:sz w:val="20"/>
                <w:szCs w:val="20"/>
                <w:color w:val="auto"/>
              </w:rPr>
              <w:t>André Wild</w:t>
            </w:r>
          </w:p>
        </w:tc>
        <w:tc>
          <w:tcPr>
            <w:tcW w:w="28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6480" w:type="dxa"/>
            <w:vAlign w:val="bottom"/>
            <w:tcBorders>
              <w:right w:val="single" w:sz="8" w:color="auto"/>
            </w:tcBorders>
            <w:shd w:val="clear" w:color="auto" w:fill="D9EEFF"/>
          </w:tcPr>
          <w:p>
            <w:pPr>
              <w:ind w:left="20"/>
              <w:spacing w:after="0" w:line="213" w:lineRule="exact"/>
              <w:rPr>
                <w:sz w:val="20"/>
                <w:szCs w:val="20"/>
                <w:color w:val="auto"/>
              </w:rPr>
            </w:pPr>
            <w:r>
              <w:rPr>
                <w:rFonts w:ascii="Times New Roman" w:cs="Times New Roman" w:eastAsia="Times New Roman" w:hAnsi="Times New Roman"/>
                <w:sz w:val="20"/>
                <w:szCs w:val="20"/>
                <w:color w:val="auto"/>
              </w:rPr>
              <w:t>Andre.Wild@willistowerswatson.com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2.</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Towers Watson (Pty) Ltd</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Level 4, MontClare Place, 23 Main Road, Claremont, Cape Town, 7708</w:t>
            </w:r>
          </w:p>
        </w:tc>
      </w:tr>
      <w:tr>
        <w:trPr>
          <w:trHeight w:val="262"/>
        </w:trPr>
        <w:tc>
          <w:tcPr>
            <w:tcW w:w="1380" w:type="dxa"/>
            <w:vAlign w:val="bottom"/>
            <w:tcBorders>
              <w:left w:val="single" w:sz="8" w:color="auto"/>
              <w:bottom w:val="single" w:sz="8" w:color="D9EEFF"/>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280" w:type="dxa"/>
            <w:vAlign w:val="bottom"/>
            <w:tcBorders>
              <w:bottom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6480" w:type="dxa"/>
            <w:vAlign w:val="bottom"/>
            <w:tcBorders>
              <w:bottom w:val="single" w:sz="8" w:color="auto"/>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Private Bag X30, Rondebosch, 7701</w:t>
            </w:r>
          </w:p>
        </w:tc>
      </w:tr>
      <w:tr>
        <w:trPr>
          <w:trHeight w:val="217"/>
        </w:trPr>
        <w:tc>
          <w:tcPr>
            <w:tcW w:w="1380" w:type="dxa"/>
            <w:vAlign w:val="bottom"/>
            <w:tcBorders>
              <w:left w:val="single" w:sz="8" w:color="auto"/>
              <w:right w:val="single" w:sz="8" w:color="auto"/>
            </w:tcBorders>
            <w:shd w:val="clear" w:color="auto" w:fill="D9EEFF"/>
          </w:tcPr>
          <w:p>
            <w:pPr>
              <w:spacing w:after="0"/>
              <w:rPr>
                <w:sz w:val="18"/>
                <w:szCs w:val="18"/>
                <w:color w:val="auto"/>
              </w:rPr>
            </w:pPr>
          </w:p>
        </w:tc>
        <w:tc>
          <w:tcPr>
            <w:tcW w:w="2640" w:type="dxa"/>
            <w:vAlign w:val="bottom"/>
            <w:tcBorders>
              <w:right w:val="single" w:sz="8" w:color="auto"/>
            </w:tcBorders>
            <w:shd w:val="clear" w:color="auto" w:fill="D9EEFF"/>
          </w:tcPr>
          <w:p>
            <w:pPr>
              <w:ind w:left="40"/>
              <w:spacing w:after="0" w:line="217" w:lineRule="exact"/>
              <w:rPr>
                <w:sz w:val="20"/>
                <w:szCs w:val="20"/>
                <w:color w:val="auto"/>
              </w:rPr>
            </w:pPr>
            <w:r>
              <w:rPr>
                <w:rFonts w:ascii="Times New Roman" w:cs="Times New Roman" w:eastAsia="Times New Roman" w:hAnsi="Times New Roman"/>
                <w:sz w:val="20"/>
                <w:szCs w:val="20"/>
                <w:color w:val="auto"/>
              </w:rPr>
              <w:t>5 Pasha Karodia</w:t>
            </w:r>
          </w:p>
        </w:tc>
        <w:tc>
          <w:tcPr>
            <w:tcW w:w="280" w:type="dxa"/>
            <w:vAlign w:val="bottom"/>
            <w:shd w:val="clear" w:color="auto" w:fill="D9EEFF"/>
          </w:tcPr>
          <w:p>
            <w:pPr>
              <w:ind w:left="80"/>
              <w:spacing w:after="0" w:line="217" w:lineRule="exact"/>
              <w:rPr>
                <w:sz w:val="20"/>
                <w:szCs w:val="20"/>
                <w:color w:val="auto"/>
              </w:rPr>
            </w:pPr>
            <w:r>
              <w:rPr>
                <w:rFonts w:ascii="Times New Roman" w:cs="Times New Roman" w:eastAsia="Times New Roman" w:hAnsi="Times New Roman"/>
                <w:sz w:val="20"/>
                <w:szCs w:val="20"/>
                <w:color w:val="auto"/>
              </w:rPr>
              <w:t>6.</w:t>
            </w:r>
          </w:p>
        </w:tc>
        <w:tc>
          <w:tcPr>
            <w:tcW w:w="6480" w:type="dxa"/>
            <w:vAlign w:val="bottom"/>
            <w:tcBorders>
              <w:right w:val="single" w:sz="8" w:color="auto"/>
            </w:tcBorders>
            <w:shd w:val="clear" w:color="auto" w:fill="D9EEFF"/>
          </w:tcPr>
          <w:p>
            <w:pPr>
              <w:ind w:left="20"/>
              <w:spacing w:after="0" w:line="217" w:lineRule="exact"/>
              <w:rPr>
                <w:sz w:val="20"/>
                <w:szCs w:val="20"/>
                <w:color w:val="auto"/>
              </w:rPr>
            </w:pPr>
            <w:r>
              <w:rPr>
                <w:rFonts w:ascii="Times New Roman" w:cs="Times New Roman" w:eastAsia="Times New Roman" w:hAnsi="Times New Roman"/>
                <w:sz w:val="20"/>
                <w:szCs w:val="20"/>
                <w:color w:val="auto"/>
              </w:rPr>
              <w:t>Pasha.Karodia@willistowerswatson.com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7.</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Willis South Africa (Pty) Ltd</w:t>
            </w:r>
          </w:p>
        </w:tc>
      </w:tr>
      <w:tr>
        <w:trPr>
          <w:trHeight w:val="262"/>
        </w:trPr>
        <w:tc>
          <w:tcPr>
            <w:tcW w:w="1380" w:type="dxa"/>
            <w:vAlign w:val="bottom"/>
            <w:tcBorders>
              <w:left w:val="single" w:sz="8" w:color="auto"/>
              <w:bottom w:val="single" w:sz="8" w:color="auto"/>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280" w:type="dxa"/>
            <w:vAlign w:val="bottom"/>
            <w:tcBorders>
              <w:bottom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8.</w:t>
            </w:r>
          </w:p>
        </w:tc>
        <w:tc>
          <w:tcPr>
            <w:tcW w:w="6480" w:type="dxa"/>
            <w:vAlign w:val="bottom"/>
            <w:tcBorders>
              <w:bottom w:val="single" w:sz="8" w:color="auto"/>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B116F"/>
        </w:rPr>
        <w:t>ANNEX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Categories of Personal Information Collected About Employees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192" w:lineRule="exact"/>
        <w:rPr>
          <w:sz w:val="20"/>
          <w:szCs w:val="20"/>
          <w:color w:val="auto"/>
        </w:rPr>
      </w:pPr>
    </w:p>
    <w:p>
      <w:pPr>
        <w:jc w:val="both"/>
        <w:ind w:left="760" w:hanging="378"/>
        <w:spacing w:after="0" w:line="249"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88"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Protected Classifications</w:t>
      </w:r>
      <w:r>
        <w:rPr>
          <w:rFonts w:ascii="Times New Roman" w:cs="Times New Roman" w:eastAsia="Times New Roman" w:hAnsi="Times New Roman"/>
          <w:sz w:val="20"/>
          <w:szCs w:val="20"/>
          <w:color w:val="000000"/>
        </w:rPr>
        <w:t>: characteristics of protected classifications under California or federal law including, but not limited to:</w:t>
      </w:r>
    </w:p>
    <w:p>
      <w:pPr>
        <w:spacing w:after="0" w:line="192" w:lineRule="exact"/>
        <w:rPr>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188"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4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b w:val="1"/>
          <w:bCs w:val="1"/>
          <w:color w:val="7030A0"/>
        </w:rPr>
        <w:t>Usage Data</w:t>
      </w:r>
      <w:r>
        <w:rPr>
          <w:rFonts w:ascii="Times New Roman" w:cs="Times New Roman" w:eastAsia="Times New Roman" w:hAnsi="Times New Roman"/>
          <w:sz w:val="20"/>
          <w:szCs w:val="20"/>
          <w:color w:val="000000"/>
        </w:rPr>
        <w:t>: internet or other electronic network activity information including, but not limited to, browsing history, search history, and</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 xml:space="preserve">information regarding a resident’s interaction with an internet website, application, or advertisement. </w:t>
      </w:r>
      <w:r>
        <w:rPr>
          <w:rFonts w:ascii="Times New Roman" w:cs="Times New Roman" w:eastAsia="Times New Roman" w:hAnsi="Times New Roman"/>
          <w:sz w:val="20"/>
          <w:szCs w:val="20"/>
          <w:i w:val="1"/>
          <w:iCs w:val="1"/>
          <w:color w:val="000000"/>
        </w:rPr>
        <w:t>This includes:</w:t>
      </w:r>
    </w:p>
    <w:p>
      <w:pPr>
        <w:spacing w:after="0" w:line="130" w:lineRule="exact"/>
        <w:rPr>
          <w:sz w:val="20"/>
          <w:szCs w:val="20"/>
          <w:color w:val="auto"/>
        </w:rPr>
      </w:pPr>
    </w:p>
    <w:p>
      <w:pPr>
        <w:ind w:left="760" w:hanging="378"/>
        <w:spacing w:after="0" w:line="268" w:lineRule="auto"/>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on Willis Towers Watson network, systems and devices, including but not limited to website and browsing history.</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Willis Towers Watson systems</w:t>
      </w:r>
    </w:p>
    <w:p>
      <w:pPr>
        <w:spacing w:after="0" w:line="18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b w:val="1"/>
          <w:bCs w:val="1"/>
          <w:color w:val="7030A0"/>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 information pertaining to an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w:t>
      </w: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20"/>
          <w:szCs w:val="20"/>
          <w:color w:val="auto"/>
        </w:rPr>
        <w:t>authorised by local regulations to do so and subject to implementing appropriate safeguards as required by applicable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Geolocation Data</w:t>
      </w:r>
      <w:r>
        <w:rPr>
          <w:rFonts w:ascii="Times New Roman" w:cs="Times New Roman" w:eastAsia="Times New Roman" w:hAnsi="Times New Roman"/>
          <w:sz w:val="20"/>
          <w:szCs w:val="20"/>
          <w:color w:val="000000"/>
        </w:rPr>
        <w:t>: precise geographic location information about a particular Willis Towers Watson device.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Audio, Video and other Electronic Data</w:t>
      </w:r>
      <w:r>
        <w:rPr>
          <w:rFonts w:ascii="Times New Roman" w:cs="Times New Roman" w:eastAsia="Times New Roman" w:hAnsi="Times New Roman"/>
          <w:sz w:val="20"/>
          <w:szCs w:val="20"/>
          <w:color w:val="000000"/>
        </w:rPr>
        <w:t>: audio, electronic, visual, thermal, olfactory, or similar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i w:val="1"/>
          <w:iCs w:val="1"/>
          <w:color w:val="000000"/>
        </w:rPr>
        <w:t>This includes:</w:t>
      </w:r>
    </w:p>
    <w:p>
      <w:pPr>
        <w:spacing w:after="0" w:line="192" w:lineRule="exact"/>
        <w:rPr>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i w:val="1"/>
          <w:iCs w:val="1"/>
          <w:color w:val="000000"/>
        </w:rPr>
        <w:t>This includes, but is not limited to:</w:t>
      </w:r>
    </w:p>
    <w:p>
      <w:pPr>
        <w:spacing w:after="0" w:line="192" w:lineRule="exact"/>
        <w:rPr>
          <w:sz w:val="20"/>
          <w:szCs w:val="20"/>
          <w:color w:val="auto"/>
        </w:rPr>
      </w:pPr>
    </w:p>
    <w:p>
      <w:pPr>
        <w:jc w:val="both"/>
        <w:ind w:left="760" w:hanging="378"/>
        <w:spacing w:after="0" w:line="249"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51"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56" w:lineRule="exact"/>
        <w:rPr>
          <w:rFonts w:ascii="Times New Roman" w:cs="Times New Roman" w:eastAsia="Times New Roman" w:hAnsi="Times New Roman"/>
          <w:sz w:val="20"/>
          <w:szCs w:val="20"/>
          <w:color w:val="auto"/>
        </w:rPr>
      </w:pPr>
    </w:p>
    <w:p>
      <w:pPr>
        <w:jc w:val="both"/>
        <w:ind w:left="760" w:hanging="378"/>
        <w:spacing w:after="0" w:line="266" w:lineRule="auto"/>
        <w:tabs>
          <w:tab w:leader="none" w:pos="760"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3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7030A0"/>
        </w:rPr>
        <w:t>Education Information</w:t>
      </w:r>
      <w:r>
        <w:rPr>
          <w:rFonts w:ascii="Times New Roman" w:cs="Times New Roman" w:eastAsia="Times New Roman" w:hAnsi="Times New Roman"/>
          <w:sz w:val="20"/>
          <w:szCs w:val="20"/>
          <w:color w:val="000000"/>
        </w:rPr>
        <w:t>: information about education history or background that is not publicly available personally identifiable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 xml:space="preserve">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 but is not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limited to:</w:t>
      </w:r>
    </w:p>
    <w:p>
      <w:pPr>
        <w:spacing w:after="0" w:line="147" w:lineRule="exact"/>
        <w:rPr>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b w:val="1"/>
          <w:bCs w:val="1"/>
          <w:color w:val="7030A0"/>
        </w:rPr>
        <w:t>Profiles and Inferences</w:t>
      </w:r>
      <w:r>
        <w:rPr>
          <w:rFonts w:ascii="Times New Roman" w:cs="Times New Roman" w:eastAsia="Times New Roman" w:hAnsi="Times New Roman"/>
          <w:sz w:val="20"/>
          <w:szCs w:val="20"/>
          <w:color w:val="000000"/>
        </w:rPr>
        <w:t>: inferences drawn from any of the information identified above to create a profile about a resident reflecting the</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resident’s preferences, characteristics, psychological trends, predispositions, behaviour, attitudes, intelligence, abilities, and aptitudes.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9" w:name="page90"/>
    <w:bookmarkEnd w:id="89"/>
    <w:p>
      <w:pPr>
        <w:jc w:val="both"/>
        <w:spacing w:after="0" w:line="272" w:lineRule="auto"/>
        <w:rPr>
          <w:sz w:val="20"/>
          <w:szCs w:val="20"/>
          <w:color w:val="auto"/>
        </w:rPr>
      </w:pPr>
      <w:r>
        <w:rPr>
          <w:rFonts w:ascii="Times New Roman" w:cs="Times New Roman" w:eastAsia="Times New Roman" w:hAnsi="Times New Roman"/>
          <w:sz w:val="20"/>
          <w:szCs w:val="20"/>
          <w:b w:val="1"/>
          <w:bCs w:val="1"/>
          <w:color w:val="7030A0"/>
        </w:rPr>
        <w:t>Logins and Account Access Information</w:t>
      </w:r>
      <w:r>
        <w:rPr>
          <w:rFonts w:ascii="Times New Roman" w:cs="Times New Roman" w:eastAsia="Times New Roman" w:hAnsi="Times New Roman"/>
          <w:sz w:val="20"/>
          <w:szCs w:val="20"/>
          <w:color w:val="000000"/>
        </w:rPr>
        <w:t>: information which reveals a consumer’s account login, financial account, debit or credit card in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combination with any required security or access code, password or credential allowing access.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What About Sensitive Information?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192" w:lineRule="exact"/>
        <w:rPr>
          <w:sz w:val="20"/>
          <w:szCs w:val="20"/>
          <w:color w:val="auto"/>
        </w:rPr>
      </w:pPr>
    </w:p>
    <w:p>
      <w:pPr>
        <w:jc w:val="both"/>
        <w:ind w:left="760" w:hanging="378"/>
        <w:spacing w:after="0" w:line="243"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Managing Workforce</w:t>
      </w:r>
      <w:r>
        <w:rPr>
          <w:rFonts w:ascii="Times New Roman" w:cs="Times New Roman" w:eastAsia="Times New Roman" w:hAnsi="Times New Roman"/>
          <w:sz w:val="20"/>
          <w:szCs w:val="20"/>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5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156"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Complying with legal and other requirements, such as income tax and national insurance deductions, record-keeping and reporting obligations, conducting audits, reporting corporate governance, compliance with government inspections and other requests from</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0" w:name="page91"/>
    <w:bookmarkEnd w:id="90"/>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51" w:lineRule="exact"/>
        <w:rPr>
          <w:sz w:val="20"/>
          <w:szCs w:val="20"/>
          <w:color w:val="auto"/>
        </w:rPr>
      </w:pPr>
    </w:p>
    <w:p>
      <w:pPr>
        <w:jc w:val="both"/>
        <w:ind w:left="760" w:hanging="378"/>
        <w:spacing w:after="0" w:line="253" w:lineRule="auto"/>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 the geographies where we do business, as defined in our agreements, or per client instructions.</w:t>
      </w:r>
    </w:p>
    <w:p>
      <w:pPr>
        <w:spacing w:after="0" w:line="374"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b w:val="1"/>
          <w:bCs w:val="1"/>
          <w:color w:val="7030A0"/>
        </w:rPr>
        <w:t>Aggregate and de-identified information</w:t>
      </w:r>
      <w:r>
        <w:rPr>
          <w:rFonts w:ascii="Times New Roman" w:cs="Times New Roman" w:eastAsia="Times New Roman" w:hAnsi="Times New Roman"/>
          <w:sz w:val="20"/>
          <w:szCs w:val="20"/>
          <w:color w:val="000000"/>
        </w:rPr>
        <w:t>. To the extent permitted by law, we may de-identify personal information and create</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The categories of unaffiliated third parties with whom Willis Towers Watson may share Personal Information:</w:t>
      </w:r>
    </w:p>
    <w:p>
      <w:pPr>
        <w:spacing w:after="0" w:line="192" w:lineRule="exact"/>
        <w:rPr>
          <w:sz w:val="20"/>
          <w:szCs w:val="20"/>
          <w:color w:val="auto"/>
        </w:rPr>
      </w:pPr>
    </w:p>
    <w:p>
      <w:pPr>
        <w:ind w:left="760" w:hanging="378"/>
        <w:spacing w:after="0" w:line="268"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Willis Towers Watson Group operates.</w:t>
      </w:r>
    </w:p>
    <w:p>
      <w:pPr>
        <w:spacing w:after="0" w:line="133"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Providers</w:t>
      </w:r>
      <w:r>
        <w:rPr>
          <w:rFonts w:ascii="Times New Roman" w:cs="Times New Roman" w:eastAsia="Times New Roman" w:hAnsi="Times New Roman"/>
          <w:sz w:val="20"/>
          <w:szCs w:val="20"/>
          <w:color w:val="auto"/>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51"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the Willis Towers Watson Group such as regulatory authorities, law enforcement, public bodies, and judicial bodies (who may be located in other countries around the world).</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4B116F"/>
        </w:rPr>
        <w:t>ANNEX 2 – Processing of Personal Information Related to Internal Investigations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and process your Personal Information in accordance with the Global Employee Personal Information Protection Notice generally and also the provisions of this Annex 2.</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WTW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and/or the courts.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Data related to your interview will be retained, archived, and ultimately deleted in accordance with the Willis Towers Watson Records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B116F"/>
        </w:rPr>
        <w:t>ANNEX 3 – Information for California Residents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90" w:lineRule="exact"/>
        <w:rPr>
          <w:sz w:val="20"/>
          <w:szCs w:val="20"/>
          <w:color w:val="auto"/>
        </w:rPr>
      </w:pPr>
    </w:p>
    <w:p>
      <w:pPr>
        <w:ind w:left="480" w:hanging="383"/>
        <w:spacing w:after="0"/>
        <w:tabs>
          <w:tab w:leader="none" w:pos="4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21" w:lineRule="exact"/>
        <w:rPr>
          <w:rFonts w:ascii="Times New Roman" w:cs="Times New Roman" w:eastAsia="Times New Roman" w:hAnsi="Times New Roman"/>
          <w:sz w:val="20"/>
          <w:szCs w:val="20"/>
          <w:color w:val="auto"/>
        </w:rPr>
      </w:pPr>
    </w:p>
    <w:p>
      <w:pPr>
        <w:jc w:val="both"/>
        <w:ind w:left="480" w:hanging="383"/>
        <w:spacing w:after="0" w:line="239" w:lineRule="auto"/>
        <w:tabs>
          <w:tab w:leader="none" w:pos="4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ind w:left="480" w:hanging="383"/>
        <w:spacing w:after="0"/>
        <w:tabs>
          <w:tab w:leader="none" w:pos="4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Willis Towers Watson</w:t>
      </w:r>
    </w:p>
    <w:p>
      <w:pPr>
        <w:jc w:val="both"/>
        <w:ind w:left="480" w:hanging="383"/>
        <w:spacing w:after="0" w:line="241" w:lineRule="auto"/>
        <w:tabs>
          <w:tab w:leader="none" w:pos="48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7030A0"/>
        </w:rPr>
        <w:t>Categories of personal information we collect, disclose, sell, or share</w:t>
      </w:r>
      <w:r>
        <w:rPr>
          <w:rFonts w:ascii="Times New Roman" w:cs="Times New Roman" w:eastAsia="Times New Roman" w:hAnsi="Times New Roman"/>
          <w:sz w:val="20"/>
          <w:szCs w:val="20"/>
          <w:color w:val="000000"/>
        </w:rPr>
        <w:t>. Our collection, use and disclosure of personal information about a</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4B116F"/>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California law grants California residents certain rights and imposes restrictions on particular business</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practices as set forth below.</w:t>
      </w:r>
    </w:p>
    <w:p>
      <w:pPr>
        <w:spacing w:after="0" w:line="126" w:lineRule="exact"/>
        <w:rPr>
          <w:sz w:val="20"/>
          <w:szCs w:val="20"/>
          <w:color w:val="auto"/>
        </w:rPr>
      </w:pPr>
    </w:p>
    <w:p>
      <w:pPr>
        <w:ind w:left="760" w:hanging="378"/>
        <w:spacing w:after="0" w:line="272" w:lineRule="auto"/>
        <w:tabs>
          <w:tab w:leader="none" w:pos="7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 information. We do not “sell”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subject to this notice.</w:t>
      </w:r>
    </w:p>
    <w:p>
      <w:pPr>
        <w:spacing w:after="0" w:line="125" w:lineRule="exact"/>
        <w:rPr>
          <w:rFonts w:ascii="Times New Roman" w:cs="Times New Roman" w:eastAsia="Times New Roman" w:hAnsi="Times New Roman"/>
          <w:sz w:val="20"/>
          <w:szCs w:val="20"/>
          <w:color w:val="auto"/>
        </w:rPr>
      </w:pPr>
    </w:p>
    <w:p>
      <w:pPr>
        <w:ind w:left="760" w:hanging="378"/>
        <w:spacing w:after="0" w:line="272" w:lineRule="auto"/>
        <w:tabs>
          <w:tab w:leader="none" w:pos="7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 collection of their personal information,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categories of personal information collected and the purposes for which such information is used.</w:t>
      </w:r>
    </w:p>
    <w:p>
      <w:pPr>
        <w:spacing w:after="0" w:line="125"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 information that we have collected about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3" w:name="page94"/>
    <w:bookmarkEnd w:id="93"/>
    <w:p>
      <w:pPr>
        <w:jc w:val="both"/>
        <w:ind w:left="380" w:hanging="378"/>
        <w:spacing w:after="0" w:line="245"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 instances to request that we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55" w:lineRule="exact"/>
        <w:rPr>
          <w:rFonts w:ascii="Times New Roman" w:cs="Times New Roman" w:eastAsia="Times New Roman" w:hAnsi="Times New Roman"/>
          <w:sz w:val="20"/>
          <w:szCs w:val="20"/>
          <w:color w:val="auto"/>
        </w:rPr>
      </w:pPr>
    </w:p>
    <w:p>
      <w:pPr>
        <w:jc w:val="both"/>
        <w:ind w:left="380" w:hanging="378"/>
        <w:spacing w:after="0" w:line="247"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Know</w:t>
      </w:r>
      <w:r>
        <w:rPr>
          <w:rFonts w:ascii="Times New Roman" w:cs="Times New Roman" w:eastAsia="Times New Roman" w:hAnsi="Times New Roman"/>
          <w:sz w:val="20"/>
          <w:szCs w:val="20"/>
          <w:color w:val="auto"/>
        </w:rPr>
        <w:t>: California residents have the right to request and, subject to certain exemptions, receive a copy of the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55" w:lineRule="exact"/>
        <w:rPr>
          <w:rFonts w:ascii="Times New Roman" w:cs="Times New Roman" w:eastAsia="Times New Roman" w:hAnsi="Times New Roman"/>
          <w:sz w:val="20"/>
          <w:szCs w:val="20"/>
          <w:color w:val="auto"/>
        </w:rPr>
      </w:pPr>
    </w:p>
    <w:p>
      <w:pPr>
        <w:ind w:left="380" w:right="648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collected; o categories of sources of personal information;</w:t>
      </w:r>
    </w:p>
    <w:p>
      <w:pPr>
        <w:spacing w:after="0" w:line="1" w:lineRule="exact"/>
        <w:rPr>
          <w:rFonts w:ascii="Times New Roman" w:cs="Times New Roman" w:eastAsia="Times New Roman" w:hAnsi="Times New Roman"/>
          <w:sz w:val="20"/>
          <w:szCs w:val="20"/>
          <w:color w:val="auto"/>
        </w:rPr>
      </w:pPr>
    </w:p>
    <w:p>
      <w:pPr>
        <w:ind w:left="380" w:right="29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business and/or commercial purposes for collecting and selling their personal information; o categories of third parties with whom we have shared their personal information;</w:t>
      </w:r>
    </w:p>
    <w:p>
      <w:pPr>
        <w:ind w:left="76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that we have sold in the preceding 12 months, and for each category identified, the categories of third parties to which we sold that particular category of information; and</w:t>
      </w:r>
    </w:p>
    <w:p>
      <w:pPr>
        <w:ind w:left="760" w:hanging="374"/>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disclosed for a business purpose in the preceding 12 months, and for each category identified, the categories of third parties to which we disclosed that particular category of personal information.</w:t>
      </w:r>
    </w:p>
    <w:p>
      <w:pPr>
        <w:spacing w:after="0" w:line="196" w:lineRule="exact"/>
        <w:rPr>
          <w:rFonts w:ascii="Times New Roman" w:cs="Times New Roman" w:eastAsia="Times New Roman" w:hAnsi="Times New Roman"/>
          <w:sz w:val="20"/>
          <w:szCs w:val="20"/>
          <w:color w:val="auto"/>
        </w:rPr>
      </w:pPr>
    </w:p>
    <w:p>
      <w:pPr>
        <w:jc w:val="both"/>
        <w:ind w:left="38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45"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 personal information that we maintain.</w:t>
      </w:r>
    </w:p>
    <w:p>
      <w:pPr>
        <w:spacing w:after="0" w:line="188" w:lineRule="exact"/>
        <w:rPr>
          <w:rFonts w:ascii="Times New Roman" w:cs="Times New Roman" w:eastAsia="Times New Roman" w:hAnsi="Times New Roman"/>
          <w:sz w:val="20"/>
          <w:szCs w:val="20"/>
          <w:color w:val="auto"/>
        </w:rPr>
      </w:pPr>
    </w:p>
    <w:p>
      <w:pPr>
        <w:jc w:val="both"/>
        <w:ind w:left="380" w:hanging="378"/>
        <w:spacing w:after="0" w:line="250"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Right to Non-Discrimination</w:t>
      </w:r>
      <w:r>
        <w:rPr>
          <w:rFonts w:ascii="Times New Roman" w:cs="Times New Roman" w:eastAsia="Times New Roman" w:hAnsi="Times New Roman"/>
          <w:sz w:val="20"/>
          <w:szCs w:val="20"/>
          <w:color w:val="auto"/>
        </w:rPr>
        <w:t>: The CCPA prohibits discrimination against California residents for exercising their rights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47" w:lineRule="exact"/>
        <w:rPr>
          <w:rFonts w:ascii="Times New Roman" w:cs="Times New Roman" w:eastAsia="Times New Roman" w:hAnsi="Times New Roman"/>
          <w:sz w:val="20"/>
          <w:szCs w:val="20"/>
          <w:color w:val="auto"/>
        </w:rPr>
      </w:pPr>
    </w:p>
    <w:p>
      <w:pPr>
        <w:jc w:val="both"/>
        <w:ind w:left="380" w:hanging="378"/>
        <w:spacing w:after="0" w:line="247" w:lineRule="auto"/>
        <w:tabs>
          <w:tab w:leader="none" w:pos="3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 deletion of California residents’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5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626110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7" w:right="339" w:bottom="1440" w:gutter="0" w:footer="0" w:header="0"/>
        </w:sectPr>
      </w:pPr>
    </w:p>
    <w:bookmarkStart w:id="94" w:name="page95"/>
    <w:bookmarkEnd w:id="94"/>
    <w:p>
      <w:pPr>
        <w:ind w:left="760" w:hanging="378"/>
        <w:spacing w:after="0" w:line="272" w:lineRule="auto"/>
        <w:tabs>
          <w:tab w:leader="none" w:pos="76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 Requests to Limit, and Requests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Correct may be submitted:</w:t>
      </w:r>
    </w:p>
    <w:p>
      <w:pPr>
        <w:spacing w:after="0" w:line="130" w:lineRule="exact"/>
        <w:rPr>
          <w:sz w:val="20"/>
          <w:szCs w:val="20"/>
          <w:color w:val="auto"/>
        </w:rPr>
      </w:pPr>
    </w:p>
    <w:p>
      <w:pPr>
        <w:ind w:left="1500" w:hanging="369"/>
        <w:spacing w:after="0"/>
        <w:tabs>
          <w:tab w:leader="none" w:pos="1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contacting us at 1-800-889-9288 (toll free)</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Consumer Request through this link</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49" w:lineRule="exact"/>
        <w:rPr>
          <w:sz w:val="20"/>
          <w:szCs w:val="20"/>
          <w:color w:val="auto"/>
        </w:rPr>
      </w:pPr>
    </w:p>
    <w:p>
      <w:pPr>
        <w:jc w:val="both"/>
        <w:ind w:left="760" w:hanging="378"/>
        <w:spacing w:after="0" w:line="253"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5" w:name="page96"/>
    <w:bookmarkEnd w:id="95"/>
    <w:p>
      <w:pPr>
        <w:jc w:val="both"/>
        <w:spacing w:after="0" w:line="272" w:lineRule="auto"/>
        <w:rPr>
          <w:sz w:val="20"/>
          <w:szCs w:val="20"/>
          <w:color w:val="auto"/>
        </w:rPr>
      </w:pPr>
      <w:r>
        <w:rPr>
          <w:rFonts w:ascii="Times New Roman" w:cs="Times New Roman" w:eastAsia="Times New Roman" w:hAnsi="Times New Roman"/>
          <w:sz w:val="20"/>
          <w:szCs w:val="20"/>
          <w:b w:val="1"/>
          <w:bCs w:val="1"/>
          <w:color w:val="4B116F"/>
        </w:rPr>
        <w:t>Consumer Requests Received in 2022</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In calendar year 2022, we received and responded to consumer requests under the CCPA as set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forth in the table below:</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40" w:type="dxa"/>
            <w:vAlign w:val="bottom"/>
            <w:tcBorders>
              <w:top w:val="single" w:sz="8" w:color="auto"/>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b w:val="1"/>
                <w:bCs w:val="1"/>
                <w:color w:val="auto"/>
              </w:rPr>
              <w:t>Request Type</w:t>
            </w:r>
          </w:p>
        </w:tc>
        <w:tc>
          <w:tcPr>
            <w:tcW w:w="2160" w:type="dxa"/>
            <w:vAlign w:val="bottom"/>
            <w:tcBorders>
              <w:top w:val="single" w:sz="8" w:color="auto"/>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b w:val="1"/>
                <w:bCs w:val="1"/>
                <w:color w:val="auto"/>
              </w:rPr>
              <w:t>Number  of  Requests</w:t>
            </w:r>
          </w:p>
        </w:tc>
        <w:tc>
          <w:tcPr>
            <w:tcW w:w="820" w:type="dxa"/>
            <w:vAlign w:val="bottom"/>
            <w:tcBorders>
              <w:top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340" w:type="dxa"/>
            <w:vAlign w:val="bottom"/>
            <w:tcBorders>
              <w:top w:val="single" w:sz="8" w:color="auto"/>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of  Requests</w:t>
            </w:r>
          </w:p>
        </w:tc>
        <w:tc>
          <w:tcPr>
            <w:tcW w:w="2180" w:type="dxa"/>
            <w:vAlign w:val="bottom"/>
            <w:tcBorders>
              <w:top w:val="single" w:sz="8" w:color="auto"/>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b w:val="1"/>
                <w:bCs w:val="1"/>
                <w:color w:val="auto"/>
              </w:rPr>
              <w:t>Number  of  Requests</w:t>
            </w:r>
          </w:p>
        </w:tc>
        <w:tc>
          <w:tcPr>
            <w:tcW w:w="800" w:type="dxa"/>
            <w:vAlign w:val="bottom"/>
            <w:tcBorders>
              <w:top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1360" w:type="dxa"/>
            <w:vAlign w:val="bottom"/>
            <w:tcBorders>
              <w:top w:val="single" w:sz="8" w:color="auto"/>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Response</w:t>
            </w:r>
          </w:p>
        </w:tc>
      </w:tr>
      <w:tr>
        <w:trPr>
          <w:trHeight w:val="229"/>
        </w:trPr>
        <w:tc>
          <w:tcPr>
            <w:tcW w:w="2240" w:type="dxa"/>
            <w:vAlign w:val="bottom"/>
            <w:tcBorders>
              <w:left w:val="single" w:sz="8" w:color="auto"/>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With</w:t>
            </w:r>
          </w:p>
        </w:tc>
        <w:tc>
          <w:tcPr>
            <w:tcW w:w="1340" w:type="dxa"/>
            <w:vAlign w:val="bottom"/>
            <w:tcBorders>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Which   We</w:t>
            </w:r>
          </w:p>
        </w:tc>
        <w:tc>
          <w:tcPr>
            <w:tcW w:w="2180" w:type="dxa"/>
            <w:vAlign w:val="bottom"/>
            <w:tcBorders>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b w:val="1"/>
                <w:bCs w:val="1"/>
                <w:color w:val="auto"/>
              </w:rPr>
              <w:t>Denied*</w:t>
            </w: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Time</w:t>
            </w:r>
          </w:p>
        </w:tc>
        <w:tc>
          <w:tcPr>
            <w:tcW w:w="1360" w:type="dxa"/>
            <w:vAlign w:val="bottom"/>
            <w:tcBorders>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29"/>
        </w:trPr>
        <w:tc>
          <w:tcPr>
            <w:tcW w:w="2240" w:type="dxa"/>
            <w:vAlign w:val="bottom"/>
            <w:tcBorders>
              <w:left w:val="single" w:sz="8" w:color="auto"/>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Complied (in whole or</w:t>
            </w:r>
          </w:p>
        </w:tc>
        <w:tc>
          <w:tcPr>
            <w:tcW w:w="2180" w:type="dxa"/>
            <w:vAlign w:val="bottom"/>
            <w:tcBorders>
              <w:right w:val="single" w:sz="8" w:color="auto"/>
            </w:tcBorders>
            <w:shd w:val="clear" w:color="auto" w:fill="D9EEFF"/>
          </w:tcPr>
          <w:p>
            <w:pPr>
              <w:spacing w:after="0"/>
              <w:rPr>
                <w:sz w:val="19"/>
                <w:szCs w:val="19"/>
                <w:color w:val="auto"/>
              </w:rPr>
            </w:pP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Days)</w:t>
            </w:r>
          </w:p>
        </w:tc>
        <w:tc>
          <w:tcPr>
            <w:tcW w:w="1360" w:type="dxa"/>
            <w:vAlign w:val="bottom"/>
            <w:tcBorders>
              <w:right w:val="single" w:sz="8" w:color="auto"/>
            </w:tcBorders>
            <w:shd w:val="clear" w:color="auto" w:fill="D9EEFF"/>
          </w:tcPr>
          <w:p>
            <w:pPr>
              <w:spacing w:after="0"/>
              <w:rPr>
                <w:sz w:val="19"/>
                <w:szCs w:val="19"/>
                <w:color w:val="auto"/>
              </w:rPr>
            </w:pPr>
          </w:p>
        </w:tc>
      </w:tr>
      <w:tr>
        <w:trPr>
          <w:trHeight w:val="262"/>
        </w:trPr>
        <w:tc>
          <w:tcPr>
            <w:tcW w:w="2240" w:type="dxa"/>
            <w:vAlign w:val="bottom"/>
            <w:tcBorders>
              <w:left w:val="single" w:sz="8" w:color="auto"/>
              <w:right w:val="single" w:sz="8" w:color="auto"/>
            </w:tcBorders>
            <w:shd w:val="clear" w:color="auto" w:fill="D9EEFF"/>
          </w:tcPr>
          <w:p>
            <w:pPr>
              <w:spacing w:after="0"/>
              <w:rPr>
                <w:sz w:val="22"/>
                <w:szCs w:val="22"/>
                <w:color w:val="auto"/>
              </w:rPr>
            </w:pPr>
          </w:p>
        </w:tc>
        <w:tc>
          <w:tcPr>
            <w:tcW w:w="2160" w:type="dxa"/>
            <w:vAlign w:val="bottom"/>
            <w:tcBorders>
              <w:right w:val="single" w:sz="8" w:color="auto"/>
            </w:tcBorders>
            <w:shd w:val="clear" w:color="auto" w:fill="D9EEFF"/>
          </w:tcPr>
          <w:p>
            <w:pPr>
              <w:spacing w:after="0"/>
              <w:rPr>
                <w:sz w:val="22"/>
                <w:szCs w:val="22"/>
                <w:color w:val="auto"/>
              </w:rPr>
            </w:pP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in part)</w:t>
            </w:r>
          </w:p>
        </w:tc>
        <w:tc>
          <w:tcPr>
            <w:tcW w:w="1340" w:type="dxa"/>
            <w:vAlign w:val="bottom"/>
            <w:tcBorders>
              <w:right w:val="single" w:sz="8" w:color="auto"/>
            </w:tcBorders>
            <w:shd w:val="clear" w:color="auto" w:fill="D9EEFF"/>
          </w:tcPr>
          <w:p>
            <w:pPr>
              <w:spacing w:after="0"/>
              <w:rPr>
                <w:sz w:val="22"/>
                <w:szCs w:val="22"/>
                <w:color w:val="auto"/>
              </w:rPr>
            </w:pPr>
          </w:p>
        </w:tc>
        <w:tc>
          <w:tcPr>
            <w:tcW w:w="2180" w:type="dxa"/>
            <w:vAlign w:val="bottom"/>
            <w:tcBorders>
              <w:right w:val="single" w:sz="8" w:color="auto"/>
            </w:tcBorders>
            <w:shd w:val="clear" w:color="auto" w:fill="D9EEFF"/>
          </w:tcPr>
          <w:p>
            <w:pPr>
              <w:spacing w:after="0"/>
              <w:rPr>
                <w:sz w:val="22"/>
                <w:szCs w:val="22"/>
                <w:color w:val="auto"/>
              </w:rPr>
            </w:pPr>
          </w:p>
        </w:tc>
        <w:tc>
          <w:tcPr>
            <w:tcW w:w="800" w:type="dxa"/>
            <w:vAlign w:val="bottom"/>
            <w:shd w:val="clear" w:color="auto" w:fill="D9EEFF"/>
          </w:tcPr>
          <w:p>
            <w:pPr>
              <w:spacing w:after="0"/>
              <w:rPr>
                <w:sz w:val="22"/>
                <w:szCs w:val="22"/>
                <w:color w:val="auto"/>
              </w:rPr>
            </w:pPr>
          </w:p>
        </w:tc>
        <w:tc>
          <w:tcPr>
            <w:tcW w:w="1360" w:type="dxa"/>
            <w:vAlign w:val="bottom"/>
            <w:tcBorders>
              <w:right w:val="single" w:sz="8" w:color="auto"/>
            </w:tcBorders>
            <w:shd w:val="clear" w:color="auto" w:fill="D9EEFF"/>
          </w:tcPr>
          <w:p>
            <w:pPr>
              <w:spacing w:after="0"/>
              <w:rPr>
                <w:sz w:val="22"/>
                <w:szCs w:val="22"/>
                <w:color w:val="auto"/>
              </w:rPr>
            </w:pPr>
          </w:p>
        </w:tc>
      </w:tr>
      <w:tr>
        <w:trPr>
          <w:trHeight w:val="218"/>
        </w:trPr>
        <w:tc>
          <w:tcPr>
            <w:tcW w:w="2240" w:type="dxa"/>
            <w:vAlign w:val="bottom"/>
            <w:tcBorders>
              <w:left w:val="single" w:sz="8" w:color="auto"/>
              <w:bottom w:val="single" w:sz="8" w:color="auto"/>
              <w:right w:val="single" w:sz="8" w:color="auto"/>
            </w:tcBorders>
            <w:shd w:val="clear" w:color="auto" w:fill="D9EEFF"/>
          </w:tcPr>
          <w:p>
            <w:pPr>
              <w:spacing w:after="0"/>
              <w:rPr>
                <w:sz w:val="18"/>
                <w:szCs w:val="18"/>
                <w:color w:val="auto"/>
              </w:rPr>
            </w:pPr>
          </w:p>
        </w:tc>
        <w:tc>
          <w:tcPr>
            <w:tcW w:w="2160" w:type="dxa"/>
            <w:vAlign w:val="bottom"/>
            <w:tcBorders>
              <w:bottom w:val="single" w:sz="8" w:color="auto"/>
              <w:right w:val="single" w:sz="8" w:color="auto"/>
            </w:tcBorders>
            <w:shd w:val="clear" w:color="auto" w:fill="D9EEFF"/>
          </w:tcPr>
          <w:p>
            <w:pPr>
              <w:spacing w:after="0"/>
              <w:rPr>
                <w:sz w:val="18"/>
                <w:szCs w:val="18"/>
                <w:color w:val="auto"/>
              </w:rPr>
            </w:pPr>
          </w:p>
        </w:tc>
        <w:tc>
          <w:tcPr>
            <w:tcW w:w="820" w:type="dxa"/>
            <w:vAlign w:val="bottom"/>
            <w:tcBorders>
              <w:bottom w:val="single" w:sz="8" w:color="auto"/>
            </w:tcBorders>
            <w:shd w:val="clear" w:color="auto" w:fill="D9EEFF"/>
          </w:tcPr>
          <w:p>
            <w:pPr>
              <w:spacing w:after="0"/>
              <w:rPr>
                <w:sz w:val="18"/>
                <w:szCs w:val="18"/>
                <w:color w:val="auto"/>
              </w:rPr>
            </w:pPr>
          </w:p>
        </w:tc>
        <w:tc>
          <w:tcPr>
            <w:tcW w:w="1340" w:type="dxa"/>
            <w:vAlign w:val="bottom"/>
            <w:tcBorders>
              <w:bottom w:val="single" w:sz="8" w:color="auto"/>
              <w:right w:val="single" w:sz="8" w:color="auto"/>
            </w:tcBorders>
            <w:shd w:val="clear" w:color="auto" w:fill="D9EEFF"/>
          </w:tcPr>
          <w:p>
            <w:pPr>
              <w:spacing w:after="0"/>
              <w:rPr>
                <w:sz w:val="18"/>
                <w:szCs w:val="18"/>
                <w:color w:val="auto"/>
              </w:rPr>
            </w:pPr>
          </w:p>
        </w:tc>
        <w:tc>
          <w:tcPr>
            <w:tcW w:w="2180" w:type="dxa"/>
            <w:vAlign w:val="bottom"/>
            <w:tcBorders>
              <w:bottom w:val="single" w:sz="8" w:color="auto"/>
              <w:right w:val="single" w:sz="8" w:color="auto"/>
            </w:tcBorders>
            <w:shd w:val="clear" w:color="auto" w:fill="D9EEFF"/>
          </w:tcPr>
          <w:p>
            <w:pPr>
              <w:spacing w:after="0"/>
              <w:rPr>
                <w:sz w:val="18"/>
                <w:szCs w:val="18"/>
                <w:color w:val="auto"/>
              </w:rPr>
            </w:pPr>
          </w:p>
        </w:tc>
        <w:tc>
          <w:tcPr>
            <w:tcW w:w="800" w:type="dxa"/>
            <w:vAlign w:val="bottom"/>
            <w:tcBorders>
              <w:bottom w:val="single" w:sz="8" w:color="auto"/>
            </w:tcBorders>
            <w:shd w:val="clear" w:color="auto" w:fill="D9EEFF"/>
          </w:tcPr>
          <w:p>
            <w:pPr>
              <w:spacing w:after="0"/>
              <w:rPr>
                <w:sz w:val="18"/>
                <w:szCs w:val="18"/>
                <w:color w:val="auto"/>
              </w:rPr>
            </w:pPr>
          </w:p>
        </w:tc>
        <w:tc>
          <w:tcPr>
            <w:tcW w:w="1360" w:type="dxa"/>
            <w:vAlign w:val="bottom"/>
            <w:tcBorders>
              <w:bottom w:val="single" w:sz="8" w:color="auto"/>
              <w:right w:val="single" w:sz="8" w:color="auto"/>
            </w:tcBorders>
            <w:shd w:val="clear" w:color="auto" w:fill="D9EEFF"/>
          </w:tcPr>
          <w:p>
            <w:pPr>
              <w:spacing w:after="0"/>
              <w:rPr>
                <w:sz w:val="18"/>
                <w:szCs w:val="18"/>
                <w:color w:val="auto"/>
              </w:rPr>
            </w:pPr>
          </w:p>
        </w:tc>
      </w:tr>
      <w:tr>
        <w:trPr>
          <w:trHeight w:val="238"/>
        </w:trPr>
        <w:tc>
          <w:tcPr>
            <w:tcW w:w="2240" w:type="dxa"/>
            <w:vAlign w:val="bottom"/>
            <w:tcBorders>
              <w:top w:val="single" w:sz="8" w:color="auto"/>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Requests to Know</w:t>
            </w:r>
          </w:p>
        </w:tc>
        <w:tc>
          <w:tcPr>
            <w:tcW w:w="2160" w:type="dxa"/>
            <w:vAlign w:val="bottom"/>
            <w:tcBorders>
              <w:top w:val="single" w:sz="8" w:color="D9EEFF"/>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820" w:type="dxa"/>
            <w:vAlign w:val="bottom"/>
            <w:tcBorders>
              <w:top w:val="single" w:sz="8" w:color="D9EEFF"/>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w:t>
            </w:r>
          </w:p>
        </w:tc>
        <w:tc>
          <w:tcPr>
            <w:tcW w:w="1340" w:type="dxa"/>
            <w:vAlign w:val="bottom"/>
            <w:tcBorders>
              <w:top w:val="single" w:sz="8" w:color="D9EEFF"/>
              <w:right w:val="single" w:sz="8" w:color="auto"/>
            </w:tcBorders>
            <w:shd w:val="clear" w:color="auto" w:fill="D9EEFF"/>
          </w:tcPr>
          <w:p>
            <w:pPr>
              <w:spacing w:after="0"/>
              <w:rPr>
                <w:sz w:val="20"/>
                <w:szCs w:val="20"/>
                <w:color w:val="auto"/>
              </w:rPr>
            </w:pPr>
          </w:p>
        </w:tc>
        <w:tc>
          <w:tcPr>
            <w:tcW w:w="2180" w:type="dxa"/>
            <w:vAlign w:val="bottom"/>
            <w:tcBorders>
              <w:top w:val="single" w:sz="8" w:color="D9EEFF"/>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color w:val="auto"/>
              </w:rPr>
              <w:t>0</w:t>
            </w:r>
          </w:p>
        </w:tc>
        <w:tc>
          <w:tcPr>
            <w:tcW w:w="800" w:type="dxa"/>
            <w:vAlign w:val="bottom"/>
            <w:tcBorders>
              <w:top w:val="single" w:sz="8" w:color="D9EEFF"/>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33</w:t>
            </w:r>
          </w:p>
        </w:tc>
        <w:tc>
          <w:tcPr>
            <w:tcW w:w="1360" w:type="dxa"/>
            <w:vAlign w:val="bottom"/>
            <w:tcBorders>
              <w:top w:val="single" w:sz="8" w:color="D9EEFF"/>
              <w:right w:val="single" w:sz="8" w:color="auto"/>
            </w:tcBorders>
            <w:shd w:val="clear" w:color="auto" w:fill="D9EEFF"/>
          </w:tcPr>
          <w:p>
            <w:pPr>
              <w:spacing w:after="0"/>
              <w:rPr>
                <w:sz w:val="20"/>
                <w:szCs w:val="20"/>
                <w:color w:val="auto"/>
              </w:rPr>
            </w:pPr>
          </w:p>
        </w:tc>
      </w:tr>
      <w:tr>
        <w:trPr>
          <w:trHeight w:val="184"/>
        </w:trPr>
        <w:tc>
          <w:tcPr>
            <w:tcW w:w="2240" w:type="dxa"/>
            <w:vAlign w:val="bottom"/>
            <w:tcBorders>
              <w:left w:val="single" w:sz="8" w:color="auto"/>
              <w:bottom w:val="single" w:sz="8" w:color="auto"/>
              <w:right w:val="single" w:sz="8" w:color="auto"/>
            </w:tcBorders>
            <w:shd w:val="clear" w:color="auto" w:fill="D9EEFF"/>
          </w:tcPr>
          <w:p>
            <w:pPr>
              <w:spacing w:after="0"/>
              <w:rPr>
                <w:sz w:val="15"/>
                <w:szCs w:val="15"/>
                <w:color w:val="auto"/>
              </w:rPr>
            </w:pPr>
          </w:p>
        </w:tc>
        <w:tc>
          <w:tcPr>
            <w:tcW w:w="2160" w:type="dxa"/>
            <w:vAlign w:val="bottom"/>
            <w:tcBorders>
              <w:bottom w:val="single" w:sz="8" w:color="auto"/>
              <w:right w:val="single" w:sz="8" w:color="auto"/>
            </w:tcBorders>
            <w:shd w:val="clear" w:color="auto" w:fill="D9EEFF"/>
          </w:tcPr>
          <w:p>
            <w:pPr>
              <w:spacing w:after="0"/>
              <w:rPr>
                <w:sz w:val="15"/>
                <w:szCs w:val="15"/>
                <w:color w:val="auto"/>
              </w:rPr>
            </w:pPr>
          </w:p>
        </w:tc>
        <w:tc>
          <w:tcPr>
            <w:tcW w:w="820" w:type="dxa"/>
            <w:vAlign w:val="bottom"/>
            <w:tcBorders>
              <w:bottom w:val="single" w:sz="8" w:color="auto"/>
            </w:tcBorders>
            <w:shd w:val="clear" w:color="auto" w:fill="D9EEFF"/>
          </w:tcPr>
          <w:p>
            <w:pPr>
              <w:spacing w:after="0"/>
              <w:rPr>
                <w:sz w:val="15"/>
                <w:szCs w:val="15"/>
                <w:color w:val="auto"/>
              </w:rPr>
            </w:pPr>
          </w:p>
        </w:tc>
        <w:tc>
          <w:tcPr>
            <w:tcW w:w="1340" w:type="dxa"/>
            <w:vAlign w:val="bottom"/>
            <w:tcBorders>
              <w:bottom w:val="single" w:sz="8" w:color="auto"/>
              <w:right w:val="single" w:sz="8" w:color="auto"/>
            </w:tcBorders>
            <w:shd w:val="clear" w:color="auto" w:fill="D9EEFF"/>
          </w:tcPr>
          <w:p>
            <w:pPr>
              <w:spacing w:after="0"/>
              <w:rPr>
                <w:sz w:val="15"/>
                <w:szCs w:val="15"/>
                <w:color w:val="auto"/>
              </w:rPr>
            </w:pPr>
          </w:p>
        </w:tc>
        <w:tc>
          <w:tcPr>
            <w:tcW w:w="2180" w:type="dxa"/>
            <w:vAlign w:val="bottom"/>
            <w:tcBorders>
              <w:bottom w:val="single" w:sz="8" w:color="auto"/>
              <w:right w:val="single" w:sz="8" w:color="auto"/>
            </w:tcBorders>
            <w:shd w:val="clear" w:color="auto" w:fill="D9EEFF"/>
          </w:tcPr>
          <w:p>
            <w:pPr>
              <w:spacing w:after="0"/>
              <w:rPr>
                <w:sz w:val="15"/>
                <w:szCs w:val="15"/>
                <w:color w:val="auto"/>
              </w:rPr>
            </w:pPr>
          </w:p>
        </w:tc>
        <w:tc>
          <w:tcPr>
            <w:tcW w:w="800" w:type="dxa"/>
            <w:vAlign w:val="bottom"/>
            <w:tcBorders>
              <w:bottom w:val="single" w:sz="8" w:color="auto"/>
            </w:tcBorders>
            <w:shd w:val="clear" w:color="auto" w:fill="D9EEFF"/>
          </w:tcPr>
          <w:p>
            <w:pPr>
              <w:spacing w:after="0"/>
              <w:rPr>
                <w:sz w:val="15"/>
                <w:szCs w:val="15"/>
                <w:color w:val="auto"/>
              </w:rPr>
            </w:pPr>
          </w:p>
        </w:tc>
        <w:tc>
          <w:tcPr>
            <w:tcW w:w="1360" w:type="dxa"/>
            <w:vAlign w:val="bottom"/>
            <w:tcBorders>
              <w:bottom w:val="single" w:sz="8" w:color="auto"/>
              <w:right w:val="single" w:sz="8" w:color="auto"/>
            </w:tcBorders>
            <w:shd w:val="clear" w:color="auto" w:fill="D9EEFF"/>
          </w:tcPr>
          <w:p>
            <w:pPr>
              <w:spacing w:after="0"/>
              <w:rPr>
                <w:sz w:val="15"/>
                <w:szCs w:val="15"/>
                <w:color w:val="auto"/>
              </w:rPr>
            </w:pPr>
          </w:p>
        </w:tc>
      </w:tr>
      <w:tr>
        <w:trPr>
          <w:trHeight w:val="252"/>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Requests to Delete</w:t>
            </w:r>
          </w:p>
        </w:tc>
        <w:tc>
          <w:tcPr>
            <w:tcW w:w="2160" w:type="dxa"/>
            <w:vAlign w:val="bottom"/>
            <w:tcBorders>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w:t>
            </w:r>
          </w:p>
        </w:tc>
        <w:tc>
          <w:tcPr>
            <w:tcW w:w="1340" w:type="dxa"/>
            <w:vAlign w:val="bottom"/>
            <w:tcBorders>
              <w:right w:val="single" w:sz="8" w:color="auto"/>
            </w:tcBorders>
            <w:shd w:val="clear" w:color="auto" w:fill="D9EEFF"/>
          </w:tcPr>
          <w:p>
            <w:pPr>
              <w:spacing w:after="0"/>
              <w:rPr>
                <w:sz w:val="21"/>
                <w:szCs w:val="21"/>
                <w:color w:val="auto"/>
              </w:rPr>
            </w:pPr>
          </w:p>
        </w:tc>
        <w:tc>
          <w:tcPr>
            <w:tcW w:w="2180" w:type="dxa"/>
            <w:vAlign w:val="bottom"/>
            <w:tcBorders>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64</w:t>
            </w:r>
          </w:p>
        </w:tc>
        <w:tc>
          <w:tcPr>
            <w:tcW w:w="1360" w:type="dxa"/>
            <w:vAlign w:val="bottom"/>
            <w:tcBorders>
              <w:right w:val="single" w:sz="8" w:color="auto"/>
            </w:tcBorders>
            <w:shd w:val="clear" w:color="auto" w:fill="D9EEFF"/>
          </w:tcPr>
          <w:p>
            <w:pPr>
              <w:spacing w:after="0"/>
              <w:rPr>
                <w:sz w:val="21"/>
                <w:szCs w:val="21"/>
                <w:color w:val="auto"/>
              </w:rPr>
            </w:pPr>
          </w:p>
        </w:tc>
      </w:tr>
      <w:tr>
        <w:trPr>
          <w:trHeight w:val="187"/>
        </w:trPr>
        <w:tc>
          <w:tcPr>
            <w:tcW w:w="2240" w:type="dxa"/>
            <w:vAlign w:val="bottom"/>
            <w:tcBorders>
              <w:left w:val="single" w:sz="8" w:color="auto"/>
              <w:bottom w:val="single" w:sz="8" w:color="auto"/>
              <w:right w:val="single" w:sz="8" w:color="auto"/>
            </w:tcBorders>
            <w:shd w:val="clear" w:color="auto" w:fill="D9EEFF"/>
          </w:tcPr>
          <w:p>
            <w:pPr>
              <w:spacing w:after="0"/>
              <w:rPr>
                <w:sz w:val="16"/>
                <w:szCs w:val="16"/>
                <w:color w:val="auto"/>
              </w:rPr>
            </w:pPr>
          </w:p>
        </w:tc>
        <w:tc>
          <w:tcPr>
            <w:tcW w:w="2160" w:type="dxa"/>
            <w:vAlign w:val="bottom"/>
            <w:tcBorders>
              <w:bottom w:val="single" w:sz="8" w:color="auto"/>
              <w:right w:val="single" w:sz="8" w:color="auto"/>
            </w:tcBorders>
            <w:shd w:val="clear" w:color="auto" w:fill="D9EEFF"/>
          </w:tcPr>
          <w:p>
            <w:pPr>
              <w:spacing w:after="0"/>
              <w:rPr>
                <w:sz w:val="16"/>
                <w:szCs w:val="16"/>
                <w:color w:val="auto"/>
              </w:rPr>
            </w:pPr>
          </w:p>
        </w:tc>
        <w:tc>
          <w:tcPr>
            <w:tcW w:w="820" w:type="dxa"/>
            <w:vAlign w:val="bottom"/>
            <w:tcBorders>
              <w:bottom w:val="single" w:sz="8" w:color="auto"/>
            </w:tcBorders>
            <w:shd w:val="clear" w:color="auto" w:fill="D9EEFF"/>
          </w:tcPr>
          <w:p>
            <w:pPr>
              <w:spacing w:after="0"/>
              <w:rPr>
                <w:sz w:val="16"/>
                <w:szCs w:val="16"/>
                <w:color w:val="auto"/>
              </w:rPr>
            </w:pPr>
          </w:p>
        </w:tc>
        <w:tc>
          <w:tcPr>
            <w:tcW w:w="1340" w:type="dxa"/>
            <w:vAlign w:val="bottom"/>
            <w:tcBorders>
              <w:bottom w:val="single" w:sz="8" w:color="auto"/>
              <w:right w:val="single" w:sz="8" w:color="auto"/>
            </w:tcBorders>
            <w:shd w:val="clear" w:color="auto" w:fill="D9EEFF"/>
          </w:tcPr>
          <w:p>
            <w:pPr>
              <w:spacing w:after="0"/>
              <w:rPr>
                <w:sz w:val="16"/>
                <w:szCs w:val="16"/>
                <w:color w:val="auto"/>
              </w:rPr>
            </w:pPr>
          </w:p>
        </w:tc>
        <w:tc>
          <w:tcPr>
            <w:tcW w:w="2180" w:type="dxa"/>
            <w:vAlign w:val="bottom"/>
            <w:tcBorders>
              <w:bottom w:val="single" w:sz="8" w:color="auto"/>
              <w:right w:val="single" w:sz="8" w:color="auto"/>
            </w:tcBorders>
            <w:shd w:val="clear" w:color="auto" w:fill="D9EEFF"/>
          </w:tcPr>
          <w:p>
            <w:pPr>
              <w:spacing w:after="0"/>
              <w:rPr>
                <w:sz w:val="16"/>
                <w:szCs w:val="16"/>
                <w:color w:val="auto"/>
              </w:rPr>
            </w:pPr>
          </w:p>
        </w:tc>
        <w:tc>
          <w:tcPr>
            <w:tcW w:w="800" w:type="dxa"/>
            <w:vAlign w:val="bottom"/>
            <w:tcBorders>
              <w:bottom w:val="single" w:sz="8" w:color="auto"/>
            </w:tcBorders>
            <w:shd w:val="clear" w:color="auto" w:fill="D9EEFF"/>
          </w:tcPr>
          <w:p>
            <w:pPr>
              <w:spacing w:after="0"/>
              <w:rPr>
                <w:sz w:val="16"/>
                <w:szCs w:val="16"/>
                <w:color w:val="auto"/>
              </w:rPr>
            </w:pPr>
          </w:p>
        </w:tc>
        <w:tc>
          <w:tcPr>
            <w:tcW w:w="1360" w:type="dxa"/>
            <w:vAlign w:val="bottom"/>
            <w:tcBorders>
              <w:bottom w:val="single" w:sz="8" w:color="auto"/>
              <w:right w:val="single" w:sz="8" w:color="auto"/>
            </w:tcBorders>
            <w:shd w:val="clear" w:color="auto" w:fill="D9EEFF"/>
          </w:tcPr>
          <w:p>
            <w:pPr>
              <w:spacing w:after="0"/>
              <w:rPr>
                <w:sz w:val="16"/>
                <w:szCs w:val="16"/>
                <w:color w:val="auto"/>
              </w:rPr>
            </w:pPr>
          </w:p>
        </w:tc>
      </w:tr>
      <w:tr>
        <w:trPr>
          <w:trHeight w:val="213"/>
        </w:trPr>
        <w:tc>
          <w:tcPr>
            <w:tcW w:w="2240" w:type="dxa"/>
            <w:vAlign w:val="bottom"/>
            <w:tcBorders>
              <w:left w:val="single" w:sz="8" w:color="auto"/>
              <w:right w:val="single" w:sz="8" w:color="auto"/>
            </w:tcBorders>
            <w:shd w:val="clear" w:color="auto" w:fill="D9EEFF"/>
          </w:tcPr>
          <w:p>
            <w:pPr>
              <w:ind w:left="120"/>
              <w:spacing w:after="0" w:line="213" w:lineRule="exact"/>
              <w:rPr>
                <w:sz w:val="20"/>
                <w:szCs w:val="20"/>
                <w:color w:val="auto"/>
              </w:rPr>
            </w:pPr>
            <w:r>
              <w:rPr>
                <w:rFonts w:ascii="Times New Roman" w:cs="Times New Roman" w:eastAsia="Times New Roman" w:hAnsi="Times New Roman"/>
                <w:sz w:val="20"/>
                <w:szCs w:val="20"/>
                <w:color w:val="auto"/>
              </w:rPr>
              <w:t>Requests to Opt-Out of</w:t>
            </w:r>
          </w:p>
        </w:tc>
        <w:tc>
          <w:tcPr>
            <w:tcW w:w="2160" w:type="dxa"/>
            <w:vAlign w:val="bottom"/>
            <w:tcBorders>
              <w:right w:val="single" w:sz="8" w:color="auto"/>
            </w:tcBorders>
            <w:shd w:val="clear" w:color="auto" w:fill="D9EEFF"/>
          </w:tcPr>
          <w:p>
            <w:pPr>
              <w:ind w:left="60"/>
              <w:spacing w:after="0" w:line="213" w:lineRule="exact"/>
              <w:rPr>
                <w:sz w:val="20"/>
                <w:szCs w:val="20"/>
                <w:color w:val="auto"/>
              </w:rPr>
            </w:pPr>
            <w:r>
              <w:rPr>
                <w:rFonts w:ascii="Times New Roman" w:cs="Times New Roman" w:eastAsia="Times New Roman" w:hAnsi="Times New Roman"/>
                <w:sz w:val="20"/>
                <w:szCs w:val="20"/>
                <w:color w:val="auto"/>
              </w:rPr>
              <w:t>790</w:t>
            </w:r>
          </w:p>
        </w:tc>
        <w:tc>
          <w:tcPr>
            <w:tcW w:w="82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782**</w:t>
            </w:r>
          </w:p>
        </w:tc>
        <w:tc>
          <w:tcPr>
            <w:tcW w:w="1340" w:type="dxa"/>
            <w:vAlign w:val="bottom"/>
            <w:tcBorders>
              <w:right w:val="single" w:sz="8" w:color="auto"/>
            </w:tcBorders>
            <w:shd w:val="clear" w:color="auto" w:fill="D9EEFF"/>
          </w:tcPr>
          <w:p>
            <w:pPr>
              <w:spacing w:after="0"/>
              <w:rPr>
                <w:sz w:val="18"/>
                <w:szCs w:val="18"/>
                <w:color w:val="auto"/>
              </w:rPr>
            </w:pPr>
          </w:p>
        </w:tc>
        <w:tc>
          <w:tcPr>
            <w:tcW w:w="2180" w:type="dxa"/>
            <w:vAlign w:val="bottom"/>
            <w:tcBorders>
              <w:right w:val="single" w:sz="8" w:color="auto"/>
            </w:tcBorders>
            <w:shd w:val="clear" w:color="auto" w:fill="D9EEFF"/>
          </w:tcPr>
          <w:p>
            <w:pPr>
              <w:ind w:left="100"/>
              <w:spacing w:after="0" w:line="213" w:lineRule="exact"/>
              <w:rPr>
                <w:sz w:val="20"/>
                <w:szCs w:val="20"/>
                <w:color w:val="auto"/>
              </w:rPr>
            </w:pPr>
            <w:r>
              <w:rPr>
                <w:rFonts w:ascii="Times New Roman" w:cs="Times New Roman" w:eastAsia="Times New Roman" w:hAnsi="Times New Roman"/>
                <w:sz w:val="20"/>
                <w:szCs w:val="20"/>
                <w:color w:val="auto"/>
              </w:rPr>
              <w:t>0</w:t>
            </w:r>
          </w:p>
        </w:tc>
        <w:tc>
          <w:tcPr>
            <w:tcW w:w="80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shd w:val="clear" w:color="auto" w:fill="D9EEFF"/>
          </w:tcPr>
          <w:p>
            <w:pPr>
              <w:spacing w:after="0"/>
              <w:rPr>
                <w:sz w:val="18"/>
                <w:szCs w:val="18"/>
                <w:color w:val="auto"/>
              </w:rPr>
            </w:pPr>
          </w:p>
        </w:tc>
      </w:tr>
      <w:tr>
        <w:trPr>
          <w:trHeight w:val="229"/>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the  Sale  of  Personal</w:t>
            </w:r>
          </w:p>
        </w:tc>
        <w:tc>
          <w:tcPr>
            <w:tcW w:w="2160" w:type="dxa"/>
            <w:vAlign w:val="bottom"/>
            <w:tcBorders>
              <w:right w:val="single" w:sz="8" w:color="auto"/>
            </w:tcBorders>
            <w:shd w:val="clear" w:color="auto" w:fill="D9EEFF"/>
          </w:tcPr>
          <w:p>
            <w:pPr>
              <w:spacing w:after="0"/>
              <w:rPr>
                <w:sz w:val="19"/>
                <w:szCs w:val="19"/>
                <w:color w:val="auto"/>
              </w:rPr>
            </w:pPr>
          </w:p>
        </w:tc>
        <w:tc>
          <w:tcPr>
            <w:tcW w:w="820" w:type="dxa"/>
            <w:vAlign w:val="bottom"/>
            <w:shd w:val="clear" w:color="auto" w:fill="D9EEFF"/>
          </w:tcPr>
          <w:p>
            <w:pPr>
              <w:spacing w:after="0"/>
              <w:rPr>
                <w:sz w:val="19"/>
                <w:szCs w:val="19"/>
                <w:color w:val="auto"/>
              </w:rPr>
            </w:pPr>
          </w:p>
        </w:tc>
        <w:tc>
          <w:tcPr>
            <w:tcW w:w="1340" w:type="dxa"/>
            <w:vAlign w:val="bottom"/>
            <w:tcBorders>
              <w:right w:val="single" w:sz="8" w:color="auto"/>
            </w:tcBorders>
            <w:shd w:val="clear" w:color="auto" w:fill="D9EEFF"/>
          </w:tcPr>
          <w:p>
            <w:pPr>
              <w:spacing w:after="0"/>
              <w:rPr>
                <w:sz w:val="19"/>
                <w:szCs w:val="19"/>
                <w:color w:val="auto"/>
              </w:rPr>
            </w:pPr>
          </w:p>
        </w:tc>
        <w:tc>
          <w:tcPr>
            <w:tcW w:w="2180" w:type="dxa"/>
            <w:vAlign w:val="bottom"/>
            <w:tcBorders>
              <w:right w:val="single" w:sz="8" w:color="auto"/>
            </w:tcBorders>
            <w:shd w:val="clear" w:color="auto" w:fill="D9EEFF"/>
          </w:tcPr>
          <w:p>
            <w:pPr>
              <w:spacing w:after="0"/>
              <w:rPr>
                <w:sz w:val="19"/>
                <w:szCs w:val="19"/>
                <w:color w:val="auto"/>
              </w:rPr>
            </w:pPr>
          </w:p>
        </w:tc>
        <w:tc>
          <w:tcPr>
            <w:tcW w:w="800" w:type="dxa"/>
            <w:vAlign w:val="bottom"/>
            <w:shd w:val="clear" w:color="auto" w:fill="D9EEFF"/>
          </w:tcPr>
          <w:p>
            <w:pPr>
              <w:spacing w:after="0"/>
              <w:rPr>
                <w:sz w:val="19"/>
                <w:szCs w:val="19"/>
                <w:color w:val="auto"/>
              </w:rPr>
            </w:pPr>
          </w:p>
        </w:tc>
        <w:tc>
          <w:tcPr>
            <w:tcW w:w="1360" w:type="dxa"/>
            <w:vAlign w:val="bottom"/>
            <w:tcBorders>
              <w:right w:val="single" w:sz="8" w:color="auto"/>
            </w:tcBorders>
            <w:shd w:val="clear" w:color="auto" w:fill="D9EEFF"/>
          </w:tcPr>
          <w:p>
            <w:pPr>
              <w:spacing w:after="0"/>
              <w:rPr>
                <w:sz w:val="19"/>
                <w:szCs w:val="19"/>
                <w:color w:val="auto"/>
              </w:rPr>
            </w:pPr>
          </w:p>
        </w:tc>
      </w:tr>
      <w:tr>
        <w:trPr>
          <w:trHeight w:val="258"/>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Information</w:t>
            </w:r>
          </w:p>
        </w:tc>
        <w:tc>
          <w:tcPr>
            <w:tcW w:w="2160" w:type="dxa"/>
            <w:vAlign w:val="bottom"/>
            <w:tcBorders>
              <w:right w:val="single" w:sz="8" w:color="auto"/>
            </w:tcBorders>
            <w:shd w:val="clear" w:color="auto" w:fill="D9EEFF"/>
          </w:tcPr>
          <w:p>
            <w:pPr>
              <w:spacing w:after="0"/>
              <w:rPr>
                <w:sz w:val="22"/>
                <w:szCs w:val="22"/>
                <w:color w:val="auto"/>
              </w:rPr>
            </w:pPr>
          </w:p>
        </w:tc>
        <w:tc>
          <w:tcPr>
            <w:tcW w:w="820" w:type="dxa"/>
            <w:vAlign w:val="bottom"/>
            <w:shd w:val="clear" w:color="auto" w:fill="D9EEFF"/>
          </w:tcPr>
          <w:p>
            <w:pPr>
              <w:spacing w:after="0"/>
              <w:rPr>
                <w:sz w:val="22"/>
                <w:szCs w:val="22"/>
                <w:color w:val="auto"/>
              </w:rPr>
            </w:pPr>
          </w:p>
        </w:tc>
        <w:tc>
          <w:tcPr>
            <w:tcW w:w="1340" w:type="dxa"/>
            <w:vAlign w:val="bottom"/>
            <w:tcBorders>
              <w:right w:val="single" w:sz="8" w:color="auto"/>
            </w:tcBorders>
            <w:shd w:val="clear" w:color="auto" w:fill="D9EEFF"/>
          </w:tcPr>
          <w:p>
            <w:pPr>
              <w:spacing w:after="0"/>
              <w:rPr>
                <w:sz w:val="22"/>
                <w:szCs w:val="22"/>
                <w:color w:val="auto"/>
              </w:rPr>
            </w:pPr>
          </w:p>
        </w:tc>
        <w:tc>
          <w:tcPr>
            <w:tcW w:w="2180" w:type="dxa"/>
            <w:vAlign w:val="bottom"/>
            <w:tcBorders>
              <w:right w:val="single" w:sz="8" w:color="auto"/>
            </w:tcBorders>
            <w:shd w:val="clear" w:color="auto" w:fill="D9EEFF"/>
          </w:tcPr>
          <w:p>
            <w:pPr>
              <w:spacing w:after="0"/>
              <w:rPr>
                <w:sz w:val="22"/>
                <w:szCs w:val="22"/>
                <w:color w:val="auto"/>
              </w:rPr>
            </w:pPr>
          </w:p>
        </w:tc>
        <w:tc>
          <w:tcPr>
            <w:tcW w:w="800" w:type="dxa"/>
            <w:vAlign w:val="bottom"/>
            <w:shd w:val="clear" w:color="auto" w:fill="D9EEFF"/>
          </w:tcPr>
          <w:p>
            <w:pPr>
              <w:spacing w:after="0"/>
              <w:rPr>
                <w:sz w:val="22"/>
                <w:szCs w:val="22"/>
                <w:color w:val="auto"/>
              </w:rPr>
            </w:pPr>
          </w:p>
        </w:tc>
        <w:tc>
          <w:tcPr>
            <w:tcW w:w="1360" w:type="dxa"/>
            <w:vAlign w:val="bottom"/>
            <w:tcBorders>
              <w:right w:val="single" w:sz="8" w:color="auto"/>
            </w:tcBorders>
            <w:shd w:val="clear" w:color="auto" w:fill="D9EEFF"/>
          </w:tcPr>
          <w:p>
            <w:pPr>
              <w:spacing w:after="0"/>
              <w:rPr>
                <w:sz w:val="22"/>
                <w:szCs w:val="22"/>
                <w:color w:val="auto"/>
              </w:rPr>
            </w:pPr>
          </w:p>
        </w:tc>
      </w:tr>
      <w:tr>
        <w:trPr>
          <w:trHeight w:val="196"/>
        </w:trPr>
        <w:tc>
          <w:tcPr>
            <w:tcW w:w="2240" w:type="dxa"/>
            <w:vAlign w:val="bottom"/>
            <w:tcBorders>
              <w:left w:val="single" w:sz="8" w:color="auto"/>
              <w:bottom w:val="single" w:sz="8" w:color="auto"/>
              <w:right w:val="single" w:sz="8" w:color="auto"/>
            </w:tcBorders>
            <w:shd w:val="clear" w:color="auto" w:fill="D9EEFF"/>
          </w:tcPr>
          <w:p>
            <w:pPr>
              <w:spacing w:after="0"/>
              <w:rPr>
                <w:sz w:val="17"/>
                <w:szCs w:val="17"/>
                <w:color w:val="auto"/>
              </w:rPr>
            </w:pPr>
          </w:p>
        </w:tc>
        <w:tc>
          <w:tcPr>
            <w:tcW w:w="2160" w:type="dxa"/>
            <w:vAlign w:val="bottom"/>
            <w:tcBorders>
              <w:bottom w:val="single" w:sz="8" w:color="auto"/>
              <w:right w:val="single" w:sz="8" w:color="auto"/>
            </w:tcBorders>
            <w:shd w:val="clear" w:color="auto" w:fill="D9EEFF"/>
          </w:tcPr>
          <w:p>
            <w:pPr>
              <w:spacing w:after="0"/>
              <w:rPr>
                <w:sz w:val="17"/>
                <w:szCs w:val="17"/>
                <w:color w:val="auto"/>
              </w:rPr>
            </w:pPr>
          </w:p>
        </w:tc>
        <w:tc>
          <w:tcPr>
            <w:tcW w:w="820" w:type="dxa"/>
            <w:vAlign w:val="bottom"/>
            <w:tcBorders>
              <w:bottom w:val="single" w:sz="8" w:color="auto"/>
            </w:tcBorders>
            <w:shd w:val="clear" w:color="auto" w:fill="D9EEFF"/>
          </w:tcPr>
          <w:p>
            <w:pPr>
              <w:spacing w:after="0"/>
              <w:rPr>
                <w:sz w:val="17"/>
                <w:szCs w:val="17"/>
                <w:color w:val="auto"/>
              </w:rPr>
            </w:pPr>
          </w:p>
        </w:tc>
        <w:tc>
          <w:tcPr>
            <w:tcW w:w="1340" w:type="dxa"/>
            <w:vAlign w:val="bottom"/>
            <w:tcBorders>
              <w:bottom w:val="single" w:sz="8" w:color="auto"/>
              <w:right w:val="single" w:sz="8" w:color="auto"/>
            </w:tcBorders>
            <w:shd w:val="clear" w:color="auto" w:fill="D9EEFF"/>
          </w:tcPr>
          <w:p>
            <w:pPr>
              <w:spacing w:after="0"/>
              <w:rPr>
                <w:sz w:val="17"/>
                <w:szCs w:val="17"/>
                <w:color w:val="auto"/>
              </w:rPr>
            </w:pPr>
          </w:p>
        </w:tc>
        <w:tc>
          <w:tcPr>
            <w:tcW w:w="2180" w:type="dxa"/>
            <w:vAlign w:val="bottom"/>
            <w:tcBorders>
              <w:bottom w:val="single" w:sz="8" w:color="auto"/>
              <w:right w:val="single" w:sz="8" w:color="auto"/>
            </w:tcBorders>
            <w:shd w:val="clear" w:color="auto" w:fill="D9EEFF"/>
          </w:tcPr>
          <w:p>
            <w:pPr>
              <w:spacing w:after="0"/>
              <w:rPr>
                <w:sz w:val="17"/>
                <w:szCs w:val="17"/>
                <w:color w:val="auto"/>
              </w:rPr>
            </w:pPr>
          </w:p>
        </w:tc>
        <w:tc>
          <w:tcPr>
            <w:tcW w:w="800" w:type="dxa"/>
            <w:vAlign w:val="bottom"/>
            <w:tcBorders>
              <w:bottom w:val="single" w:sz="8" w:color="auto"/>
            </w:tcBorders>
            <w:shd w:val="clear" w:color="auto" w:fill="D9EEFF"/>
          </w:tcPr>
          <w:p>
            <w:pPr>
              <w:spacing w:after="0"/>
              <w:rPr>
                <w:sz w:val="17"/>
                <w:szCs w:val="17"/>
                <w:color w:val="auto"/>
              </w:rPr>
            </w:pPr>
          </w:p>
        </w:tc>
        <w:tc>
          <w:tcPr>
            <w:tcW w:w="1360" w:type="dxa"/>
            <w:vAlign w:val="bottom"/>
            <w:tcBorders>
              <w:bottom w:val="single" w:sz="8" w:color="auto"/>
              <w:right w:val="single" w:sz="8" w:color="auto"/>
            </w:tcBorders>
            <w:shd w:val="clear" w:color="auto" w:fill="D9EEFF"/>
          </w:tcPr>
          <w:p>
            <w:pPr>
              <w:spacing w:after="0"/>
              <w:rPr>
                <w:sz w:val="17"/>
                <w:szCs w:val="17"/>
                <w:color w:val="auto"/>
              </w:rPr>
            </w:pPr>
          </w:p>
        </w:tc>
      </w:tr>
    </w:tbl>
    <w:p>
      <w:pPr>
        <w:spacing w:after="0" w:line="3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includes requests that were denied because we were unable to verify the identity of the requestor.</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 through email. We followed up with the requestors for more information, but the requestor never clarified to which WTW group or information their request applied to.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Opt-Out Preference Signals and “Do-Not-Track” Signals.</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6" w:name="page97"/>
    <w:bookmarkEnd w:id="9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2012 EQUITY INCENTIVE PLAN, AS AMENDED AND RESTATED</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PERFORMANCE-BASED RESTRICTED SHARE UNIT AWARD AGREEMENT</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EXECUTIVE OFFICERS</w:t>
      </w:r>
    </w:p>
    <w:p>
      <w:pPr>
        <w:spacing w:after="0" w:line="189" w:lineRule="exact"/>
        <w:rPr>
          <w:sz w:val="20"/>
          <w:szCs w:val="20"/>
          <w:color w:val="auto"/>
        </w:rPr>
      </w:pPr>
    </w:p>
    <w:p>
      <w:pPr>
        <w:ind w:right="28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 xml:space="preserve">THIS PERFORMANCE-BASED RESTRICTED SHARE UNIT AWARD AGREEMENT, </w:t>
      </w:r>
      <w:r>
        <w:rPr>
          <w:rFonts w:ascii="Times New Roman" w:cs="Times New Roman" w:eastAsia="Times New Roman" w:hAnsi="Times New Roman"/>
          <w:sz w:val="20"/>
          <w:szCs w:val="20"/>
          <w:color w:val="auto"/>
        </w:rPr>
        <w:t>including the Schedules attached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hereto (this “Agreement”), is made by and between Willis Towers Watson Public Limited Company and any successor thereto (the “Company”) and the individual (the “Colleague”) who has signed or electronically accepted this Agreement in the manner specified in the Colleague’s online account with the Company’s designated broker/stock plan administrator.</w:t>
      </w:r>
    </w:p>
    <w:p>
      <w:pPr>
        <w:spacing w:after="0" w:line="174" w:lineRule="exact"/>
        <w:rPr>
          <w:sz w:val="20"/>
          <w:szCs w:val="20"/>
          <w:color w:val="auto"/>
        </w:rPr>
      </w:pPr>
    </w:p>
    <w:p>
      <w:pPr>
        <w:ind w:right="44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Company wishes to carry out the Plan (as hereinafter defined), the terms of which are hereby incorporated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reference and made a part of this Agreement; and</w:t>
      </w:r>
    </w:p>
    <w:p>
      <w:pPr>
        <w:spacing w:after="0" w:line="153"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Committee (as defined in the Plan</w:t>
      </w:r>
      <w:r>
        <w:rPr>
          <w:rFonts w:ascii="Arial" w:cs="Arial" w:eastAsia="Arial" w:hAnsi="Arial"/>
          <w:sz w:val="17"/>
          <w:szCs w:val="17"/>
          <w:color w:val="auto"/>
        </w:rPr>
        <w: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has determined that it would be to the advantage and best interest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Company and its shareholders to grant an award of Performance-Based Restricted Share Units (as hereinafter defined) provided for herein to the Colleague as an incentive for increased efforts during the Colleague’s Service (as hereinafter defined), and has advised the Company thereof and instructed the undersigned officer to prepare said Agreement.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do hereby agree as follows:</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DEFINITIONS</w:t>
      </w:r>
    </w:p>
    <w:p>
      <w:pPr>
        <w:spacing w:after="0" w:line="215" w:lineRule="exact"/>
        <w:rPr>
          <w:sz w:val="20"/>
          <w:szCs w:val="20"/>
          <w:color w:val="auto"/>
        </w:rPr>
      </w:pPr>
    </w:p>
    <w:p>
      <w:pPr>
        <w:ind w:right="240" w:firstLine="749"/>
        <w:spacing w:after="0" w:line="268" w:lineRule="auto"/>
        <w:rPr>
          <w:sz w:val="20"/>
          <w:szCs w:val="20"/>
          <w:color w:val="auto"/>
        </w:rPr>
      </w:pPr>
      <w:r>
        <w:rPr>
          <w:rFonts w:ascii="Times New Roman" w:cs="Times New Roman" w:eastAsia="Times New Roman" w:hAnsi="Times New Roman"/>
          <w:sz w:val="20"/>
          <w:szCs w:val="20"/>
          <w:color w:val="auto"/>
        </w:rPr>
        <w:t>Capitalized terms used in this Agreement shall have the meaning specified in the Plan or below. The plural pronoun shall include the singular, where the context so indicates.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Cause</w:t>
      </w:r>
    </w:p>
    <w:p>
      <w:pPr>
        <w:spacing w:after="0" w:line="211" w:lineRule="exact"/>
        <w:rPr>
          <w:sz w:val="20"/>
          <w:szCs w:val="20"/>
          <w:color w:val="auto"/>
        </w:rPr>
      </w:pPr>
    </w:p>
    <w:p>
      <w:pPr>
        <w:ind w:right="140" w:firstLine="749"/>
        <w:spacing w:after="0" w:line="254" w:lineRule="auto"/>
        <w:rPr>
          <w:sz w:val="20"/>
          <w:szCs w:val="20"/>
          <w:color w:val="auto"/>
        </w:rPr>
      </w:pPr>
      <w:r>
        <w:rPr>
          <w:rFonts w:ascii="Times New Roman" w:cs="Times New Roman" w:eastAsia="Times New Roman" w:hAnsi="Times New Roman"/>
          <w:sz w:val="19"/>
          <w:szCs w:val="19"/>
          <w:color w:val="auto"/>
        </w:rPr>
        <w:t>“Cause” shall have the meaning ascribed to such term or similar term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“Good Cause”) in the Colleague’s employment agreement, if any, with the Company, a Subsidiary or a Designated Associate Company, and, in the absence of an employment agreement or such definition in the employment agreement, it shall mean: (i) the Colleague’s gross or chronic neglect or negligence in the performance of the Colleague’s employment duties with respect to the Company or its Subsidiaries or Designated Associate Companies having been provided reasonable notice of such neglect or negligence and a period of at least ten (10) days after the Colleague’s receipt of such notice to cure and/or correct such performance neglect or negligence, (ii) willful misconduct by the Colleague in connection with the Colleague’s employment which is injurious to the Company or its Subsidiaries or Designated Associate Companies (willful misconduct shall be understood to include, but not be limited to, any breach of the duty of loyalty owed by the Colleague to the Company or its Subsidiaries or Designated Associate Companies), (iii) conviction of any criminal act (other than minor road traffic violations not involving imprisonment),</w:t>
      </w:r>
    </w:p>
    <w:p>
      <w:pPr>
        <w:spacing w:after="0" w:line="8" w:lineRule="exact"/>
        <w:rPr>
          <w:sz w:val="20"/>
          <w:szCs w:val="20"/>
          <w:color w:val="auto"/>
        </w:rPr>
      </w:pPr>
    </w:p>
    <w:p>
      <w:pPr>
        <w:ind w:right="120" w:firstLine="8"/>
        <w:spacing w:after="0" w:line="241" w:lineRule="auto"/>
        <w:tabs>
          <w:tab w:leader="none" w:pos="335"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breach of the Colleague’s restrictive covenants and other obligations as provided in the Colleague’s employment agreement (if any), or any other non-compete agreement and/or confidentiality agreement entered into between the Colleague and the Company or any of its Subsidiaries or Designated Associate Companies (other than an insubstantial, inadvertent and non-recurring breach), or (v) any violation of any material written Company policy, which includes any policy regarding sexual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899795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86" w:right="339" w:bottom="1440" w:gutter="0" w:footer="0" w:header="0"/>
        </w:sectPr>
      </w:pPr>
    </w:p>
    <w:bookmarkStart w:id="97" w:name="page98"/>
    <w:bookmarkEnd w:id="97"/>
    <w:p>
      <w:pPr>
        <w:ind w:right="300"/>
        <w:spacing w:after="0" w:line="268" w:lineRule="auto"/>
        <w:rPr>
          <w:sz w:val="20"/>
          <w:szCs w:val="20"/>
          <w:color w:val="auto"/>
        </w:rPr>
      </w:pPr>
      <w:r>
        <w:rPr>
          <w:rFonts w:ascii="Times New Roman" w:cs="Times New Roman" w:eastAsia="Times New Roman" w:hAnsi="Times New Roman"/>
          <w:sz w:val="20"/>
          <w:szCs w:val="20"/>
          <w:color w:val="auto"/>
        </w:rPr>
        <w:t>harassment, after reasonable notice and an opportunity to cure such violation (if curable as determined by the Board) within ten (10) days after the Colleague’s receipt of such notice.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Date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“Earned Date” shall mean the date that the Committee determines the attainment level of the Performance Objectives.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PSUs</w:t>
      </w:r>
    </w:p>
    <w:p>
      <w:pPr>
        <w:spacing w:after="0" w:line="215" w:lineRule="exact"/>
        <w:rPr>
          <w:sz w:val="20"/>
          <w:szCs w:val="20"/>
          <w:color w:val="auto"/>
        </w:rPr>
      </w:pPr>
    </w:p>
    <w:p>
      <w:pPr>
        <w:ind w:right="140" w:firstLine="749"/>
        <w:spacing w:after="0" w:line="268" w:lineRule="auto"/>
        <w:rPr>
          <w:sz w:val="20"/>
          <w:szCs w:val="20"/>
          <w:color w:val="auto"/>
        </w:rPr>
      </w:pPr>
      <w:r>
        <w:rPr>
          <w:rFonts w:ascii="Times New Roman" w:cs="Times New Roman" w:eastAsia="Times New Roman" w:hAnsi="Times New Roman"/>
          <w:sz w:val="20"/>
          <w:szCs w:val="20"/>
          <w:color w:val="auto"/>
        </w:rPr>
        <w:t>“Earned PSUs” shall mean the number of PSUs that are determined to be earned based on the attainment level of the Performance Objectives set forth in Schedule C of this Agreement and eligible to vest in accordance with the provisions of Article III.</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Employer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“Employer” shall mean the Company, or if different, the Subsidiary or Designated Associate Company that employs the Colleague.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Good Reason</w:t>
      </w:r>
    </w:p>
    <w:p>
      <w:pPr>
        <w:spacing w:after="0" w:line="215" w:lineRule="exact"/>
        <w:rPr>
          <w:sz w:val="20"/>
          <w:szCs w:val="20"/>
          <w:color w:val="auto"/>
        </w:rPr>
      </w:pPr>
    </w:p>
    <w:p>
      <w:pPr>
        <w:ind w:firstLine="749"/>
        <w:spacing w:after="0" w:line="255" w:lineRule="auto"/>
        <w:rPr>
          <w:sz w:val="20"/>
          <w:szCs w:val="20"/>
          <w:color w:val="auto"/>
        </w:rPr>
      </w:pPr>
      <w:r>
        <w:rPr>
          <w:rFonts w:ascii="Times New Roman" w:cs="Times New Roman" w:eastAsia="Times New Roman" w:hAnsi="Times New Roman"/>
          <w:sz w:val="19"/>
          <w:szCs w:val="19"/>
          <w:color w:val="auto"/>
        </w:rPr>
        <w:t>“Good Reason” shall have the meaning ascribed to such term or similar term in the employment agreement, if any, with the Company, a Subsidiary or a Designated Associate Company; in the absence of an employment agreement or such term in the employment agreement, it shall mean that one or more of the following events has occurred without the Colleague’s written consent: (i) a material adverse diminution in the Colleague’s position, authority or responsibilities or the assignment to Colleague of duties or responsibilities which are materially inconsistent with the Colleague’s position; (ii) a reduction in the Colleague’s monthly base salary or target annual incentive plan percentage; or (iii) the Colleague is required to relocate the Colleague’s primary work location of record, either (A) if the Colleague is designated to work primarily at a Company office, to an office outside a radius of 50 miles from the Colleague’s current office location, or</w:t>
      </w:r>
    </w:p>
    <w:p>
      <w:pPr>
        <w:spacing w:after="0" w:line="2" w:lineRule="exact"/>
        <w:rPr>
          <w:sz w:val="20"/>
          <w:szCs w:val="20"/>
          <w:color w:val="auto"/>
        </w:rPr>
      </w:pPr>
    </w:p>
    <w:p>
      <w:pPr>
        <w:ind w:firstLine="8"/>
        <w:spacing w:after="0"/>
        <w:tabs>
          <w:tab w:leader="none" w:pos="313"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Colleague’s is designated to work primarily on a “remote” basis, to any office or location that is not materially consistent with the Colleague’s remote work arrangement. The Colleague may not resign or otherwise terminate the Colleague’s employment for any reason set forth above as Good Reason unless the Colleague first notifies the Employer in writing describing such Good Reason within 90 days of the first occurrence of such circumstances, and, thereafter, such Good Reason is not corrected by the Employer within 30 days of the Colleague’s written notice of such Good Reason, and the Colleague actually terminates employment within 90 days following the expiration of the Employer’s 30-day cure period described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Date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“Grant Date” shall mean April 1,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Legacy Company</w:t>
      </w:r>
    </w:p>
    <w:p>
      <w:pPr>
        <w:spacing w:after="0" w:line="215" w:lineRule="exact"/>
        <w:rPr>
          <w:sz w:val="20"/>
          <w:szCs w:val="20"/>
          <w:color w:val="auto"/>
        </w:rPr>
      </w:pPr>
    </w:p>
    <w:p>
      <w:pPr>
        <w:ind w:right="380" w:firstLine="749"/>
        <w:spacing w:after="0" w:line="268" w:lineRule="auto"/>
        <w:rPr>
          <w:sz w:val="20"/>
          <w:szCs w:val="20"/>
          <w:color w:val="auto"/>
        </w:rPr>
      </w:pPr>
      <w:r>
        <w:rPr>
          <w:rFonts w:ascii="Times New Roman" w:cs="Times New Roman" w:eastAsia="Times New Roman" w:hAnsi="Times New Roman"/>
          <w:sz w:val="20"/>
          <w:szCs w:val="20"/>
          <w:color w:val="auto"/>
        </w:rPr>
        <w:t>“Legacy Company” shall mean Towers Watson &amp; Co. or Willis Group Holdings Public Limited Company and any predecessor companies or affiliates of any of the foregoing.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LTIP</w:t>
      </w:r>
    </w:p>
    <w:p>
      <w:pPr>
        <w:spacing w:after="0" w:line="215" w:lineRule="exact"/>
        <w:rPr>
          <w:sz w:val="20"/>
          <w:szCs w:val="20"/>
          <w:color w:val="auto"/>
        </w:rPr>
      </w:pPr>
    </w:p>
    <w:p>
      <w:pPr>
        <w:ind w:right="340" w:firstLine="749"/>
        <w:spacing w:after="0" w:line="253" w:lineRule="auto"/>
        <w:rPr>
          <w:sz w:val="20"/>
          <w:szCs w:val="20"/>
          <w:color w:val="auto"/>
        </w:rPr>
      </w:pPr>
      <w:r>
        <w:rPr>
          <w:rFonts w:ascii="Times New Roman" w:cs="Times New Roman" w:eastAsia="Times New Roman" w:hAnsi="Times New Roman"/>
          <w:sz w:val="20"/>
          <w:szCs w:val="20"/>
          <w:color w:val="auto"/>
        </w:rPr>
        <w:t>“Long-Term Incentive Program” or “LTIP” is a program adopted with respect to calendar years 2024 to 2026 by the Committee under which equity awards and/or cash awards may be granted to certain eligible employees of the Company, its Subsidiaries or its Designated Associate Companies.</w:t>
      </w:r>
    </w:p>
    <w:p>
      <w:pPr>
        <w:spacing w:after="0" w:line="3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0" w:right="39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Nominal Value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“Nominal Value” shall mean $0.000304635 per Share.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Performance-Based Restricted Share Units</w:t>
      </w:r>
    </w:p>
    <w:p>
      <w:pPr>
        <w:spacing w:after="0" w:line="215" w:lineRule="exact"/>
        <w:rPr>
          <w:sz w:val="20"/>
          <w:szCs w:val="20"/>
          <w:color w:val="auto"/>
        </w:rPr>
      </w:pPr>
    </w:p>
    <w:p>
      <w:pPr>
        <w:jc w:val="both"/>
        <w:ind w:right="280" w:firstLine="749"/>
        <w:spacing w:after="0" w:line="253" w:lineRule="auto"/>
        <w:rPr>
          <w:sz w:val="20"/>
          <w:szCs w:val="20"/>
          <w:color w:val="auto"/>
        </w:rPr>
      </w:pPr>
      <w:r>
        <w:rPr>
          <w:rFonts w:ascii="Times New Roman" w:cs="Times New Roman" w:eastAsia="Times New Roman" w:hAnsi="Times New Roman"/>
          <w:sz w:val="20"/>
          <w:szCs w:val="20"/>
          <w:color w:val="auto"/>
        </w:rPr>
        <w:t>“Performance-Based Restricted Share Units” or “PSUs” shall mean a conditional right to receive Shares, pursuant to the terms of the Plan and this Agreement upon vesting and settlement, subject to the attainment of certain Performance Objectives and the Colleague’s continued Service through the applicable Vesting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Objectives</w:t>
      </w:r>
    </w:p>
    <w:p>
      <w:pPr>
        <w:spacing w:after="0" w:line="215"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“Performance Objectives” shall mean the performance objectives that are referenced in Section 3.1(b) and set forth in Schedule C to this Agreement.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Performance Period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“Performance Period” shall mean January 1, 2024 through December 31, 2026.</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Plan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“Plan” shall mean the Willis Towers Watson Public Limited Company 2012 Equity Incentive Plan, as amended from time to time.</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21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7"/>
              </w:rPr>
              <w:t>- Qualifying Retirement</w:t>
            </w:r>
          </w:p>
        </w:tc>
      </w:tr>
      <w:tr>
        <w:trPr>
          <w:trHeight w:val="209"/>
        </w:trPr>
        <w:tc>
          <w:tcPr>
            <w:tcW w:w="34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1"/>
              </w:rPr>
              <w:t>1.</w:t>
            </w:r>
            <w:r>
              <w:rPr>
                <w:rFonts w:ascii="Times New Roman" w:cs="Times New Roman" w:eastAsia="Times New Roman" w:hAnsi="Times New Roman"/>
                <w:sz w:val="20"/>
                <w:szCs w:val="20"/>
                <w:u w:val="single" w:color="auto"/>
                <w:color w:val="auto"/>
                <w:w w:val="91"/>
              </w:rPr>
              <w:t>14</w:t>
            </w:r>
          </w:p>
        </w:tc>
        <w:tc>
          <w:tcPr>
            <w:tcW w:w="30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780" w:type="dxa"/>
            <w:vAlign w:val="bottom"/>
            <w:tcBorders>
              <w:top w:val="single" w:sz="8" w:color="auto"/>
            </w:tcBorders>
          </w:tcPr>
          <w:p>
            <w:pPr>
              <w:spacing w:after="0"/>
              <w:rPr>
                <w:sz w:val="18"/>
                <w:szCs w:val="18"/>
                <w:color w:val="auto"/>
              </w:rPr>
            </w:pPr>
          </w:p>
        </w:tc>
      </w:tr>
    </w:tbl>
    <w:p>
      <w:pPr>
        <w:spacing w:after="0" w:line="2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“Qualifying Retirement” shall mean a voluntary termination of Service by the Colleague after the Colleague’s attainment of either</w:t>
      </w:r>
    </w:p>
    <w:p>
      <w:pPr>
        <w:spacing w:after="0" w:line="33" w:lineRule="exact"/>
        <w:rPr>
          <w:sz w:val="20"/>
          <w:szCs w:val="20"/>
          <w:color w:val="auto"/>
        </w:rPr>
      </w:pPr>
    </w:p>
    <w:p>
      <w:pPr>
        <w:ind w:right="20" w:firstLine="8"/>
        <w:spacing w:after="0" w:line="242" w:lineRule="auto"/>
        <w:tabs>
          <w:tab w:leader="none" w:pos="2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age of 55 and the Colleague’s completion of 10 Years of Service, or (ii) the age of 65 and the Colleague’s completion of 5 Years of Service, provided that the Committee has not determined that a basis exists for the Colleague’s termination of Service for Cause at the time of such termination of Service.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RCA</w:t>
      </w:r>
    </w:p>
    <w:p>
      <w:pPr>
        <w:spacing w:after="0" w:line="215" w:lineRule="exact"/>
        <w:rPr>
          <w:sz w:val="20"/>
          <w:szCs w:val="20"/>
          <w:color w:val="auto"/>
        </w:rPr>
      </w:pPr>
    </w:p>
    <w:p>
      <w:pPr>
        <w:ind w:right="140" w:firstLine="749"/>
        <w:spacing w:after="0" w:line="253" w:lineRule="auto"/>
        <w:rPr>
          <w:sz w:val="20"/>
          <w:szCs w:val="20"/>
          <w:color w:val="auto"/>
        </w:rPr>
      </w:pPr>
      <w:r>
        <w:rPr>
          <w:rFonts w:ascii="Times New Roman" w:cs="Times New Roman" w:eastAsia="Times New Roman" w:hAnsi="Times New Roman"/>
          <w:sz w:val="20"/>
          <w:szCs w:val="20"/>
          <w:color w:val="auto"/>
        </w:rPr>
        <w:t>“RCA” shall mean the Agreement of Restrictive Covenants and Other Obligations for Employees [For Executive Officers based in the U.S: in the United States] [For Executive Officers based outside of the U.S: Outside of the United States], which is attached to the Agreement as Schedule B.</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1.16</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Service</w:t>
      </w:r>
    </w:p>
    <w:p>
      <w:pPr>
        <w:spacing w:after="0" w:line="215" w:lineRule="exact"/>
        <w:rPr>
          <w:sz w:val="20"/>
          <w:szCs w:val="20"/>
          <w:color w:val="auto"/>
        </w:rPr>
      </w:pPr>
    </w:p>
    <w:p>
      <w:pPr>
        <w:ind w:right="100" w:firstLine="749"/>
        <w:spacing w:after="0" w:line="268" w:lineRule="auto"/>
        <w:rPr>
          <w:sz w:val="20"/>
          <w:szCs w:val="20"/>
          <w:color w:val="auto"/>
        </w:rPr>
      </w:pPr>
      <w:r>
        <w:rPr>
          <w:rFonts w:ascii="Times New Roman" w:cs="Times New Roman" w:eastAsia="Times New Roman" w:hAnsi="Times New Roman"/>
          <w:sz w:val="20"/>
          <w:szCs w:val="20"/>
          <w:color w:val="auto"/>
        </w:rPr>
        <w:t>“Service” shall mean service as an Employee with (or, subject to approval by the Committee, as a Consultant to) the Company, or a Subsidiary or Designated Associate Company thereof.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Shares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“Shares” shall mean Ordinary Shares of the Company, Nominal Value per Share, which may be authorized but unissued.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150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w w:val="94"/>
              </w:rPr>
              <w:t>– Target Award</w:t>
            </w:r>
          </w:p>
        </w:tc>
      </w:tr>
      <w:tr>
        <w:trPr>
          <w:trHeight w:val="209"/>
        </w:trPr>
        <w:tc>
          <w:tcPr>
            <w:tcW w:w="36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18</w:t>
            </w:r>
          </w:p>
        </w:tc>
        <w:tc>
          <w:tcPr>
            <w:tcW w:w="280" w:type="dxa"/>
            <w:vAlign w:val="bottom"/>
            <w:tcBorders>
              <w:top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r>
    </w:tbl>
    <w:p>
      <w:pPr>
        <w:spacing w:after="0" w:line="220" w:lineRule="exact"/>
        <w:rPr>
          <w:sz w:val="20"/>
          <w:szCs w:val="20"/>
          <w:color w:val="auto"/>
        </w:rPr>
      </w:pPr>
    </w:p>
    <w:p>
      <w:pPr>
        <w:ind w:right="520" w:firstLine="749"/>
        <w:spacing w:after="0" w:line="268" w:lineRule="auto"/>
        <w:rPr>
          <w:sz w:val="20"/>
          <w:szCs w:val="20"/>
          <w:color w:val="auto"/>
        </w:rPr>
      </w:pPr>
      <w:r>
        <w:rPr>
          <w:rFonts w:ascii="Times New Roman" w:cs="Times New Roman" w:eastAsia="Times New Roman" w:hAnsi="Times New Roman"/>
          <w:sz w:val="20"/>
          <w:szCs w:val="20"/>
          <w:color w:val="auto"/>
        </w:rPr>
        <w:t>“Target Award” shall mean the target number of PSUs specified in a schedule to the Agreement or as stated in the Colleague’s online account with the Company’s designated broker/stock plan administrator.</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w w:val="97"/>
              </w:rPr>
              <w:t>– Termination Date</w:t>
            </w:r>
          </w:p>
        </w:tc>
      </w:tr>
      <w:tr>
        <w:trPr>
          <w:trHeight w:val="209"/>
        </w:trPr>
        <w:tc>
          <w:tcPr>
            <w:tcW w:w="360" w:type="dxa"/>
            <w:vAlign w:val="bottom"/>
            <w:tcBorders>
              <w:top w:val="single" w:sz="8" w:color="auto"/>
              <w:bottom w:val="single" w:sz="8" w:color="auto"/>
            </w:tcBorders>
          </w:tcPr>
          <w:p>
            <w:pPr>
              <w:spacing w:after="0" w:line="209" w:lineRule="exact"/>
              <w:rPr>
                <w:sz w:val="20"/>
                <w:szCs w:val="20"/>
                <w:color w:val="auto"/>
              </w:rPr>
            </w:pPr>
            <w:r>
              <w:rPr>
                <w:rFonts w:ascii="Times New Roman" w:cs="Times New Roman" w:eastAsia="Times New Roman" w:hAnsi="Times New Roman"/>
                <w:sz w:val="20"/>
                <w:szCs w:val="20"/>
                <w:color w:val="auto"/>
                <w:w w:val="96"/>
              </w:rPr>
              <w:t>1.</w:t>
            </w:r>
            <w:r>
              <w:rPr>
                <w:rFonts w:ascii="Times New Roman" w:cs="Times New Roman" w:eastAsia="Times New Roman" w:hAnsi="Times New Roman"/>
                <w:sz w:val="20"/>
                <w:szCs w:val="20"/>
                <w:u w:val="single" w:color="auto"/>
                <w:color w:val="auto"/>
                <w:w w:val="96"/>
              </w:rPr>
              <w:t>19</w:t>
            </w:r>
          </w:p>
        </w:tc>
        <w:tc>
          <w:tcPr>
            <w:tcW w:w="28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2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Unless otherwise determined by the Committee, in its sole discretion, the “Termination Date” shall mean the later of (i) the last day of the Colleague’s active Service or (ii) the last day of any notice period or garden leave, as provided for under the Colleague’s employment agreement or local law; provided, however, that in the case of United States taxpayers, the Termination Date shall mean a date that will allow the PSUs to comply with Section 409A of the Code.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w:t>
            </w:r>
          </w:p>
        </w:tc>
        <w:tc>
          <w:tcPr>
            <w:tcW w:w="5360" w:type="dxa"/>
            <w:vAlign w:val="bottom"/>
            <w:gridSpan w:val="3"/>
          </w:tcPr>
          <w:p>
            <w:pPr>
              <w:ind w:left="280"/>
              <w:spacing w:after="0"/>
              <w:rPr>
                <w:sz w:val="20"/>
                <w:szCs w:val="20"/>
                <w:color w:val="auto"/>
              </w:rPr>
            </w:pPr>
            <w:r>
              <w:rPr>
                <w:rFonts w:ascii="Times New Roman" w:cs="Times New Roman" w:eastAsia="Times New Roman" w:hAnsi="Times New Roman"/>
                <w:sz w:val="20"/>
                <w:szCs w:val="20"/>
                <w:color w:val="auto"/>
              </w:rPr>
              <w:t>- Vesting Date</w:t>
            </w:r>
          </w:p>
        </w:tc>
      </w:tr>
      <w:tr>
        <w:trPr>
          <w:trHeight w:val="209"/>
        </w:trPr>
        <w:tc>
          <w:tcPr>
            <w:tcW w:w="640" w:type="dxa"/>
            <w:vAlign w:val="bottom"/>
            <w:tcBorders>
              <w:top w:val="single" w:sz="8" w:color="auto"/>
            </w:tcBorders>
            <w:gridSpan w:val="2"/>
          </w:tcPr>
          <w:p>
            <w:pPr>
              <w:spacing w:after="0" w:line="209" w:lineRule="exact"/>
              <w:rPr>
                <w:sz w:val="20"/>
                <w:szCs w:val="20"/>
                <w:color w:val="auto"/>
              </w:rPr>
            </w:pPr>
            <w:r>
              <w:rPr>
                <w:rFonts w:ascii="Times New Roman" w:cs="Times New Roman" w:eastAsia="Times New Roman" w:hAnsi="Times New Roman"/>
                <w:sz w:val="20"/>
                <w:szCs w:val="20"/>
                <w:color w:val="auto"/>
              </w:rPr>
              <w:t>1.</w:t>
            </w:r>
            <w:r>
              <w:rPr>
                <w:rFonts w:ascii="Times New Roman" w:cs="Times New Roman" w:eastAsia="Times New Roman" w:hAnsi="Times New Roman"/>
                <w:sz w:val="20"/>
                <w:szCs w:val="20"/>
                <w:u w:val="single" w:color="auto"/>
                <w:color w:val="auto"/>
              </w:rPr>
              <w:t>20</w:t>
            </w:r>
          </w:p>
        </w:tc>
        <w:tc>
          <w:tcPr>
            <w:tcW w:w="40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3960" w:type="dxa"/>
            <w:vAlign w:val="bottom"/>
          </w:tcPr>
          <w:p>
            <w:pPr>
              <w:spacing w:after="0"/>
              <w:rPr>
                <w:sz w:val="18"/>
                <w:szCs w:val="18"/>
                <w:color w:val="auto"/>
              </w:rPr>
            </w:pPr>
          </w:p>
        </w:tc>
      </w:tr>
      <w:tr>
        <w:trPr>
          <w:trHeight w:val="471"/>
        </w:trPr>
        <w:tc>
          <w:tcPr>
            <w:tcW w:w="3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536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w w:val="97"/>
              </w:rPr>
              <w:t>“Vesting Date” shall mean the third anniversary of the Grant Date.</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Years of Service</w:t>
      </w:r>
    </w:p>
    <w:p>
      <w:pPr>
        <w:spacing w:after="0" w:line="215"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“Years of Service” shall mean the total number of full years in which the Colleague has been in Service with the Company, a Subsidiary or Designated Associate Company thereof, and a Legacy Company. For purposes of this definition, a year of Service shall mean a 365-day period (or 366 day period in the case of a leap year) that, for the first year of Service, commences on the Colleague’s date of hiring and that, for any subsequent year, commences on an anniversary of that hiring date. A partial year of Service shall not be treated as a Year of Service.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ARTICLE II</w:t>
      </w:r>
    </w:p>
    <w:p>
      <w:pPr>
        <w:spacing w:after="0" w:line="22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20"/>
          <w:szCs w:val="20"/>
          <w:u w:val="single" w:color="auto"/>
          <w:color w:val="auto"/>
        </w:rPr>
        <w:t>GRANT OF PERFORMANCE-BASED RESTRICTED SHARE UNITS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Grant of the Performance-Based Restricted Share Units</w:t>
      </w:r>
    </w:p>
    <w:p>
      <w:pPr>
        <w:spacing w:after="0" w:line="215" w:lineRule="exact"/>
        <w:rPr>
          <w:sz w:val="20"/>
          <w:szCs w:val="20"/>
          <w:color w:val="auto"/>
        </w:rPr>
      </w:pPr>
    </w:p>
    <w:p>
      <w:pPr>
        <w:ind w:firstLine="749"/>
        <w:spacing w:after="0" w:line="260" w:lineRule="auto"/>
        <w:rPr>
          <w:sz w:val="20"/>
          <w:szCs w:val="20"/>
          <w:color w:val="auto"/>
        </w:rPr>
      </w:pPr>
      <w:r>
        <w:rPr>
          <w:rFonts w:ascii="Times New Roman" w:cs="Times New Roman" w:eastAsia="Times New Roman" w:hAnsi="Times New Roman"/>
          <w:sz w:val="19"/>
          <w:szCs w:val="19"/>
          <w:color w:val="auto"/>
        </w:rPr>
        <w:t>Subject to the terms and conditions of the Plan and the additional terms and conditions set forth in this Agreement and the restrictive covenants set forth in the RCA, the Company hereby grants to the Colleague a number of PSUs equal to the Target Award representing the right to vest in the Earned PSUs. The Colleague agrees that the grant of PSUs pursuant to this Agreement is sufficient consideration for the Colleague entering into the RCA. The Colleague agrees to execute and deliver or electronically accept this Agreement and the RCA within 60 days of the Grant Date. In the event the Colleague fails to execute and deliver or electronically accept the Agreement or the RCA in the manner and within the period specified in this Section 2.1, the Committee may, in its sole discretion, cancel the PSUs.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PSU Payment</w:t>
      </w:r>
    </w:p>
    <w:p>
      <w:pPr>
        <w:spacing w:after="0" w:line="215" w:lineRule="exact"/>
        <w:rPr>
          <w:sz w:val="20"/>
          <w:szCs w:val="20"/>
          <w:color w:val="auto"/>
        </w:rPr>
      </w:pPr>
    </w:p>
    <w:p>
      <w:pPr>
        <w:jc w:val="both"/>
        <w:ind w:right="180" w:firstLine="749"/>
        <w:spacing w:after="0" w:line="249" w:lineRule="auto"/>
        <w:rPr>
          <w:sz w:val="20"/>
          <w:szCs w:val="20"/>
          <w:color w:val="auto"/>
        </w:rPr>
      </w:pPr>
      <w:r>
        <w:rPr>
          <w:rFonts w:ascii="Times New Roman" w:cs="Times New Roman" w:eastAsia="Times New Roman" w:hAnsi="Times New Roman"/>
          <w:sz w:val="20"/>
          <w:szCs w:val="20"/>
          <w:color w:val="auto"/>
        </w:rPr>
        <w:t>In accordance with Section 7(d)(ii) of the Plan, the Shares to be issued upon vesting and settlement of the PSUs must be fully paid up prior to issuance of Shares by payment of the Nominal Value per Share. The Committee shall ensure that payment of the Nominal Value for any Shares underlying the PSUs is received by it on behalf of the Colleague at the time the PSUs are settled from a non-Irish Subsidiary or other source and shall establish any procedures or protocols necessary to ensure that payment is timely received.</w:t>
      </w: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71" w:right="3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20"/>
          <w:szCs w:val="20"/>
          <w:u w:val="single" w:color="auto"/>
          <w:color w:val="auto"/>
        </w:rPr>
        <w:t>Section 2.3Employment or Service Rights</w:t>
      </w:r>
    </w:p>
    <w:p>
      <w:pPr>
        <w:spacing w:after="0" w:line="215" w:lineRule="exact"/>
        <w:rPr>
          <w:sz w:val="20"/>
          <w:szCs w:val="20"/>
          <w:color w:val="auto"/>
        </w:rPr>
      </w:pPr>
    </w:p>
    <w:p>
      <w:pPr>
        <w:ind w:right="60" w:firstLine="749"/>
        <w:spacing w:after="0" w:line="242" w:lineRule="auto"/>
        <w:rPr>
          <w:sz w:val="20"/>
          <w:szCs w:val="20"/>
          <w:color w:val="auto"/>
        </w:rPr>
      </w:pPr>
      <w:r>
        <w:rPr>
          <w:rFonts w:ascii="Times New Roman" w:cs="Times New Roman" w:eastAsia="Times New Roman" w:hAnsi="Times New Roman"/>
          <w:sz w:val="20"/>
          <w:szCs w:val="20"/>
          <w:color w:val="auto"/>
        </w:rPr>
        <w:t>Subject to the terms of the RCA, the rights and obligations of the Colleague under the terms of their Service shall not be affected by their participation in the Plan or any right which they may have to participate in it. The PSUs and the Colleague’s participation in the Plan will not be interpreted to form an employment agreement or service contract with the Company or any Subsidiary or a Designated Associate Company and the terms of any separate employment agreement or service contract to which the Colleague is a party shall remain in effect and will control to the extent that there are any inconsistencies with this Agreement. The Colleague hereby waives any and all rights to compensation or damages in consequence of the termination of Service for any reason whatsoever insofar as those rights arise or may arise from their ceasing to have rights under or be entitled to earn or vest in their PSUs as a result of such termination of Service. If, notwithstanding the foregoing, any such claim is allowed by a court of competent jurisdiction, then, by participating in the Plan, the Colleague shall be deemed irrevocably to have agreed not to pursue such claim and agrees to execute any and all documents necessary to request dismissal or withdrawal of such claims.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Adjustments in PSUs Pursuant to Change of Control or Similar Event, etc.</w:t>
      </w:r>
    </w:p>
    <w:p>
      <w:pPr>
        <w:spacing w:after="0" w:line="215" w:lineRule="exact"/>
        <w:rPr>
          <w:sz w:val="20"/>
          <w:szCs w:val="20"/>
          <w:color w:val="auto"/>
        </w:rPr>
      </w:pPr>
    </w:p>
    <w:p>
      <w:pPr>
        <w:ind w:right="160" w:firstLine="749"/>
        <w:spacing w:after="0" w:line="242" w:lineRule="auto"/>
        <w:rPr>
          <w:sz w:val="20"/>
          <w:szCs w:val="20"/>
          <w:color w:val="auto"/>
        </w:rPr>
      </w:pPr>
      <w:r>
        <w:rPr>
          <w:rFonts w:ascii="Times New Roman" w:cs="Times New Roman" w:eastAsia="Times New Roman" w:hAnsi="Times New Roman"/>
          <w:sz w:val="20"/>
          <w:szCs w:val="20"/>
          <w:color w:val="auto"/>
        </w:rPr>
        <w:t>Subject to Sections 11 and 12 of the Plan, in the event that the outstanding Shares subject to the PSUs are, from time to time, changed into or exchanged for a different number or kind of Shares or other securities, by reason of a share split, spin-off, share or extraordinary cash dividend, share combination or reclassification, recapitalization or merger, Change of Control, or similar event, the Committee shall, in its absolute discretion, substitute or adjust proportionally (i) the number and kind of Shares or securities subject to the PSUs; or (ii) the terms and conditions applicable to the PSUs (including without limitation, any applicable Performance Objectives with respect thereto). An adjustment may have the effect of reducing the price at which Shares may be acquired to less than their Nominal Value (the “</w:t>
      </w:r>
      <w:r>
        <w:rPr>
          <w:rFonts w:ascii="Times New Roman" w:cs="Times New Roman" w:eastAsia="Times New Roman" w:hAnsi="Times New Roman"/>
          <w:sz w:val="20"/>
          <w:szCs w:val="20"/>
          <w:u w:val="single" w:color="auto"/>
          <w:color w:val="auto"/>
        </w:rPr>
        <w:t>Shortfall</w:t>
      </w:r>
      <w:r>
        <w:rPr>
          <w:rFonts w:ascii="Times New Roman" w:cs="Times New Roman" w:eastAsia="Times New Roman" w:hAnsi="Times New Roman"/>
          <w:sz w:val="20"/>
          <w:szCs w:val="20"/>
          <w:color w:val="auto"/>
        </w:rPr>
        <w:t>”), but only if and to the extent that the Committee shall be authorized to capitalize from the reserves of the Company a sum equal to the Shortfall and to apply that sum in paying up that amount on the Shares. Any such adjustment or determination made by the Committee shall be final and binding upon the Colleague, the Company and all other interested persons.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Tax Withholding</w:t>
      </w:r>
    </w:p>
    <w:p>
      <w:pPr>
        <w:spacing w:after="0" w:line="215" w:lineRule="exact"/>
        <w:rPr>
          <w:sz w:val="20"/>
          <w:szCs w:val="20"/>
          <w:color w:val="auto"/>
        </w:rPr>
      </w:pPr>
    </w:p>
    <w:p>
      <w:pPr>
        <w:ind w:right="40" w:firstLine="749"/>
        <w:spacing w:after="0" w:line="242" w:lineRule="auto"/>
        <w:rPr>
          <w:sz w:val="20"/>
          <w:szCs w:val="20"/>
          <w:color w:val="auto"/>
        </w:rPr>
      </w:pPr>
      <w:r>
        <w:rPr>
          <w:rFonts w:ascii="Times New Roman" w:cs="Times New Roman" w:eastAsia="Times New Roman" w:hAnsi="Times New Roman"/>
          <w:sz w:val="20"/>
          <w:szCs w:val="20"/>
          <w:color w:val="auto"/>
        </w:rPr>
        <w:t>The Colleague acknowledges that, regardless of any action taken by the Employer, the ultimate liability for all Tax-Related Items, is and remains the Colleague’s responsibility and may exceed the amount actually withheld by the Employer. The Colleague further acknowledges that the Company and/or the Employer (1) make no representations or undertakings regarding the treatment of any Tax-Related Items in connection with any aspect of the PSUs, including, but not limited to, the grant, vesting or settlement of the PSUs, the subsequent sale of Shares acquired pursuant to such settlement and the receipt of any dividends and/or any dividend equivalents; and (2) do not commit to and are under no obligation to structure the terms of the grant or any aspect of the PSUs to reduce or eliminate the Colleague’s liability for Tax-Related Items or achieve any particular tax result. Further, if the Colleague is subject to Tax-Related Items in more than one jurisdiction, the Colleague acknowledges that the Company and/or the Employer (or former employer, as applicable) may be required to withhold or account for Tax-Related Items in more than one jurisdiction.</w:t>
      </w:r>
    </w:p>
    <w:p>
      <w:pPr>
        <w:spacing w:after="0" w:line="192"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Prior to any relevant taxable or tax withholding event, as applicable, the Colleague agrees to make adequate arrangements satisfactory to the Company and/or the Employer to satisfy all Tax-Related Items.</w:t>
      </w:r>
    </w:p>
    <w:p>
      <w:pPr>
        <w:spacing w:after="0" w:line="161" w:lineRule="exact"/>
        <w:rPr>
          <w:sz w:val="20"/>
          <w:szCs w:val="20"/>
          <w:color w:val="auto"/>
        </w:rPr>
      </w:pPr>
    </w:p>
    <w:p>
      <w:pPr>
        <w:ind w:right="100" w:firstLine="749"/>
        <w:spacing w:after="0" w:line="273" w:lineRule="auto"/>
        <w:rPr>
          <w:sz w:val="20"/>
          <w:szCs w:val="20"/>
          <w:color w:val="auto"/>
        </w:rPr>
      </w:pPr>
      <w:r>
        <w:rPr>
          <w:rFonts w:ascii="Times New Roman" w:cs="Times New Roman" w:eastAsia="Times New Roman" w:hAnsi="Times New Roman"/>
          <w:sz w:val="19"/>
          <w:szCs w:val="19"/>
          <w:color w:val="auto"/>
        </w:rPr>
        <w:t>In this regard, the Colleague authorizes the Company and/or the Employer, or their respective agents, in their discretion, to satisfy the obligations with regard to all Tax-Related Items by withholding in Shares to be issued upon settlement of the PSUs, unless the Colleague instead elects, in accordance with the procedures established by the Company, to satisfy the obligations with regard to U.S. Federal</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01" w:name="page102"/>
    <w:bookmarkEnd w:id="101"/>
    <w:p>
      <w:pPr>
        <w:ind w:right="140"/>
        <w:spacing w:after="0" w:line="242" w:lineRule="auto"/>
        <w:rPr>
          <w:sz w:val="20"/>
          <w:szCs w:val="20"/>
          <w:color w:val="auto"/>
        </w:rPr>
      </w:pPr>
      <w:r>
        <w:rPr>
          <w:rFonts w:ascii="Times New Roman" w:cs="Times New Roman" w:eastAsia="Times New Roman" w:hAnsi="Times New Roman"/>
          <w:sz w:val="20"/>
          <w:szCs w:val="20"/>
          <w:color w:val="auto"/>
        </w:rPr>
        <w:t>Insurance Contribution Act taxes or other Tax-Related Items that become payable in a year prior to the year in which Shares are issued upon settlement of the PSUs and on a date when the Colleague is in the employ of the Employer through withholding from the Colleague’s wages or other cash amounts payable to the Colleague by the Company or the Employer in lieu of withholding in Shares. In the event that such withholding in Shares is problematic under applicable tax or securities law or has materially adverse accounting consequences, by the Colleague’s acceptance of the PSUs, the Colleague authorizes the Company and/or the Employer, or their respective agents, to (i) withhold from the Colleague’s wages or other cash amounts payable to the Colleague from the Company or the Employer, (ii) sell on the Colleague’s behalf a whole number of Shares from those Shares issued to the Colleague as the Company determines to be appropriate to generate cash proceeds sufficient to satisfy the obligation for Tax-Related Items, or (iii) utilize any other method of withholding determined by the Company and permitted by applicable laws and the Plan.</w:t>
      </w:r>
    </w:p>
    <w:p>
      <w:pPr>
        <w:spacing w:after="0" w:line="205"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The Company may withhold or account for Tax-Related Items by considering statutory withholding rates or other withholding rates, including minimum or maximum applicable rates applicable in the Colleague’s jurisdiction(s). In the event of over-withholding, the Colleague may receive a refund of any over-withheld amount in cash (with no entitlement to the Share equivalent), or if not refunded, the Colleague may seek a refund from the local tax authorities. In the event of under-withholding, the Colleague may be required to pay any additional Tax-Related Items directly to the applicable tax authority or to the Company and/or the Employer. If the obligation for Tax-Related Items is satisfied by withholding in Shares, for tax purposes, the Colleague is deemed to have been issued the full number of Shares subject to the vested PSUs, notwithstanding that a number of Shares are held back solely for the purpose of paying the Tax-Related Items.</w:t>
      </w:r>
    </w:p>
    <w:p>
      <w:pPr>
        <w:spacing w:after="0" w:line="197" w:lineRule="exact"/>
        <w:rPr>
          <w:sz w:val="20"/>
          <w:szCs w:val="20"/>
          <w:color w:val="auto"/>
        </w:rPr>
      </w:pPr>
    </w:p>
    <w:p>
      <w:pPr>
        <w:jc w:val="both"/>
        <w:ind w:right="240" w:firstLine="749"/>
        <w:spacing w:after="0" w:line="249" w:lineRule="auto"/>
        <w:rPr>
          <w:sz w:val="20"/>
          <w:szCs w:val="20"/>
          <w:color w:val="auto"/>
        </w:rPr>
      </w:pPr>
      <w:r>
        <w:rPr>
          <w:rFonts w:ascii="Times New Roman" w:cs="Times New Roman" w:eastAsia="Times New Roman" w:hAnsi="Times New Roman"/>
          <w:sz w:val="20"/>
          <w:szCs w:val="20"/>
          <w:color w:val="auto"/>
        </w:rPr>
        <w:t>Finally, the Colleague agrees to pay to the Company or the Employer any amount of Tax-Related Items that the Company or the Employer may be required to withhold or account for as a result of the Colleague’s participation in the Plan that cannot be satisfied by the means previously described. The Company may refuse to issue or deliver the Shares or the proceeds of the sale of Shares, if the Colleague fails to comply with the Colleague’s obligations in connection with the Tax-Related Items.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Dividend Equivalents</w:t>
      </w:r>
    </w:p>
    <w:p>
      <w:pPr>
        <w:spacing w:after="0" w:line="215"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On each date that a cash dividend is paid to holders of Shares from the Grant Date through the date immediately prior to the date the PSUs are settled, an amount (the “Dividend Equivalent Amount”) equal to the cash dividend that is paid on each Share, multiplied by the Target Award and any Dividend Equivalent Units (as defined below) that remain unvested and outstanding as of the dividend payment record date, will be credited to the Colleague, and such credited amount will be converted into an additional number of PSUs (“Dividend Equivalent Units”) determined by dividing the Dividend Equivalent Amount by the Fair Market Value of a Share on the date of the dividend payment. At the end of the Performance Period, the number of Dividend Equivalent Units will be adjusted to reflect a number of Dividend Equivalent Units that is calculated based on the formula described above, but replacing the Target Award with the number of Earned PSUs (such adjusted number, the “Earned Dividend Equivalent Units”). During the period beginning immediately following the last day of the Performance Period and ending on the date the Earned PSUs are paid pursuant to Section 3.2(a) below, Dividend Equivalent Units will accrue on any Earned PSUs and any Earned Dividend Equivalent Units. Dividend Equivalent Units and Earned Dividend Equivalent Units will be subject to the same conditions as the underlying PSUs with respect to which Dividend Equivalent Units and Earned Dividend Equivalent Units were credited, including without limitation, the vesting condition and the provisions governing time and form of settlement applicable to the underlying PSUs. Unless expressly provided otherwise, as used elsewhere in this Agreement, references to PSUs in this Agreement shall also include Dividend Equivalent Units and Earned Dividend Equivalent Units that have been credited to the Colleague pursuant to this Section 2.6.</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Clawback / Repayment</w:t>
      </w:r>
    </w:p>
    <w:p>
      <w:pPr>
        <w:spacing w:after="0" w:line="215" w:lineRule="exact"/>
        <w:rPr>
          <w:sz w:val="20"/>
          <w:szCs w:val="20"/>
          <w:color w:val="auto"/>
        </w:rPr>
      </w:pPr>
    </w:p>
    <w:p>
      <w:pPr>
        <w:ind w:firstLine="749"/>
        <w:spacing w:after="0" w:line="257" w:lineRule="auto"/>
        <w:rPr>
          <w:sz w:val="20"/>
          <w:szCs w:val="20"/>
          <w:color w:val="auto"/>
        </w:rPr>
      </w:pPr>
      <w:r>
        <w:rPr>
          <w:rFonts w:ascii="Times New Roman" w:cs="Times New Roman" w:eastAsia="Times New Roman" w:hAnsi="Times New Roman"/>
          <w:sz w:val="19"/>
          <w:szCs w:val="19"/>
          <w:color w:val="auto"/>
        </w:rPr>
        <w:t>The PSUs (and any Shares or other payments resulting from settlement thereof or proceeds therefrom) shall be subject to reduction, cancellation, forfeiture or recoupment to the extent necessary to facilitate compliance with (i) any clawback, forfeiture or other similar policy adopted by the Committee or the Board as in effect at the time the PSU award is granted, including, for the avoidance of doubt, the Company’s Compensation Recoupment Policy, effective November 28, 2023, or as may be adopted thereafter as the Committee determines necessary, appropriate or advisable in view of applicable laws, governance considerations or industry best practices; and/or (ii) applicable laws. Further, to the extent that the Colleague receives any amount in excess of the amount that the Colleague should otherwise have received under the terms of the PSU award for any reason (including, without limitation, by reason of a financial restatement, mistake in calculations or other administrative error), the Colleague shall be required to repay any such excess amount to the Company. For purposes of the foregoing, the Colleague expressly and explicitly authorizes the Company to issue instructions, on the Colleague’s behalf, to any brokerage firm and/or third-party administrator engaged by the Company to hold any Shares and other amounts acquired pursuant to the PSUs to re-convey, transfer or otherwise return such Shares and/or other amounts to the Company upon the Company’s enforcement of this Section 2.7.</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ARTICLE III</w:t>
      </w:r>
    </w:p>
    <w:p>
      <w:pPr>
        <w:spacing w:after="0" w:line="224"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u w:val="single" w:color="auto"/>
          <w:color w:val="auto"/>
        </w:rPr>
        <w:t>PERFORMANCE-BASED AND TIME-BASED VESTING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Earned PSUs Determination and Forfeiture</w:t>
      </w:r>
    </w:p>
    <w:p>
      <w:pPr>
        <w:spacing w:after="0" w:line="215" w:lineRule="exact"/>
        <w:rPr>
          <w:sz w:val="20"/>
          <w:szCs w:val="20"/>
          <w:color w:val="auto"/>
        </w:rPr>
      </w:pPr>
    </w:p>
    <w:p>
      <w:pPr>
        <w:ind w:right="60" w:firstLine="757"/>
        <w:spacing w:after="0" w:line="25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other provisions of this Section 3.1 and the terms of the Colleague’s employment agreement, if any, the PSUs that are determined to constitute Earned PSUs as of the Earned Date shall vest on the Vesting Date, subject to the Colleague’s continued Service through the Vesting Date, and the Earned PSUs that vest shall become payable in accordance with Section 3.2 below.</w:t>
      </w:r>
    </w:p>
    <w:p>
      <w:pPr>
        <w:spacing w:after="0" w:line="176" w:lineRule="exact"/>
        <w:rPr>
          <w:rFonts w:ascii="Times New Roman" w:cs="Times New Roman" w:eastAsia="Times New Roman" w:hAnsi="Times New Roman"/>
          <w:sz w:val="20"/>
          <w:szCs w:val="20"/>
          <w:color w:val="auto"/>
        </w:rPr>
      </w:pPr>
    </w:p>
    <w:p>
      <w:pPr>
        <w:ind w:right="80" w:firstLine="757"/>
        <w:spacing w:after="0" w:line="249"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of the Earned Date, the Committee shall determine the attainment level of the applicable Performance Objectives set forth in Schedule C to this Agreement, and based on such determination, shall determine the number of PSUs that shall constitute Earned PSUs. Anything to the contrary in this Section 3.1 and Schedule C to this Agreement notwithstanding, the Committee retains sole discretion to determine the number of PSUs that shall constitute Earned PSUs.</w:t>
      </w:r>
    </w:p>
    <w:p>
      <w:pPr>
        <w:spacing w:after="0" w:line="178" w:lineRule="exact"/>
        <w:rPr>
          <w:rFonts w:ascii="Times New Roman" w:cs="Times New Roman" w:eastAsia="Times New Roman" w:hAnsi="Times New Roman"/>
          <w:sz w:val="20"/>
          <w:szCs w:val="20"/>
          <w:color w:val="auto"/>
        </w:rPr>
      </w:pPr>
    </w:p>
    <w:p>
      <w:pPr>
        <w:ind w:right="60" w:firstLine="757"/>
        <w:spacing w:after="0" w:line="246"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understands and agrees that the terms under which the PSUs shall be determined to constitute Earned PSUs (as described in this Section 3.1 and in Schedule C) is confidential and the Colleague agrees not to disclose, reproduce or distribute such confidential information concerning the Company, except as required in the course of the Colleague’s employment with the Company, its Subsidiaries or a Designated Associate Company, without the prior written consent of the Company. The Colleague’s failure to abide by this condition may result in the immediate cancellation of the PSUs.</w:t>
      </w:r>
    </w:p>
    <w:p>
      <w:pPr>
        <w:spacing w:after="0" w:line="183" w:lineRule="exact"/>
        <w:rPr>
          <w:rFonts w:ascii="Times New Roman" w:cs="Times New Roman" w:eastAsia="Times New Roman" w:hAnsi="Times New Roman"/>
          <w:sz w:val="20"/>
          <w:szCs w:val="20"/>
          <w:color w:val="auto"/>
        </w:rPr>
      </w:pPr>
    </w:p>
    <w:p>
      <w:pPr>
        <w:ind w:right="680" w:firstLine="757"/>
        <w:spacing w:after="0" w:line="268"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PSUs that are not determined by the Committee to constitute Earned PSUs on the Earned Date, except as otherwise provided under this Section 3.1, shall be forfeited immediately.</w:t>
      </w:r>
    </w:p>
    <w:p>
      <w:pPr>
        <w:spacing w:after="0" w:line="160" w:lineRule="exact"/>
        <w:rPr>
          <w:rFonts w:ascii="Times New Roman" w:cs="Times New Roman" w:eastAsia="Times New Roman" w:hAnsi="Times New Roman"/>
          <w:sz w:val="20"/>
          <w:szCs w:val="20"/>
          <w:color w:val="auto"/>
        </w:rPr>
      </w:pPr>
    </w:p>
    <w:p>
      <w:pPr>
        <w:ind w:right="340" w:firstLine="757"/>
        <w:spacing w:after="0" w:line="25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prior to the Vesting Date, any unvested Earned PSUs shall be forfeited immediately by the Colleague, subject to, and except as otherwise specified in, the terms and conditions of the other subsections of this Section 3.1.</w:t>
      </w:r>
    </w:p>
    <w:p>
      <w:pPr>
        <w:spacing w:after="0" w:line="176" w:lineRule="exact"/>
        <w:rPr>
          <w:rFonts w:ascii="Times New Roman" w:cs="Times New Roman" w:eastAsia="Times New Roman" w:hAnsi="Times New Roman"/>
          <w:sz w:val="20"/>
          <w:szCs w:val="20"/>
          <w:color w:val="auto"/>
        </w:rPr>
      </w:pPr>
    </w:p>
    <w:p>
      <w:pPr>
        <w:jc w:val="both"/>
        <w:ind w:right="60" w:firstLine="757"/>
        <w:spacing w:after="0" w:line="253" w:lineRule="auto"/>
        <w:tabs>
          <w:tab w:leader="none" w:pos="1018"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In the event of the Colleague’s termination of Service after the first anniversary of the Grant Date and prior to the Vesting Date due to a Qualifying Retirement, a number of PSUs equal to the Earned PSUs shall vest on the Vesting Date,</w:t>
      </w:r>
    </w:p>
    <w:p>
      <w:pPr>
        <w:spacing w:after="0" w:line="3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0" w:right="359" w:bottom="1440" w:gutter="0" w:footer="0" w:header="0"/>
        </w:sectPr>
      </w:pPr>
    </w:p>
    <w:bookmarkStart w:id="103" w:name="page104"/>
    <w:bookmarkEnd w:id="103"/>
    <w:p>
      <w:pPr>
        <w:ind w:right="80"/>
        <w:spacing w:after="0" w:line="263" w:lineRule="auto"/>
        <w:rPr>
          <w:sz w:val="20"/>
          <w:szCs w:val="20"/>
          <w:color w:val="auto"/>
        </w:rPr>
      </w:pPr>
      <w:r>
        <w:rPr>
          <w:rFonts w:ascii="Times New Roman" w:cs="Times New Roman" w:eastAsia="Times New Roman" w:hAnsi="Times New Roman"/>
          <w:sz w:val="19"/>
          <w:szCs w:val="19"/>
          <w:color w:val="auto"/>
        </w:rPr>
        <w:t>subject to the Colleague’s compliance with the restrictive covenants and other obligations contemplated under Section 6.2 of Article VI of this Agreement. For the avoidance of any doubt, the provisions of this Section 3.1(f) shall prevail over the provisions of Sections 3.1 (g) and</w:t>
      </w:r>
    </w:p>
    <w:p>
      <w:pPr>
        <w:spacing w:after="0" w:line="2" w:lineRule="exact"/>
        <w:rPr>
          <w:sz w:val="20"/>
          <w:szCs w:val="20"/>
          <w:color w:val="auto"/>
        </w:rPr>
      </w:pPr>
    </w:p>
    <w:p>
      <w:pPr>
        <w:ind w:right="480"/>
        <w:spacing w:after="0" w:line="242" w:lineRule="auto"/>
        <w:rPr>
          <w:sz w:val="20"/>
          <w:szCs w:val="20"/>
          <w:color w:val="auto"/>
        </w:rPr>
      </w:pPr>
      <w:r>
        <w:rPr>
          <w:rFonts w:ascii="Times New Roman" w:cs="Times New Roman" w:eastAsia="Times New Roman" w:hAnsi="Times New Roman"/>
          <w:sz w:val="20"/>
          <w:szCs w:val="20"/>
          <w:color w:val="auto"/>
        </w:rPr>
        <w:t>(h).] [For Mr. Garrard: In the event of the Colleague’s termination of Service prior to the Vesting Date due to a Qualifying Retirement, a number of PSUs equal to the Earned PSUs shall vest on the Vesting Date, subject to the Colleague’s compliance with the restrictive covenants and other obligations contemplated under Section 6.2 of Article VI of this Agreement.]</w:t>
      </w:r>
    </w:p>
    <w:p>
      <w:pPr>
        <w:spacing w:after="0" w:line="186" w:lineRule="exact"/>
        <w:rPr>
          <w:sz w:val="20"/>
          <w:szCs w:val="20"/>
          <w:color w:val="auto"/>
        </w:rPr>
      </w:pPr>
    </w:p>
    <w:p>
      <w:pPr>
        <w:ind w:right="280" w:firstLine="757"/>
        <w:spacing w:after="0" w:line="249"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PSUs are assumed or otherwise substituted or replaced by the successor corporation or an affiliate thereof in connection with a Change of Control and the Colleague experiences a (i) termination of Service without Cause by the Company or (ii) termination of Service by the Colleague for Good Reason, in each case, within the 24-month period commencing on the effective date of a Change of Control, a number of PSUs equal to the Target Award shall vest on the Termination Date.</w:t>
      </w:r>
    </w:p>
    <w:p>
      <w:pPr>
        <w:spacing w:after="0" w:line="178" w:lineRule="exact"/>
        <w:rPr>
          <w:rFonts w:ascii="Times New Roman" w:cs="Times New Roman" w:eastAsia="Times New Roman" w:hAnsi="Times New Roman"/>
          <w:sz w:val="20"/>
          <w:szCs w:val="20"/>
          <w:color w:val="auto"/>
        </w:rPr>
      </w:pPr>
    </w:p>
    <w:p>
      <w:pPr>
        <w:ind w:firstLine="757"/>
        <w:spacing w:after="0" w:line="241"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In the event of the Colleague’s (i) termination of Service without Cause by the Company or (ii) termination of Service by the Colleague for Good Reason, in each case, after the first anniversary of the Grant Date and prior to the effective date of a Change of Control or after the 24-month period commencing on the effective date of a Change of Control, a pro rata number of PSUs shall vest on the Vesting Date equal to the product of the number of Earned PSUs, multiplied by a fraction, the numerator of which shall be equal to the number of completed days of continuous Service from the Grant Date through the Termination Date, and the denominator of which shall be equal to the total number of days contained in the period commencing on (and inclusive of) the Grant Date and ending on (and inclusive of) the last day of the Performance Period. The vesting acceleration benefit provided under this Section 3.1(h) shall be subject to the Colleague’s compliance with the restrictive covenants and other obligations contemplated under Article VI of this Agreement.] [For Mr. Garrard: In the event of the Colleague’s (i) termination of Service without Cause by the Company or (ii) termination of Service by the Colleague for Good Reason, in each case, prior to the effective date of a Change of Control or after the 24-month period commencing on the effective date of a Change of Control, a number of PSUs equal to the Earned PSUs shall vest on the Vesting Date. The vesting acceleration benefit provided under this Section 3.1(h) shall be subject to the Colleague’s compliance with the restrictive covenants and other obligations contemplated under Article VI of this Agreement.]</w:t>
      </w:r>
    </w:p>
    <w:p>
      <w:pPr>
        <w:spacing w:after="0" w:line="193" w:lineRule="exact"/>
        <w:rPr>
          <w:rFonts w:ascii="Times New Roman" w:cs="Times New Roman" w:eastAsia="Times New Roman" w:hAnsi="Times New Roman"/>
          <w:sz w:val="20"/>
          <w:szCs w:val="20"/>
          <w:color w:val="auto"/>
        </w:rPr>
      </w:pPr>
    </w:p>
    <w:p>
      <w:pPr>
        <w:ind w:right="180" w:firstLine="757"/>
        <w:spacing w:after="0" w:line="268"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the Colleague’s termination of Service as a result of the Colleague’s Permanent Disability or death, a number of PSUs equal to the Earned PSUs shall vest on the Vesting Date.</w:t>
      </w:r>
    </w:p>
    <w:p>
      <w:pPr>
        <w:spacing w:after="0" w:line="160" w:lineRule="exact"/>
        <w:rPr>
          <w:rFonts w:ascii="Times New Roman" w:cs="Times New Roman" w:eastAsia="Times New Roman" w:hAnsi="Times New Roman"/>
          <w:sz w:val="20"/>
          <w:szCs w:val="20"/>
          <w:color w:val="auto"/>
        </w:rPr>
      </w:pPr>
    </w:p>
    <w:p>
      <w:pPr>
        <w:ind w:right="80" w:firstLine="757"/>
        <w:spacing w:after="0" w:line="253"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the PSUs are not assumed or otherwise substituted or replaced by the successor corporation or an affiliate thereof in connection with a Change of Control, a number of PSUs equal to the Target Award shall vest immediately prior to the effective date of the Change of Control.</w:t>
      </w:r>
    </w:p>
    <w:p>
      <w:pPr>
        <w:spacing w:after="0" w:line="176" w:lineRule="exact"/>
        <w:rPr>
          <w:rFonts w:ascii="Times New Roman" w:cs="Times New Roman" w:eastAsia="Times New Roman" w:hAnsi="Times New Roman"/>
          <w:sz w:val="20"/>
          <w:szCs w:val="20"/>
          <w:color w:val="auto"/>
        </w:rPr>
      </w:pPr>
    </w:p>
    <w:p>
      <w:pPr>
        <w:ind w:right="80" w:firstLine="757"/>
        <w:spacing w:after="0" w:line="249" w:lineRule="auto"/>
        <w:tabs>
          <w:tab w:leader="none" w:pos="1018"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Executive Officers other than Mr. Garrard: Notwithstanding anything to the contrary in this Section 3.1, no PSUs shall vest prior to the first anniversary of the Grant Date (i) except in the case of the Colleague’s termination of Service resulting from death or Permanent Disability or in connection with a Change of Control, or (ii) unless the Committee, in its sole discretion, determines that the PSUs shall be sourced from the Unrestricted Pool.]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3.2</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Settlement</w:t>
      </w:r>
    </w:p>
    <w:p>
      <w:pPr>
        <w:spacing w:after="0" w:line="219" w:lineRule="exact"/>
        <w:rPr>
          <w:sz w:val="20"/>
          <w:szCs w:val="20"/>
          <w:color w:val="auto"/>
        </w:rPr>
      </w:pPr>
    </w:p>
    <w:p>
      <w:pPr>
        <w:jc w:val="both"/>
        <w:ind w:firstLine="757"/>
        <w:spacing w:after="0" w:line="273" w:lineRule="auto"/>
        <w:tabs>
          <w:tab w:leader="none" w:pos="1018"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Except as otherwise provided in Section 3.2(b), PSUs that become vested shall be settled on the Vesting Date, or, if earlier, upon an accelerated vesting event pursuant to Sections 3.1(g) or (j), or as soon as practicable, but no later than 30 days, thereafter. Unless the Company provides otherwise, any fractional PSU that is vested as of the final Vesting Date or an accelerated vesting event shall be rounded</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20"/>
          <w:szCs w:val="20"/>
          <w:color w:val="auto"/>
        </w:rPr>
        <w:t>down to the next whole PSU. For the avoidance of any doubt, no fractional Shares shall be issued pursuant to this Agreement.</w:t>
      </w:r>
    </w:p>
    <w:p>
      <w:pPr>
        <w:spacing w:after="0" w:line="215" w:lineRule="exact"/>
        <w:rPr>
          <w:sz w:val="20"/>
          <w:szCs w:val="20"/>
          <w:color w:val="auto"/>
        </w:rPr>
      </w:pPr>
    </w:p>
    <w:p>
      <w:pPr>
        <w:ind w:firstLine="757"/>
        <w:spacing w:after="0" w:line="242" w:lineRule="auto"/>
        <w:tabs>
          <w:tab w:leader="none" w:pos="1018"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if the PSUs are considered non-qualified deferred compensation subject to Section 409A of the Code, as determined in the sole discretion of the Company, and the Colleague is a U.S. Taxpayer, PSUs that are no longer subject to a substantial risk of forfeiture, as determined in accordance with Section 409A of the Code, shall be settled, without regard to the vesting schedule set forth above, on the earliest to occur of (i) the applicable Vesting Date, (ii) a “change in control event” within the meaning of U.S. Treas. Reg. § 1.409A-3(i)(5) (a “409A CIC Event”), and (iii) a “separation from service” within the meaning of Section 409A of the Code (a “Separation from Service”) that occurs following a 409A CIC Event, provided that if the Colleague is a “specified employee” within the meaning of Section 409A of the Code on the date the Colleague experiences a Separation from Service, then the PSUs shall instead be settled on the first business day of the seventh month following the Colleague’s Separation from Service, to the extent such delayed payment is required in order to avoid a prohibited distribution under Section 409A of the Code.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Conditions to Issuance of Shares</w:t>
      </w:r>
    </w:p>
    <w:p>
      <w:pPr>
        <w:spacing w:after="0" w:line="215" w:lineRule="exact"/>
        <w:rPr>
          <w:sz w:val="20"/>
          <w:szCs w:val="20"/>
          <w:color w:val="auto"/>
        </w:rPr>
      </w:pPr>
    </w:p>
    <w:p>
      <w:pPr>
        <w:jc w:val="both"/>
        <w:ind w:right="100" w:firstLine="749"/>
        <w:spacing w:after="0" w:line="249" w:lineRule="auto"/>
        <w:rPr>
          <w:sz w:val="20"/>
          <w:szCs w:val="20"/>
          <w:color w:val="auto"/>
        </w:rPr>
      </w:pPr>
      <w:r>
        <w:rPr>
          <w:rFonts w:ascii="Times New Roman" w:cs="Times New Roman" w:eastAsia="Times New Roman" w:hAnsi="Times New Roman"/>
          <w:sz w:val="20"/>
          <w:szCs w:val="20"/>
          <w:color w:val="auto"/>
        </w:rPr>
        <w:t>The Earned PSUs to be delivered hereunder shall be previously authorized but unissued Shares. Such Shares shall be fully paid. The Company shall not be required to deliver any certificates representing such Shares (or their electronic equivalent) allotted and issued upon the applicable date of the vesting of the PSUs prior to fulfillment of all of the following conditions, and in any event, subject to Section 409A of the Code for United States taxpayers:</w:t>
      </w:r>
    </w:p>
    <w:p>
      <w:pPr>
        <w:spacing w:after="0" w:line="178" w:lineRule="exact"/>
        <w:rPr>
          <w:sz w:val="20"/>
          <w:szCs w:val="20"/>
          <w:color w:val="auto"/>
        </w:rPr>
      </w:pPr>
    </w:p>
    <w:p>
      <w:pPr>
        <w:ind w:right="60" w:firstLine="757"/>
        <w:spacing w:after="0" w:line="268" w:lineRule="auto"/>
        <w:tabs>
          <w:tab w:leader="none" w:pos="1018"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approval or other clearance from any state, federal, local or foreign governmental agency which the Committee shall, in its absolute discretion, determine to be necessary or advisable; and</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 has paid or made arrangements to pay the Tax-Related Items pursuant to Section 2.5.</w:t>
      </w:r>
    </w:p>
    <w:p>
      <w:pPr>
        <w:spacing w:after="0" w:line="215" w:lineRule="exact"/>
        <w:rPr>
          <w:sz w:val="20"/>
          <w:szCs w:val="20"/>
          <w:color w:val="auto"/>
        </w:rPr>
      </w:pPr>
    </w:p>
    <w:p>
      <w:pPr>
        <w:ind w:right="40" w:firstLine="749"/>
        <w:spacing w:after="0" w:line="253" w:lineRule="auto"/>
        <w:rPr>
          <w:sz w:val="20"/>
          <w:szCs w:val="20"/>
          <w:color w:val="auto"/>
        </w:rPr>
      </w:pPr>
      <w:r>
        <w:rPr>
          <w:rFonts w:ascii="Times New Roman" w:cs="Times New Roman" w:eastAsia="Times New Roman" w:hAnsi="Times New Roman"/>
          <w:sz w:val="20"/>
          <w:szCs w:val="20"/>
          <w:color w:val="auto"/>
        </w:rPr>
        <w:t>Without limiting the generality of the foregoing, the Committee may require an opinion of counsel reasonably acceptable to it to the effect that any subsequent transfer of Shares acquired on the settlement of PSUs does not violate the Exchange Act and may issue stop-transfer orders covering such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Rights as Shareholder</w:t>
      </w:r>
    </w:p>
    <w:p>
      <w:pPr>
        <w:spacing w:after="0" w:line="215" w:lineRule="exact"/>
        <w:rPr>
          <w:sz w:val="20"/>
          <w:szCs w:val="20"/>
          <w:color w:val="auto"/>
        </w:rPr>
      </w:pPr>
    </w:p>
    <w:p>
      <w:pPr>
        <w:ind w:right="220" w:firstLine="749"/>
        <w:spacing w:after="0" w:line="253" w:lineRule="auto"/>
        <w:rPr>
          <w:sz w:val="20"/>
          <w:szCs w:val="20"/>
          <w:color w:val="auto"/>
        </w:rPr>
      </w:pPr>
      <w:r>
        <w:rPr>
          <w:rFonts w:ascii="Times New Roman" w:cs="Times New Roman" w:eastAsia="Times New Roman" w:hAnsi="Times New Roman"/>
          <w:sz w:val="20"/>
          <w:szCs w:val="20"/>
          <w:color w:val="auto"/>
        </w:rPr>
        <w:t>The Colleague shall not be, nor have any of the rights or privileges of, a shareholder of the Company in respect of any Shares that may be received upon the settlement of the PSUs unless and until certificates representing such Shares or their electronic equivalent shall have been issued by the Company to the Colleague.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3.5</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Limitation on Obligations</w:t>
      </w:r>
    </w:p>
    <w:p>
      <w:pPr>
        <w:spacing w:after="0" w:line="215" w:lineRule="exact"/>
        <w:rPr>
          <w:sz w:val="20"/>
          <w:szCs w:val="20"/>
          <w:color w:val="auto"/>
        </w:rPr>
      </w:pPr>
    </w:p>
    <w:p>
      <w:pPr>
        <w:ind w:right="40" w:firstLine="395"/>
        <w:spacing w:after="0" w:line="245" w:lineRule="auto"/>
        <w:rPr>
          <w:sz w:val="20"/>
          <w:szCs w:val="20"/>
          <w:color w:val="auto"/>
        </w:rPr>
      </w:pPr>
      <w:r>
        <w:rPr>
          <w:rFonts w:ascii="Times New Roman" w:cs="Times New Roman" w:eastAsia="Times New Roman" w:hAnsi="Times New Roman"/>
          <w:sz w:val="20"/>
          <w:szCs w:val="20"/>
          <w:color w:val="auto"/>
        </w:rPr>
        <w:t>The Company’s obligation with respect to the PSUs granted hereunder is limited solely to the issuance to the Colleague of Shares within the period when such Shares are due to be issued hereunder, and in no event shall the Company become obligated to pay cash in respect of such obligation. The PSUs shall not be secured by any specific assets of the Company or any of its Subsidiaries or Designated Associate Companies, nor shall any assets of the Company or any of its Subsidiaries or Designated Associate Companies be designated as attributable or allocated to the satisfaction of the Company’s obligations under this Agreement. In addition, the Company shall not be liable to the Colleague for damages relating to any delays in issuing the share certificates or its electronic equivalent to the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05" w:name="page106"/>
    <w:bookmarkEnd w:id="105"/>
    <w:p>
      <w:pPr>
        <w:ind w:right="720"/>
        <w:spacing w:after="0" w:line="268" w:lineRule="auto"/>
        <w:rPr>
          <w:sz w:val="20"/>
          <w:szCs w:val="20"/>
          <w:color w:val="auto"/>
        </w:rPr>
      </w:pPr>
      <w:r>
        <w:rPr>
          <w:rFonts w:ascii="Times New Roman" w:cs="Times New Roman" w:eastAsia="Times New Roman" w:hAnsi="Times New Roman"/>
          <w:sz w:val="20"/>
          <w:szCs w:val="20"/>
          <w:color w:val="auto"/>
        </w:rPr>
        <w:t>Colleague (or their designated entities), any loss of the certificates, or any mistakes or errors in the issuance of the certificates (or the electronic equivalent) to the Colleague (or their designated entities) or in the certificates themselves.</w:t>
      </w:r>
    </w:p>
    <w:p>
      <w:pPr>
        <w:spacing w:after="0" w:line="16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22"/>
          <w:szCs w:val="22"/>
          <w:color w:val="auto"/>
        </w:rPr>
        <w:t>ARTICLE IV</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ADDITIONAL TERMS AND CONDITIONS OF THE PSUs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Nature of Award</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In accepting the PSUs, the Colleague acknowledges, understands and agrees that:</w:t>
      </w:r>
    </w:p>
    <w:p>
      <w:pPr>
        <w:spacing w:after="0" w:line="215" w:lineRule="exact"/>
        <w:rPr>
          <w:sz w:val="20"/>
          <w:szCs w:val="20"/>
          <w:color w:val="auto"/>
        </w:rPr>
      </w:pPr>
    </w:p>
    <w:p>
      <w:pPr>
        <w:ind w:right="140" w:firstLine="757"/>
        <w:spacing w:after="0" w:line="268"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Plan is established voluntarily by the Company, is discretionary in nature and may be amended, suspended or terminated by the Company at any time, to the extent permitted by the Plan;</w:t>
      </w:r>
    </w:p>
    <w:p>
      <w:pPr>
        <w:spacing w:after="0" w:line="160" w:lineRule="exact"/>
        <w:rPr>
          <w:rFonts w:ascii="Times New Roman" w:cs="Times New Roman" w:eastAsia="Times New Roman" w:hAnsi="Times New Roman"/>
          <w:sz w:val="20"/>
          <w:szCs w:val="20"/>
          <w:color w:val="auto"/>
        </w:rPr>
      </w:pPr>
    </w:p>
    <w:p>
      <w:pPr>
        <w:ind w:right="140" w:firstLine="757"/>
        <w:spacing w:after="0" w:line="268"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 award is exceptional, voluntary and occasional and does not create any contractual or other right to receive future PSU awards, or benefits in lieu of PSU awards, even if PSUs have been granted in the past;</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decisions with respect to future PSUs or other grants, if any, will be at the sole discretion of the Company;</w:t>
      </w:r>
    </w:p>
    <w:p>
      <w:pPr>
        <w:spacing w:after="0" w:line="21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Colleague’s participation in the Plan is voluntary;</w:t>
      </w:r>
    </w:p>
    <w:p>
      <w:pPr>
        <w:spacing w:after="0" w:line="214" w:lineRule="exact"/>
        <w:rPr>
          <w:rFonts w:ascii="Times New Roman" w:cs="Times New Roman" w:eastAsia="Times New Roman" w:hAnsi="Times New Roman"/>
          <w:sz w:val="20"/>
          <w:szCs w:val="20"/>
          <w:color w:val="auto"/>
        </w:rPr>
      </w:pPr>
    </w:p>
    <w:p>
      <w:pPr>
        <w:ind w:right="40" w:firstLine="757"/>
        <w:spacing w:after="0" w:line="268"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and any Shares acquired under the Plan, and the income and the value of same, are not intended to replace any pension rights or compensation under any pension arrangement;</w:t>
      </w:r>
    </w:p>
    <w:p>
      <w:pPr>
        <w:spacing w:after="0" w:line="160" w:lineRule="exact"/>
        <w:rPr>
          <w:rFonts w:ascii="Times New Roman" w:cs="Times New Roman" w:eastAsia="Times New Roman" w:hAnsi="Times New Roman"/>
          <w:sz w:val="20"/>
          <w:szCs w:val="20"/>
          <w:color w:val="auto"/>
        </w:rPr>
      </w:pPr>
    </w:p>
    <w:p>
      <w:pPr>
        <w:ind w:firstLine="757"/>
        <w:spacing w:after="0" w:line="253"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PSUs and any Shares acquired under the Plan, and the income and the value of same, are not part of normal or expected compensation or salary for any purposes, including, but not limited to, calculating any severance, resignation, termination, redundancy, end of service payments, dismissal, bonuses, holiday pay, long-service awards, pension or retirement or welfare benefits or similar payments;</w:t>
      </w:r>
    </w:p>
    <w:p>
      <w:pPr>
        <w:spacing w:after="0" w:line="176" w:lineRule="exact"/>
        <w:rPr>
          <w:rFonts w:ascii="Times New Roman" w:cs="Times New Roman" w:eastAsia="Times New Roman" w:hAnsi="Times New Roman"/>
          <w:sz w:val="20"/>
          <w:szCs w:val="20"/>
          <w:color w:val="auto"/>
        </w:rPr>
      </w:pPr>
    </w:p>
    <w:p>
      <w:pPr>
        <w:ind w:right="80" w:firstLine="757"/>
        <w:spacing w:after="0" w:line="268"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agreed with the Company, the PSUs and the Shares subject to the PSUs, and the income and value of same, are not granted as consideration for, or in connection with, services the Colleague may provide as a director of any Subsidiary or affiliate;</w:t>
      </w:r>
    </w:p>
    <w:p>
      <w:pPr>
        <w:spacing w:after="0" w:line="160"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Shares underlying the PSUs is unknown, indeterminable, and cannot be predicted with certainty;</w:t>
      </w:r>
    </w:p>
    <w:p>
      <w:pPr>
        <w:spacing w:after="0" w:line="214" w:lineRule="exact"/>
        <w:rPr>
          <w:rFonts w:ascii="Times New Roman" w:cs="Times New Roman" w:eastAsia="Times New Roman" w:hAnsi="Times New Roman"/>
          <w:sz w:val="20"/>
          <w:szCs w:val="20"/>
          <w:color w:val="auto"/>
        </w:rPr>
      </w:pPr>
    </w:p>
    <w:p>
      <w:pPr>
        <w:ind w:right="140" w:firstLine="757"/>
        <w:spacing w:after="0" w:line="249"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claim or entitlement to compensation or damages shall arise from forfeiture of the PSUs or the underlying Shares resulting from (i) the application of the clawback policy described in Section 2.7 of this Agreement or otherwise adopted by the Company or required by law, or (ii) the Colleague’s termination of Service (for any reason whatsoever, whether or not later found to be invalid or in breach of employment laws in the jurisdiction where the Colleague is employed or the terms of their employment agreement, if any);</w:t>
      </w:r>
    </w:p>
    <w:p>
      <w:pPr>
        <w:spacing w:after="0" w:line="191" w:lineRule="exact"/>
        <w:rPr>
          <w:rFonts w:ascii="Times New Roman" w:cs="Times New Roman" w:eastAsia="Times New Roman" w:hAnsi="Times New Roman"/>
          <w:sz w:val="20"/>
          <w:szCs w:val="20"/>
          <w:color w:val="auto"/>
        </w:rPr>
      </w:pPr>
    </w:p>
    <w:p>
      <w:pPr>
        <w:ind w:right="20" w:firstLine="757"/>
        <w:spacing w:after="0" w:line="273" w:lineRule="auto"/>
        <w:tabs>
          <w:tab w:leader="none" w:pos="1018" w:val="left"/>
        </w:tabs>
        <w:numPr>
          <w:ilvl w:val="0"/>
          <w:numId w:val="7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provided in the Plan or by the Company in its discretion, the PSUs and the benefits evidenced by this Agreement do not create any entitlement to have the PSUs or any such benefits transferred to, or assumed by, another company nor to be exchanged, cashed out or substituted for, in connection with any Change of Control or similar event affecting the Shares of the Company; and</w:t>
      </w:r>
    </w:p>
    <w:p>
      <w:pPr>
        <w:spacing w:after="0" w:line="171" w:lineRule="exact"/>
        <w:rPr>
          <w:rFonts w:ascii="Times New Roman" w:cs="Times New Roman" w:eastAsia="Times New Roman" w:hAnsi="Times New Roman"/>
          <w:sz w:val="19"/>
          <w:szCs w:val="19"/>
          <w:color w:val="auto"/>
        </w:rPr>
      </w:pPr>
    </w:p>
    <w:p>
      <w:pPr>
        <w:ind w:right="580" w:firstLine="757"/>
        <w:spacing w:after="0" w:line="268" w:lineRule="auto"/>
        <w:tabs>
          <w:tab w:leader="none" w:pos="1018"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Colleague is providing services outside the United States, neither the Company, the Employer nor any Subsidiary or Designated Associate Company shall be liable for any foreign exchange</w:t>
      </w:r>
    </w:p>
    <w:p>
      <w:pPr>
        <w:spacing w:after="0" w:line="1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06" w:name="page107"/>
    <w:bookmarkEnd w:id="106"/>
    <w:p>
      <w:pPr>
        <w:ind w:right="60"/>
        <w:spacing w:after="0" w:line="268" w:lineRule="auto"/>
        <w:rPr>
          <w:sz w:val="20"/>
          <w:szCs w:val="20"/>
          <w:color w:val="auto"/>
        </w:rPr>
      </w:pPr>
      <w:r>
        <w:rPr>
          <w:rFonts w:ascii="Times New Roman" w:cs="Times New Roman" w:eastAsia="Times New Roman" w:hAnsi="Times New Roman"/>
          <w:sz w:val="20"/>
          <w:szCs w:val="20"/>
          <w:color w:val="auto"/>
        </w:rPr>
        <w:t>rate fluctuation between the Colleague’s local currency and the United States Dollar that may affect the value of the PSUs or of any amounts due to the Colleague pursuant to the settlement of the PSUs or the subsequent sale of any Shares acquired upon settlement.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4.2</w:t>
      </w:r>
      <w:r>
        <w:rPr>
          <w:rFonts w:ascii="Times New Roman" w:cs="Times New Roman" w:eastAsia="Times New Roman" w:hAnsi="Times New Roman"/>
          <w:sz w:val="20"/>
          <w:szCs w:val="20"/>
          <w:color w:val="auto"/>
        </w:rPr>
        <w:t xml:space="preserve"> - No Advice Regarding Grant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-10795</wp:posOffset>
            </wp:positionV>
            <wp:extent cx="14497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1449705" cy="8255"/>
                    </a:xfrm>
                    <a:prstGeom prst="rect">
                      <a:avLst/>
                    </a:prstGeom>
                    <a:noFill/>
                  </pic:spPr>
                </pic:pic>
              </a:graphicData>
            </a:graphic>
          </wp:anchor>
        </w:drawing>
      </w:r>
    </w:p>
    <w:p>
      <w:pPr>
        <w:spacing w:after="0" w:line="195" w:lineRule="exact"/>
        <w:rPr>
          <w:sz w:val="20"/>
          <w:szCs w:val="20"/>
          <w:color w:val="auto"/>
        </w:rPr>
      </w:pPr>
    </w:p>
    <w:p>
      <w:pPr>
        <w:ind w:right="40" w:firstLine="749"/>
        <w:spacing w:after="0" w:line="249" w:lineRule="auto"/>
        <w:rPr>
          <w:sz w:val="20"/>
          <w:szCs w:val="20"/>
          <w:color w:val="auto"/>
        </w:rPr>
      </w:pPr>
      <w:r>
        <w:rPr>
          <w:rFonts w:ascii="Times New Roman" w:cs="Times New Roman" w:eastAsia="Times New Roman" w:hAnsi="Times New Roman"/>
          <w:sz w:val="20"/>
          <w:szCs w:val="20"/>
          <w:color w:val="auto"/>
        </w:rPr>
        <w:t>The Company its Subsidiaries and Designated Associate Companies are not providing any tax, legal or financial advice, nor is the Company making any recommendations regarding the Colleague’s participation in the Plan, the issuance of Shares upon vesting of the PSUs or sale of the Shares. The Colleague should consult with their own personal tax, legal and financial advisors regarding their participation in the Plan before taking any action related to the Plan.</w:t>
      </w:r>
    </w:p>
    <w:p>
      <w:pPr>
        <w:spacing w:after="0" w:line="1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ARTICLE V</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u w:val="single" w:color="auto"/>
          <w:color w:val="auto"/>
        </w:rPr>
        <w:t>DATA PRIVACY NOTICE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Data Privacy</w:t>
      </w:r>
    </w:p>
    <w:p>
      <w:pPr>
        <w:spacing w:after="0" w:line="211" w:lineRule="exact"/>
        <w:rPr>
          <w:sz w:val="20"/>
          <w:szCs w:val="20"/>
          <w:color w:val="auto"/>
        </w:rPr>
      </w:pPr>
    </w:p>
    <w:p>
      <w:pPr>
        <w:ind w:right="100" w:firstLine="749"/>
        <w:spacing w:after="0" w:line="250" w:lineRule="auto"/>
        <w:rPr>
          <w:sz w:val="20"/>
          <w:szCs w:val="20"/>
          <w:color w:val="auto"/>
        </w:rPr>
      </w:pPr>
      <w:r>
        <w:rPr>
          <w:rFonts w:ascii="Times New Roman" w:cs="Times New Roman" w:eastAsia="Times New Roman" w:hAnsi="Times New Roman"/>
          <w:sz w:val="20"/>
          <w:szCs w:val="20"/>
          <w:b w:val="1"/>
          <w:bCs w:val="1"/>
          <w:i w:val="1"/>
          <w:iCs w:val="1"/>
          <w:color w:val="auto"/>
        </w:rPr>
        <w:t xml:space="preserve">The Company is located at </w:t>
      </w:r>
      <w:r>
        <w:rPr>
          <w:rFonts w:ascii="Times New Roman" w:cs="Times New Roman" w:eastAsia="Times New Roman" w:hAnsi="Times New Roman"/>
          <w:sz w:val="20"/>
          <w:szCs w:val="20"/>
          <w:b w:val="1"/>
          <w:bCs w:val="1"/>
          <w:color w:val="auto"/>
        </w:rPr>
        <w:t>5</w:t>
      </w:r>
      <w:r>
        <w:rPr>
          <w:rFonts w:ascii="Times New Roman" w:cs="Times New Roman" w:eastAsia="Times New Roman" w:hAnsi="Times New Roman"/>
          <w:sz w:val="20"/>
          <w:szCs w:val="20"/>
          <w:b w:val="1"/>
          <w:bCs w:val="1"/>
          <w:i w:val="1"/>
          <w:iCs w:val="1"/>
          <w:color w:val="auto"/>
        </w:rPr>
        <w:t>1 Lime Street, London, EC3M 7DQ, England and Wales and grants employees of the Company, Subsidiaries and Designated Associate Companies the opportunity to participate in the Plan, at the Company’s sole discretion. If the Colleague would like to participate in the Plan, the Colleague understands that the Company will process the Colleague’s Personal Data in accordance with the Global Employee Personal Information Protection Notice set forth in Schedule D to this Agreement.</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ARTICLE VI</w:t>
      </w:r>
    </w:p>
    <w:p>
      <w:pPr>
        <w:spacing w:after="0" w:line="21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u w:val="single" w:color="auto"/>
          <w:color w:val="auto"/>
        </w:rPr>
        <w:t>AGREEMENT OF RESTRICTIVE COVENANTS AND OTHER OBLIGATIONS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Restrictive Covenants and Other Obligations</w:t>
      </w:r>
    </w:p>
    <w:p>
      <w:pPr>
        <w:spacing w:after="0" w:line="215" w:lineRule="exact"/>
        <w:rPr>
          <w:sz w:val="20"/>
          <w:szCs w:val="20"/>
          <w:color w:val="auto"/>
        </w:rPr>
      </w:pPr>
    </w:p>
    <w:p>
      <w:pPr>
        <w:jc w:val="both"/>
        <w:ind w:right="20" w:firstLine="749"/>
        <w:spacing w:after="0" w:line="253" w:lineRule="auto"/>
        <w:rPr>
          <w:sz w:val="20"/>
          <w:szCs w:val="20"/>
          <w:color w:val="auto"/>
        </w:rPr>
      </w:pPr>
      <w:r>
        <w:rPr>
          <w:rFonts w:ascii="Times New Roman" w:cs="Times New Roman" w:eastAsia="Times New Roman" w:hAnsi="Times New Roman"/>
          <w:sz w:val="20"/>
          <w:szCs w:val="20"/>
          <w:color w:val="auto"/>
        </w:rPr>
        <w:t>In consideration of the grant of PSUs, the Colleague shall enter into the RCA, a copy of which is attached hereto as Schedule B. In the event the Colleague fails to execute and deliver or electronically accept the RCA in the manner and within the period specified in Section 2.1, the Committee may, in its sole discretion, cancel the PSUs.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Certification of Retirement from Industry</w:t>
      </w:r>
    </w:p>
    <w:p>
      <w:pPr>
        <w:spacing w:after="0" w:line="215" w:lineRule="exact"/>
        <w:rPr>
          <w:sz w:val="20"/>
          <w:szCs w:val="20"/>
          <w:color w:val="auto"/>
        </w:rPr>
      </w:pPr>
    </w:p>
    <w:p>
      <w:pPr>
        <w:ind w:firstLine="749"/>
        <w:spacing w:after="0" w:line="241" w:lineRule="auto"/>
        <w:rPr>
          <w:sz w:val="20"/>
          <w:szCs w:val="20"/>
          <w:color w:val="auto"/>
        </w:rPr>
      </w:pPr>
      <w:r>
        <w:rPr>
          <w:rFonts w:ascii="Times New Roman" w:cs="Times New Roman" w:eastAsia="Times New Roman" w:hAnsi="Times New Roman"/>
          <w:sz w:val="20"/>
          <w:szCs w:val="20"/>
          <w:color w:val="auto"/>
        </w:rPr>
        <w:t>For any Colleague whose termination of Service with the Company constitutes a Qualifying Retirement (“Qualifying Retiree”), in order for the Qualifying Retiree to continue to vest in the PSUs in accordance with the provisions of Section 3.1(f), the Qualifying Retiree shall furnish to the Company on or before the Termination Date, and on an annual basis thereafter (for the duration of an Award’s vesting), or at such time and in such manner as the Company may otherwise reasonably require from time to time, in a form provided to the Qualifying Retiree on or before the Termination Date: (i) a statement of any outside employment or consulting services in which the Qualified Retiree has engaged or seeks to engage during the period between the Termination Date and the applicable Vesting Date; and (ii) a statement confirming that the Qualifying Retiree has not disclosed or used any Confidential Information as prohibited by the RCA (together with the statement described in Section 6.2(i), the “Retirement Disclosure”). In the event that a Qualifying Retiree does not make the required Retirement Disclosure, or the Company’s Chief Executive Officer, Chief Human Resources Officer, and General Counsel (jointly and severally), or the Committee Chair, in the case of the current or any former Chief Executive Officer of the Company (the “Retirement Compliance Officers”) determine in their sole and absolute discretion that, based on the Retirement Disclosure or otherwise, the Qualifying Retiree is engaging in outside</w:t>
      </w:r>
    </w:p>
    <w:p>
      <w:pPr>
        <w:spacing w:after="0" w:line="35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0" w:right="399" w:bottom="1440" w:gutter="0" w:footer="0" w:header="0"/>
        </w:sectPr>
      </w:pPr>
    </w:p>
    <w:bookmarkStart w:id="107" w:name="page108"/>
    <w:bookmarkEnd w:id="107"/>
    <w:p>
      <w:pPr>
        <w:ind w:right="20"/>
        <w:spacing w:after="0" w:line="256" w:lineRule="auto"/>
        <w:rPr>
          <w:sz w:val="20"/>
          <w:szCs w:val="20"/>
          <w:color w:val="auto"/>
        </w:rPr>
      </w:pPr>
      <w:r>
        <w:rPr>
          <w:rFonts w:ascii="Times New Roman" w:cs="Times New Roman" w:eastAsia="Times New Roman" w:hAnsi="Times New Roman"/>
          <w:sz w:val="19"/>
          <w:szCs w:val="19"/>
          <w:color w:val="auto"/>
        </w:rPr>
        <w:t>employment or consulting services that are deemed to be competitive with the Business of the Company, as defined by the RCA, in accordance with applicable law in those states or jurisdictions where such provisions are lawful, or that the Qualifying Retiree has breached the obligations regarding the use and disclosure of Confidential Information (each of the foregoing, a “Retirement Noncompliance Event”), the Retirement Compliance Officers may determine, in their sole and absolute discretion in accordance with applicable law in those states or jurisdictions where such a provision is lawful, that all vesting under Section 3.1(f) shall cease immediately and any rights afforded under this Agreement to the Qualified Retiree shall be forfeited. Notwithstanding a finding of a Retirement Noncompliance Event, the Retirement Compliance Officers may, in their sole and absolute discretion, permit the Qualifying Retiree to continue to vest in the PSUs in accordance with the provisions of Section 3.1(f). Notwithstanding the above, pursuant to California Business &amp; Professions Code § 16600.1, if the Colleague is a current employee of the Company who works in California, or if they were employed by the Company in California at any time after January 1, 2022, they are hereby provided with notice that any clause or agreement between them and the Company that prohibits post-employment competition in California is hereby rescinded and shall be deemed null and void.</w:t>
      </w:r>
    </w:p>
    <w:p>
      <w:pPr>
        <w:spacing w:after="0" w:line="16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ARTICLE VII</w:t>
      </w: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Administration</w:t>
      </w:r>
    </w:p>
    <w:p>
      <w:pPr>
        <w:spacing w:after="0" w:line="215" w:lineRule="exact"/>
        <w:rPr>
          <w:sz w:val="20"/>
          <w:szCs w:val="20"/>
          <w:color w:val="auto"/>
        </w:rPr>
      </w:pPr>
    </w:p>
    <w:p>
      <w:pPr>
        <w:ind w:firstLine="749"/>
        <w:spacing w:after="0" w:line="245" w:lineRule="auto"/>
        <w:rPr>
          <w:sz w:val="20"/>
          <w:szCs w:val="20"/>
          <w:color w:val="auto"/>
        </w:rPr>
      </w:pPr>
      <w:r>
        <w:rPr>
          <w:rFonts w:ascii="Times New Roman" w:cs="Times New Roman" w:eastAsia="Times New Roman" w:hAnsi="Times New Roman"/>
          <w:sz w:val="20"/>
          <w:szCs w:val="20"/>
          <w:color w:val="auto"/>
        </w:rPr>
        <w:t>The Committee shall have the power to interpret the Plan and this Agreement and to adopt such rules for the administration, interpretation and application of the Plan as are consistent therewith and to interpret or revoke any such rules. All actions taken and all interpretations and determinations made by the Committee shall be final and binding upon the Colleague, the Company and all other interested persons. No member of the Committee shall be personally liable for any action, determination or interpretation made in good faith with respect to the Plan or the PSUs. In its absolute discretion, the Committee may at any time and from time to time exercise any and all rights and duties of the Committee under the Plan and this Agreement.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PSUs Not Transferable</w:t>
      </w:r>
    </w:p>
    <w:p>
      <w:pPr>
        <w:spacing w:after="0" w:line="215" w:lineRule="exact"/>
        <w:rPr>
          <w:sz w:val="20"/>
          <w:szCs w:val="20"/>
          <w:color w:val="auto"/>
        </w:rPr>
      </w:pPr>
    </w:p>
    <w:p>
      <w:pPr>
        <w:ind w:right="80" w:firstLine="749"/>
        <w:spacing w:after="0" w:line="246" w:lineRule="auto"/>
        <w:rPr>
          <w:sz w:val="20"/>
          <w:szCs w:val="20"/>
          <w:color w:val="auto"/>
        </w:rPr>
      </w:pPr>
      <w:r>
        <w:rPr>
          <w:rFonts w:ascii="Times New Roman" w:cs="Times New Roman" w:eastAsia="Times New Roman" w:hAnsi="Times New Roman"/>
          <w:sz w:val="20"/>
          <w:szCs w:val="20"/>
          <w:color w:val="auto"/>
        </w:rPr>
        <w:t>Neither the PSUs nor any interest or right therein or part thereof shall be subject to the debts, contracts or engagements of the Colleague or their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Binding Effect</w:t>
      </w:r>
    </w:p>
    <w:p>
      <w:pPr>
        <w:spacing w:after="0" w:line="215" w:lineRule="exact"/>
        <w:rPr>
          <w:sz w:val="20"/>
          <w:szCs w:val="20"/>
          <w:color w:val="auto"/>
        </w:rPr>
      </w:pPr>
    </w:p>
    <w:p>
      <w:pPr>
        <w:ind w:right="320" w:firstLine="749"/>
        <w:spacing w:after="0" w:line="268" w:lineRule="auto"/>
        <w:rPr>
          <w:sz w:val="20"/>
          <w:szCs w:val="20"/>
          <w:color w:val="auto"/>
        </w:rPr>
      </w:pPr>
      <w:r>
        <w:rPr>
          <w:rFonts w:ascii="Times New Roman" w:cs="Times New Roman" w:eastAsia="Times New Roman" w:hAnsi="Times New Roman"/>
          <w:sz w:val="20"/>
          <w:szCs w:val="20"/>
          <w:color w:val="auto"/>
        </w:rPr>
        <w:t>The provisions of this Agreement shall be binding upon and accrue to the benefit of the parties hereto and their respective heirs, legal representatives, successors and assigns.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Notices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Any notice to be given under the terms of this Agreement to the Company shall be addressed to the Company at the following</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address:</w:t>
      </w:r>
    </w:p>
    <w:p>
      <w:pPr>
        <w:spacing w:after="0" w:line="206"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Willis Towers Watson plc</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c/o Matthew S. Furman</w:t>
      </w:r>
    </w:p>
    <w:p>
      <w:pPr>
        <w:ind w:left="1500"/>
        <w:spacing w:after="0"/>
        <w:rPr>
          <w:sz w:val="20"/>
          <w:szCs w:val="20"/>
          <w:color w:val="auto"/>
        </w:rPr>
      </w:pPr>
      <w:r>
        <w:rPr>
          <w:rFonts w:ascii="Times New Roman" w:cs="Times New Roman" w:eastAsia="Times New Roman" w:hAnsi="Times New Roman"/>
          <w:sz w:val="20"/>
          <w:szCs w:val="20"/>
          <w:color w:val="auto"/>
        </w:rPr>
        <w:t>General Counsel</w:t>
      </w:r>
    </w:p>
    <w:p>
      <w:pPr>
        <w:spacing w:after="0" w:line="13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90" w:right="399" w:bottom="1440" w:gutter="0" w:footer="0" w:header="0"/>
        </w:sectPr>
      </w:pPr>
    </w:p>
    <w:bookmarkStart w:id="108" w:name="page109"/>
    <w:bookmarkEnd w:id="108"/>
    <w:p>
      <w:pPr>
        <w:ind w:left="1500"/>
        <w:spacing w:after="0"/>
        <w:rPr>
          <w:sz w:val="20"/>
          <w:szCs w:val="20"/>
          <w:color w:val="auto"/>
        </w:rPr>
      </w:pPr>
      <w:r>
        <w:rPr>
          <w:rFonts w:ascii="Times New Roman" w:cs="Times New Roman" w:eastAsia="Times New Roman" w:hAnsi="Times New Roman"/>
          <w:sz w:val="20"/>
          <w:szCs w:val="20"/>
          <w:color w:val="auto"/>
        </w:rPr>
        <w:t>200 Liberty Street</w:t>
      </w:r>
    </w:p>
    <w:p>
      <w:pPr>
        <w:spacing w:after="0" w:line="21"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New York, NY 10281</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any notice to be given to the Colleague shall be at their address.</w:t>
      </w:r>
    </w:p>
    <w:p>
      <w:pPr>
        <w:spacing w:after="0" w:line="215" w:lineRule="exact"/>
        <w:rPr>
          <w:sz w:val="20"/>
          <w:szCs w:val="20"/>
          <w:color w:val="auto"/>
        </w:rPr>
      </w:pPr>
    </w:p>
    <w:p>
      <w:pPr>
        <w:ind w:right="40" w:firstLine="749"/>
        <w:spacing w:after="0" w:line="244" w:lineRule="auto"/>
        <w:rPr>
          <w:sz w:val="20"/>
          <w:szCs w:val="20"/>
          <w:color w:val="auto"/>
        </w:rPr>
      </w:pPr>
      <w:r>
        <w:rPr>
          <w:rFonts w:ascii="Times New Roman" w:cs="Times New Roman" w:eastAsia="Times New Roman" w:hAnsi="Times New Roman"/>
          <w:sz w:val="20"/>
          <w:szCs w:val="20"/>
          <w:color w:val="auto"/>
        </w:rPr>
        <w:t>By a notice given pursuant to this Section 7.4, either party may hereafter designate a different address for notices to be given to them. Any notice that is required to be given to the Colleague shall, if the Colleague is then deceased, be given to the Colleague’s personal representatives if such representatives have previously informed the Company of their status and address by written notice under this Section 7.4. Any notice shall have been deemed duly given when enclosed in a properly sealed envelope or wrapper addressed as aforesaid, deposited (with postage prepaid) in a post office or branch post office regularly maintained by the United States Postal Service or the United Kingdom’s Post Office or in the case of a notice given by a Colleague resident outside the United States of America or the United Kingdom, sent by a recognized international courier service.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Titles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Titles are provided herein for convenience only and are not to serve as a basis for interpretation or construction of this Agreement.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Applicability of Plan</w:t>
      </w:r>
    </w:p>
    <w:p>
      <w:pPr>
        <w:spacing w:after="0" w:line="215" w:lineRule="exact"/>
        <w:rPr>
          <w:sz w:val="20"/>
          <w:szCs w:val="20"/>
          <w:color w:val="auto"/>
        </w:rPr>
      </w:pPr>
    </w:p>
    <w:p>
      <w:pPr>
        <w:jc w:val="both"/>
        <w:ind w:firstLine="749"/>
        <w:spacing w:after="0" w:line="295" w:lineRule="auto"/>
        <w:rPr>
          <w:sz w:val="20"/>
          <w:szCs w:val="20"/>
          <w:color w:val="auto"/>
        </w:rPr>
      </w:pPr>
      <w:r>
        <w:rPr>
          <w:rFonts w:ascii="Times New Roman" w:cs="Times New Roman" w:eastAsia="Times New Roman" w:hAnsi="Times New Roman"/>
          <w:sz w:val="19"/>
          <w:szCs w:val="19"/>
          <w:color w:val="auto"/>
        </w:rPr>
        <w:t>The PSUs and the Shares underlying the PSUs shall be subject to all of the terms and provisions of the Plan, to the extent applicable to the PSUs and the underlying Shares. In the event of any conflict between this Agreement and the Plan, the terms of the Plan shall control.</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Amendment</w:t>
      </w:r>
    </w:p>
    <w:p>
      <w:pPr>
        <w:spacing w:after="0" w:line="215" w:lineRule="exact"/>
        <w:rPr>
          <w:sz w:val="20"/>
          <w:szCs w:val="20"/>
          <w:color w:val="auto"/>
        </w:rPr>
      </w:pPr>
    </w:p>
    <w:p>
      <w:pPr>
        <w:jc w:val="both"/>
        <w:ind w:right="240" w:firstLine="749"/>
        <w:spacing w:after="0" w:line="253" w:lineRule="auto"/>
        <w:rPr>
          <w:sz w:val="20"/>
          <w:szCs w:val="20"/>
          <w:color w:val="auto"/>
        </w:rPr>
      </w:pPr>
      <w:r>
        <w:rPr>
          <w:rFonts w:ascii="Times New Roman" w:cs="Times New Roman" w:eastAsia="Times New Roman" w:hAnsi="Times New Roman"/>
          <w:sz w:val="20"/>
          <w:szCs w:val="20"/>
          <w:color w:val="auto"/>
        </w:rPr>
        <w:t>No amendment that materially and adversely impacts the rights of the Colleague under the Agreement may be made without the consent of the Colleague, unless the Amendment is required or advisable to facilitate compliance with applicable law, as determined in the sole discretion of the Committee.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Governing Law</w:t>
      </w:r>
    </w:p>
    <w:p>
      <w:pPr>
        <w:spacing w:after="0" w:line="215" w:lineRule="exact"/>
        <w:rPr>
          <w:sz w:val="20"/>
          <w:szCs w:val="20"/>
          <w:color w:val="auto"/>
        </w:rPr>
      </w:pPr>
    </w:p>
    <w:p>
      <w:pPr>
        <w:jc w:val="both"/>
        <w:ind w:right="300" w:firstLine="749"/>
        <w:spacing w:after="0" w:line="253" w:lineRule="auto"/>
        <w:rPr>
          <w:sz w:val="20"/>
          <w:szCs w:val="20"/>
          <w:color w:val="auto"/>
        </w:rPr>
      </w:pPr>
      <w:r>
        <w:rPr>
          <w:rFonts w:ascii="Times New Roman" w:cs="Times New Roman" w:eastAsia="Times New Roman" w:hAnsi="Times New Roman"/>
          <w:sz w:val="20"/>
          <w:szCs w:val="20"/>
          <w:color w:val="auto"/>
        </w:rPr>
        <w:t>This Agreement shall be governed by, and construed in accordance with the laws of Ireland without regard to its conflicts of law provisions; provided, however, that the RCA, as set forth in Schedule B, shall be governed by and construed in accordance with the laws specified in that agreement without regard to conflicts of law provisions.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Jurisdiction</w:t>
      </w:r>
    </w:p>
    <w:p>
      <w:pPr>
        <w:spacing w:after="0" w:line="215"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The state and federal courts located in the County of New York, State of New York shall have exclusive jurisdiction to hear and determine any suit, action or proceeding and to settle any disputes, which may arise out of or in connection with this Agreement and, for such purposes, the parties hereto irrevocably and unconditionally submit to the exclusive jurisdiction of such courts; provided, however, that with respect to the RCA the courts specified in such agreements shall have jurisdiction to hear and determine any suit, action or proceeding and to settle any disputes which may arise out of or in connection with that agreement.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7.10</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Electronic Delivery and Acceptance</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90" w:right="379" w:bottom="1440" w:gutter="0" w:footer="0" w:header="0"/>
        </w:sectPr>
      </w:pPr>
    </w:p>
    <w:bookmarkStart w:id="109" w:name="page110"/>
    <w:bookmarkEnd w:id="109"/>
    <w:p>
      <w:pPr>
        <w:ind w:right="300" w:firstLine="749"/>
        <w:spacing w:after="0" w:line="246" w:lineRule="auto"/>
        <w:rPr>
          <w:sz w:val="20"/>
          <w:szCs w:val="20"/>
          <w:color w:val="auto"/>
        </w:rPr>
      </w:pPr>
      <w:r>
        <w:rPr>
          <w:rFonts w:ascii="Times New Roman" w:cs="Times New Roman" w:eastAsia="Times New Roman" w:hAnsi="Times New Roman"/>
          <w:sz w:val="20"/>
          <w:szCs w:val="20"/>
          <w:color w:val="auto"/>
        </w:rPr>
        <w:t>The Company may, in its sole discretion, decide to deliver any documents related to current or future participation in the Plan by electronic means. The Colleague hereby consents to receive such documents by electronic delivery and agrees to participate in the Plan through an on-line or electronic system established and maintained by the Company or a third-party broker/stock plan administrator designated by the Company. Further, to the extent that this Agreement has been executed on behalf of the Company electronically, the Colleague accepts the electronic signature of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Choice of Language</w:t>
      </w:r>
    </w:p>
    <w:p>
      <w:pPr>
        <w:spacing w:after="0" w:line="215" w:lineRule="exact"/>
        <w:rPr>
          <w:sz w:val="20"/>
          <w:szCs w:val="20"/>
          <w:color w:val="auto"/>
        </w:rPr>
      </w:pPr>
    </w:p>
    <w:p>
      <w:pPr>
        <w:ind w:right="260" w:firstLine="749"/>
        <w:spacing w:after="0" w:line="253" w:lineRule="auto"/>
        <w:rPr>
          <w:sz w:val="20"/>
          <w:szCs w:val="20"/>
          <w:color w:val="auto"/>
        </w:rPr>
      </w:pPr>
      <w:r>
        <w:rPr>
          <w:rFonts w:ascii="Times New Roman" w:cs="Times New Roman" w:eastAsia="Times New Roman" w:hAnsi="Times New Roman"/>
          <w:sz w:val="20"/>
          <w:szCs w:val="20"/>
          <w:color w:val="auto"/>
        </w:rPr>
        <w:t>By accepting the Agreement providing for the terms and conditions of the Colleague’s grant, the Colleague confirms having read and understood the documents relating to this grant (the Plan and the Agreement) which were provided in the English language. The Colleague accepts the terms of those documents accordingly.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Severability</w:t>
      </w:r>
    </w:p>
    <w:p>
      <w:pPr>
        <w:spacing w:after="0" w:line="215" w:lineRule="exact"/>
        <w:rPr>
          <w:sz w:val="20"/>
          <w:szCs w:val="20"/>
          <w:color w:val="auto"/>
        </w:rPr>
      </w:pPr>
    </w:p>
    <w:p>
      <w:pPr>
        <w:ind w:right="760" w:firstLine="749"/>
        <w:spacing w:after="0" w:line="268" w:lineRule="auto"/>
        <w:rPr>
          <w:sz w:val="20"/>
          <w:szCs w:val="20"/>
          <w:color w:val="auto"/>
        </w:rPr>
      </w:pPr>
      <w:r>
        <w:rPr>
          <w:rFonts w:ascii="Times New Roman" w:cs="Times New Roman" w:eastAsia="Times New Roman" w:hAnsi="Times New Roman"/>
          <w:sz w:val="20"/>
          <w:szCs w:val="20"/>
          <w:color w:val="auto"/>
        </w:rPr>
        <w:t>The provisions of this Agreement are severable and if any one or more provisions are determined to be illegal or otherwise unenforceable, in whole or in part, the remaining provisions shall nevertheless be binding and enforceable.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Schedule A</w:t>
      </w:r>
    </w:p>
    <w:p>
      <w:pPr>
        <w:spacing w:after="0" w:line="215" w:lineRule="exact"/>
        <w:rPr>
          <w:sz w:val="20"/>
          <w:szCs w:val="20"/>
          <w:color w:val="auto"/>
        </w:rPr>
      </w:pPr>
    </w:p>
    <w:p>
      <w:pPr>
        <w:ind w:right="120" w:firstLine="749"/>
        <w:spacing w:after="0" w:line="249" w:lineRule="auto"/>
        <w:rPr>
          <w:sz w:val="20"/>
          <w:szCs w:val="20"/>
          <w:color w:val="auto"/>
        </w:rPr>
      </w:pPr>
      <w:r>
        <w:rPr>
          <w:rFonts w:ascii="Times New Roman" w:cs="Times New Roman" w:eastAsia="Times New Roman" w:hAnsi="Times New Roman"/>
          <w:sz w:val="20"/>
          <w:szCs w:val="20"/>
          <w:color w:val="auto"/>
        </w:rPr>
        <w:t>The PSUs shall be subject to any special provisions set forth in Schedule A for the Colleague’s country of residence, if any. If the Colleague relocates to one of the countries included in Schedule A prior to the vesting of the PSUs, the special provisions for such country shall apply to the Colleague, to the extent the Company determines that the application of such provisions is necessary or advisable for legal or administrative reasons. Schedule A constitutes part of this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Imposition of Other Requirements</w:t>
      </w:r>
    </w:p>
    <w:p>
      <w:pPr>
        <w:spacing w:after="0" w:line="21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20"/>
          <w:szCs w:val="20"/>
          <w:color w:val="auto"/>
        </w:rPr>
        <w:t>The Company reserves the right to impose other requirements on the PSUs and the Shares acquired upon vesting of the PSUs, to the extent the Company determines it is necessary or advisable for legal or administrative reasons, and to require the Colleague to sign any additional agreements or undertakings that may be necessary to accomplish the foregoing.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7.15- Insider Trading / Market Abuse Laws</w:t>
      </w:r>
    </w:p>
    <w:p>
      <w:pPr>
        <w:spacing w:after="0" w:line="215"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9"/>
          <w:szCs w:val="19"/>
          <w:color w:val="auto"/>
        </w:rPr>
        <w:t>The Colleague acknowledges that, depending on the Colleague or the Colleague’s broker’s country of residence or where the Shares are listed, the Colleague may be subject to insider trading restrictions and/or market abuse laws, which may affect the Colleague’s ability to accept, acquire, sell or otherwise dispose of Shares or rights to Shares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PSUs) or rights linked to the value of Shares under the Plan during such times as the Colleague is considered to have “inside information” regarding the Company (as defined by the laws or regulations in the applicable jurisdictions of the Colleague’s country). Local insider trading laws and regulations may prohibit the cancellation or amendment of orders the Colleague placed before the Colleague possessed inside information. Furthermore, the Colleague could be prohibited from (i) disclosing the inside information to any third party (other than on a “need to know” basis) and (ii) “tipping” third parties or causing them otherwise to buy or sell securities. Third parties include fellow employees and consultants. Any restrictions under these laws or regulations are separate from and in addition to any restrictions that may be imposed under any applicable Company insider trading policy. The Colleague acknowledges they are responsible for complying with any applicable restrictions and is encouraged to speak to their personal legal advisor for further details regarding any applicable insider-trading and/or market-abuse laws in the Colleague’s country.</w:t>
      </w:r>
    </w:p>
    <w:p>
      <w:pPr>
        <w:spacing w:after="0" w:line="3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90" w:right="35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20"/>
          <w:szCs w:val="20"/>
          <w:u w:val="single" w:color="auto"/>
          <w:color w:val="auto"/>
        </w:rPr>
        <w:t>Section 7.16</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Foreign Asset/Account Reporting Requirements and Exchange Controls</w:t>
      </w:r>
    </w:p>
    <w:p>
      <w:pPr>
        <w:spacing w:after="0" w:line="215"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The Colleague’s country may have certain foreign asset and/or foreign account reporting requirements and exchange controls which may affect the Colleague’s ability to acquire or hold Shares under the Plan or cash received from participating in the Plan (including from any dividends paid on Shares, sale proceeds resulting from the sale of Shares acquired under the Plan) in a brokerage or bank account outside the Colleague’s country. The Colleague may be required to report such accounts, assets or transactions to the tax or other authorities in the Colleague’s country. The Colleague also may be required to repatriate sale proceeds or other funds received as a result of the Colleague’s participation in the Plan to the Colleague’s country through a designated bank or broker within a certain time after receipt. The Colleague acknowledges that it is their responsibility to be compliant with such regulations, and the Colleague should consult their personal legal advisor for any details.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7.17</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Waiver</w:t>
      </w:r>
    </w:p>
    <w:p>
      <w:pPr>
        <w:spacing w:after="0" w:line="21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The Colleague acknowledges that a waiver by the Company of breach of any provision of this Agreement shall not operate or be construed as a waiver of any other provision of this Agreement, or of any subsequent breach by the Colleague or any other Participant of the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Counterparts</w:t>
      </w:r>
    </w:p>
    <w:p>
      <w:pPr>
        <w:spacing w:after="0" w:line="215" w:lineRule="exact"/>
        <w:rPr>
          <w:sz w:val="20"/>
          <w:szCs w:val="20"/>
          <w:color w:val="auto"/>
        </w:rPr>
      </w:pPr>
    </w:p>
    <w:p>
      <w:pPr>
        <w:ind w:right="200" w:firstLine="749"/>
        <w:spacing w:after="0" w:line="268" w:lineRule="auto"/>
        <w:rPr>
          <w:sz w:val="20"/>
          <w:szCs w:val="20"/>
          <w:color w:val="auto"/>
        </w:rPr>
      </w:pPr>
      <w:r>
        <w:rPr>
          <w:rFonts w:ascii="Times New Roman" w:cs="Times New Roman" w:eastAsia="Times New Roman" w:hAnsi="Times New Roman"/>
          <w:sz w:val="20"/>
          <w:szCs w:val="20"/>
          <w:color w:val="auto"/>
        </w:rPr>
        <w:t>This Agreement may be executed in any number of counterparts, each of which shall be deemed to be an original and all of which together shall constitute one and the same instrument.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7.19</w:t>
      </w:r>
      <w:r>
        <w:rPr>
          <w:rFonts w:ascii="Times New Roman" w:cs="Times New Roman" w:eastAsia="Times New Roman" w:hAnsi="Times New Roman"/>
          <w:sz w:val="20"/>
          <w:szCs w:val="20"/>
          <w:color w:val="auto"/>
        </w:rPr>
        <w:t xml:space="preserve"> - </w:t>
      </w:r>
      <w:r>
        <w:rPr>
          <w:rFonts w:ascii="Times New Roman" w:cs="Times New Roman" w:eastAsia="Times New Roman" w:hAnsi="Times New Roman"/>
          <w:sz w:val="20"/>
          <w:szCs w:val="20"/>
          <w:u w:val="single" w:color="auto"/>
          <w:color w:val="auto"/>
        </w:rPr>
        <w:t>Code Section 409A</w:t>
      </w:r>
    </w:p>
    <w:p>
      <w:pPr>
        <w:spacing w:after="0" w:line="215" w:lineRule="exact"/>
        <w:rPr>
          <w:sz w:val="20"/>
          <w:szCs w:val="20"/>
          <w:color w:val="auto"/>
        </w:rPr>
      </w:pPr>
    </w:p>
    <w:p>
      <w:pPr>
        <w:ind w:firstLine="395"/>
        <w:spacing w:after="0" w:line="241" w:lineRule="auto"/>
        <w:rPr>
          <w:sz w:val="20"/>
          <w:szCs w:val="20"/>
          <w:color w:val="auto"/>
        </w:rPr>
      </w:pPr>
      <w:r>
        <w:rPr>
          <w:rFonts w:ascii="Times New Roman" w:cs="Times New Roman" w:eastAsia="Times New Roman" w:hAnsi="Times New Roman"/>
          <w:sz w:val="20"/>
          <w:szCs w:val="20"/>
          <w:color w:val="auto"/>
        </w:rPr>
        <w:t>For purposes of United States taxpayers, it is intended that the terms of the PSUs will comply with the provisions of Section 409A of the Code and the Treasury Regulations relating thereto so as not to subject the Colleague to the payment of additional taxes and interest under Section 409A of the Code, and this Agreement will be interpreted, operated and administered in a manner that is consistent with this intent. In furtherance of this intent, the Committee may adopt such amendments to this Agreement or adopt other policies and procedures (including amendments, policies and procedures with retroactive effect), or take any other actions, in each case, without the consent of the Colleague, that the Committee determines are reasonable, necessary or appropriate to comply with the requirements of Section 409A of the Code and related United States Department of Treasury guidance. In that light, the Company, its Subsidiaries and any Designated Associate Companies make no representation or covenant to ensure that the PSUs that are intended to be exempt from, or compliant with, Section 409A of the Code are not so exempt or compliant or for any action taken by the Committee with respect thereto. Nothing in the Agreement shall provide a basis for any person to take action against the Company, its Subsidiaries or its Designated Associate Companies based on matters covered by Section 409A of the Code, including the tax treatment of any Shares or other payments made under the PSUs granted hereunder, and the Company, its Subsidiaries and any Designated Associate Companies shall not under any circumstances have any liability to the Colleague or their estate or any other party for any taxes, penalties or interest due on amounts paid or payable under this Agreement, including taxes, penalties or interest imposed under Section 409A of the Code.</w:t>
      </w:r>
    </w:p>
    <w:p>
      <w:pPr>
        <w:spacing w:after="0" w:line="188" w:lineRule="exact"/>
        <w:rPr>
          <w:sz w:val="20"/>
          <w:szCs w:val="20"/>
          <w:color w:val="auto"/>
        </w:rPr>
      </w:pPr>
    </w:p>
    <w:p>
      <w:pPr>
        <w:jc w:val="both"/>
        <w:ind w:right="6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Agreement (including the Schedules attached hereto) in the manner specified in the Colleague’s online account with the Company’s designated broker/stock plan administrator, the Colleague and the Company have agreed that the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0" w:right="339" w:bottom="1440" w:gutter="0" w:footer="0" w:header="0"/>
        </w:sectPr>
      </w:pPr>
    </w:p>
    <w:bookmarkStart w:id="111" w:name="page112"/>
    <w:bookmarkEnd w:id="111"/>
    <w:p>
      <w:pPr>
        <w:spacing w:after="0" w:line="272" w:lineRule="auto"/>
        <w:rPr>
          <w:sz w:val="20"/>
          <w:szCs w:val="20"/>
          <w:color w:val="auto"/>
        </w:rPr>
      </w:pPr>
      <w:r>
        <w:rPr>
          <w:rFonts w:ascii="Times New Roman" w:cs="Times New Roman" w:eastAsia="Times New Roman" w:hAnsi="Times New Roman"/>
          <w:sz w:val="20"/>
          <w:szCs w:val="20"/>
          <w:b w:val="1"/>
          <w:bCs w:val="1"/>
          <w:i w:val="1"/>
          <w:iCs w:val="1"/>
          <w:color w:val="auto"/>
        </w:rPr>
        <w:t>PSUs are granted under and governed by the terms and conditions of the Plan and this Agreement (including the Schedules attached hereto).</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145415</wp:posOffset>
            </wp:positionV>
            <wp:extent cx="2157730" cy="47942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215773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______Electronic Signature_____________________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Print Name: _______Colleague Name_____________________</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 Date</w:t>
      </w:r>
    </w:p>
    <w:p>
      <w:pPr>
        <w:spacing w:after="0" w:line="200" w:lineRule="exact"/>
        <w:rPr>
          <w:sz w:val="20"/>
          <w:szCs w:val="20"/>
          <w:color w:val="auto"/>
        </w:rPr>
      </w:pPr>
    </w:p>
    <w:p>
      <w:pPr>
        <w:spacing w:after="0" w:line="388"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380" w:right="75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A</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COUNTRY-SPECIFIC APPENDIX TO RESTRICTED SHARE UNIT AWARD AGREEMENT</w:t>
      </w:r>
    </w:p>
    <w:p>
      <w:pPr>
        <w:spacing w:after="0" w:line="22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2012 EQUITY INCENTIVE PLAN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Capitalized terms used but not defined herein shall have the meanings ascribed to them in the Agreement or the Plan.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19"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0"/>
          <w:szCs w:val="20"/>
          <w:color w:val="auto"/>
        </w:rPr>
        <w:t>This Schedule A includes additional terms and conditions that govern the Performance-Based Restricted Share Unit Award granted to the Colleague under the Willis Towers Watson Public Limited Company 2012 Equity Incentive Plan, as amended from time to time (the “Plan”) and the applicable Performance-Based Restricted Share Unit Agreement (the “Agreement”) if the Colleague resides in one of the countries listed below.</w:t>
      </w:r>
    </w:p>
    <w:p>
      <w:pPr>
        <w:spacing w:after="0" w:line="1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Notwithstanding Section 1.14 and 3.1(f) of the Agreement, if the Company receives a legal opinion that there has been a legal judgment and/or legal development in the Colleague’s jurisdiction that likely would result in the favorable treatment that applies to the PSUs as a result of the Colleague’s retirement or reaching a certain age being unlawful and/or discriminatory, the favorable treatment contemplated under Section 1.14 and 3.1(f) shall not apply and Section 3.1 shall apply to the Colleague without giving effect to Section 3.1(f).</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2"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This Schedule A also includes information based on the securities, exchange control and other laws in effect in the Colleague’s country as of March 2024. Such laws are often complex and change frequently. As a result, the Company strongly recommends that the Colleague not rely on the information noted herein as the only source of information relating to the consequences of the Colleague’s participation in the Plan because the information may be out of date at the time the PSUs vest under the Plan.</w:t>
      </w:r>
    </w:p>
    <w:p>
      <w:pPr>
        <w:spacing w:after="0" w:line="192" w:lineRule="exact"/>
        <w:rPr>
          <w:sz w:val="20"/>
          <w:szCs w:val="20"/>
          <w:color w:val="auto"/>
        </w:rPr>
      </w:pPr>
    </w:p>
    <w:p>
      <w:pPr>
        <w:ind w:right="60"/>
        <w:spacing w:after="0" w:line="249" w:lineRule="auto"/>
        <w:rPr>
          <w:sz w:val="20"/>
          <w:szCs w:val="20"/>
          <w:color w:val="auto"/>
        </w:rPr>
      </w:pPr>
      <w:r>
        <w:rPr>
          <w:rFonts w:ascii="Times New Roman" w:cs="Times New Roman" w:eastAsia="Times New Roman" w:hAnsi="Times New Roman"/>
          <w:sz w:val="20"/>
          <w:szCs w:val="20"/>
          <w:color w:val="auto"/>
        </w:rPr>
        <w:t xml:space="preserve">In addition, the information is general in nature. The Company is not providing the Colleague with any tax advice with respect to the PSUs. The information provided below may not apply to the Colleague’s particular situation, and the Company is not in a position to assure the Colleague of any particular result. </w:t>
      </w:r>
      <w:r>
        <w:rPr>
          <w:rFonts w:ascii="Times New Roman" w:cs="Times New Roman" w:eastAsia="Times New Roman" w:hAnsi="Times New Roman"/>
          <w:sz w:val="20"/>
          <w:szCs w:val="20"/>
          <w:i w:val="1"/>
          <w:iCs w:val="1"/>
          <w:color w:val="auto"/>
        </w:rPr>
        <w:t>Accordingly, the Colleague should seek appropriate professional advice as to how the tax or other laws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the Colleague’s country apply to the Colleague’s situation.</w:t>
      </w:r>
    </w:p>
    <w:p>
      <w:pPr>
        <w:spacing w:after="0" w:line="192"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Finally, if the Colleague is a citizen or resident of a country other than the one in which the Colleague is currently residing and/or working, transfers employment and/or residency after the Grant Date, or is considered a resident of another country for local law purposes, the terms and conditions contained herein for the country the Colleague is residing and/or working in at the time of grant may not be applicable to the Colleague, and the Company shall, in its discretion, determine to what extent the terms and conditions contained herein shall be applicable to the Colleague. Similarly, the information contained herein may no longer be applicable in the same manner.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20"/>
          <w:szCs w:val="20"/>
          <w:b w:val="1"/>
          <w:bCs w:val="1"/>
          <w:u w:val="single" w:color="auto"/>
          <w:color w:val="auto"/>
        </w:rPr>
        <w:t>IRELAND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 Payment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Director Reporting Obligation</w:t>
      </w:r>
    </w:p>
    <w:p>
      <w:pPr>
        <w:spacing w:after="0" w:line="25"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20"/>
          <w:szCs w:val="20"/>
          <w:color w:val="auto"/>
        </w:rPr>
        <w:t>If the Colleague is a director, shadow director or secretary of the Company or an Irish Subsidiary, they must notify the Company or the Irish Subsidiary in writing if the Colleague receives or disposes of an interest exceeding 1% of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PSUs, Shares, etc.), if the Colleague becomes aware of the event giving rise to the notification requirement, or if the Colleague becomes a director or secretary if such an interest exists at the time. This notification requirement also applies with respect to the interests of a spouse or minor children (whose interests will be attributed to the director, shadow director or secretary).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KINGDOM</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 Payment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provision supplements Section 2.2 of the Agreement:</w:t>
      </w:r>
    </w:p>
    <w:p>
      <w:pPr>
        <w:spacing w:after="0" w:line="206"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20"/>
          <w:szCs w:val="20"/>
          <w:color w:val="auto"/>
        </w:rPr>
        <w:t>Notwithstanding any discretion in the Plan or anything to the contrary in the Agreement, the PSUs do not provide any right for the Colleague to receive a cash payment and the PSUs will be settled in Shares only.</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Withholding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provisions supplement Section 2.5 of the Agreement:</w:t>
      </w:r>
    </w:p>
    <w:p>
      <w:pPr>
        <w:spacing w:after="0" w:line="206"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Without limitation to Section 2.5 of the Agreement, the Colleague agrees that they are liable for all Tax-Related Items and hereby covenants to pay all such Tax-Related Items, as and when requested by the Company or the Employer or by HM Revenue &amp; Customs (“HMRC”) (or any other tax authority or any other relevant authority). The Colleague also hereby agrees to indemnify and keep indemnified the Company and the Employer against any Tax-Related Items that they are required to pay or withhold or have paid or will pay to HMRC (or any other tax authority or any other relevant authority) on the Colleague’s behalf.</w:t>
      </w:r>
    </w:p>
    <w:p>
      <w:pPr>
        <w:spacing w:after="0" w:line="197" w:lineRule="exact"/>
        <w:rPr>
          <w:sz w:val="20"/>
          <w:szCs w:val="20"/>
          <w:color w:val="auto"/>
        </w:rPr>
      </w:pPr>
    </w:p>
    <w:p>
      <w:pPr>
        <w:ind w:right="40"/>
        <w:spacing w:after="0" w:line="243" w:lineRule="auto"/>
        <w:rPr>
          <w:sz w:val="20"/>
          <w:szCs w:val="20"/>
          <w:color w:val="auto"/>
        </w:rPr>
      </w:pPr>
      <w:r>
        <w:rPr>
          <w:rFonts w:ascii="Times New Roman" w:cs="Times New Roman" w:eastAsia="Times New Roman" w:hAnsi="Times New Roman"/>
          <w:sz w:val="20"/>
          <w:szCs w:val="20"/>
          <w:color w:val="auto"/>
        </w:rPr>
        <w:t>Notwithstanding the foregoing, if the Colleague is a director or executive officer of the Company (within the meaning of Section 13(k) of the Exchange Act), the Colleague shall not be eligible for a loan from the Employer to cover income tax. In the event that the Colleague is a director or executive officer and the income tax is not collected from or paid by them within ninety days of the end of the United Kingdom (“UK”) tax year in which the event giving rise to the income tax occurs, or such other period as required under UK law, the amount of any uncollected income tax may constitute a benefit to them on which additional income tax and National Insurance Contributions (“NICs”) may be payable. The Colleague will be responsible for reporting and paying any income tax due on this additional benefit directly to HMRC under the self-assessment regime and for reimbursing the Company or the Employer, as applicable, for any employee NICs due on this additional benefit, which may be recovered from the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4" w:right="35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20"/>
          <w:szCs w:val="20"/>
          <w:color w:val="auto"/>
        </w:rPr>
        <w:t>Colleague by the Company or the Employer at any time thereafter by any of the means referred to in Section 2.5 of the Agreement.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UNITED STATES OF AMERICA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Exchange Control Information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Under the Foreign Account Tax Compliance Act (“FATCA”), United States taxpayers who hold Shares or rights to acquire Shares (</w:t>
      </w:r>
      <w:r>
        <w:rPr>
          <w:rFonts w:ascii="Times New Roman" w:cs="Times New Roman" w:eastAsia="Times New Roman" w:hAnsi="Times New Roman"/>
          <w:sz w:val="20"/>
          <w:szCs w:val="20"/>
          <w:i w:val="1"/>
          <w:iCs w:val="1"/>
          <w:color w:val="auto"/>
        </w:rPr>
        <w:t>i.e</w:t>
      </w:r>
      <w:r>
        <w:rPr>
          <w:rFonts w:ascii="Times New Roman" w:cs="Times New Roman" w:eastAsia="Times New Roman" w:hAnsi="Times New Roman"/>
          <w:sz w:val="20"/>
          <w:szCs w:val="20"/>
          <w:color w:val="auto"/>
        </w:rPr>
        <w:t>., PSUs) may be required to report certain information related to their holdings to the extent the aggregate value of the PSUs/Shares exceeds certain thresholds (depending on the Colleague’s filing status) with the Colleague’s annual tax return. The Colleague should consult with their personal tax or legal advisor regarding any FATCA reporting requirements with respect to the PSUs or any Shares acquired under the Plan.</w:t>
      </w:r>
    </w:p>
    <w:p>
      <w:pPr>
        <w:spacing w:after="0" w:line="200" w:lineRule="exact"/>
        <w:rPr>
          <w:sz w:val="20"/>
          <w:szCs w:val="20"/>
          <w:color w:val="auto"/>
        </w:rPr>
      </w:pPr>
    </w:p>
    <w:p>
      <w:pPr>
        <w:spacing w:after="0" w:line="21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088" w:right="619" w:bottom="1440" w:gutter="0" w:footer="0" w:header="0"/>
        </w:sectPr>
      </w:pPr>
    </w:p>
    <w:bookmarkStart w:id="115" w:name="page116"/>
    <w:bookmarkEnd w:id="115"/>
    <w:p>
      <w:pPr>
        <w:ind w:left="9600"/>
        <w:spacing w:after="0"/>
        <w:rPr>
          <w:sz w:val="20"/>
          <w:szCs w:val="20"/>
          <w:color w:val="auto"/>
        </w:rPr>
      </w:pPr>
      <w:r>
        <w:rPr>
          <w:rFonts w:ascii="Times New Roman" w:cs="Times New Roman" w:eastAsia="Times New Roman" w:hAnsi="Times New Roman"/>
          <w:sz w:val="19"/>
          <w:szCs w:val="19"/>
          <w:b w:val="1"/>
          <w:bCs w:val="1"/>
          <w:u w:val="single" w:color="auto"/>
          <w:color w:val="auto"/>
        </w:rPr>
        <w:t>SCHEDULE B- US</w:t>
      </w:r>
    </w:p>
    <w:p>
      <w:pPr>
        <w:spacing w:after="0" w:line="226" w:lineRule="exact"/>
        <w:rPr>
          <w:sz w:val="20"/>
          <w:szCs w:val="20"/>
          <w:color w:val="auto"/>
        </w:rPr>
      </w:pPr>
    </w:p>
    <w:p>
      <w:pPr>
        <w:jc w:val="center"/>
        <w:ind w:left="1040" w:right="100"/>
        <w:spacing w:after="0" w:line="272" w:lineRule="auto"/>
        <w:rPr>
          <w:sz w:val="20"/>
          <w:szCs w:val="20"/>
          <w:color w:val="auto"/>
        </w:rPr>
      </w:pPr>
      <w:r>
        <w:rPr>
          <w:rFonts w:ascii="Times New Roman" w:cs="Times New Roman" w:eastAsia="Times New Roman" w:hAnsi="Times New Roman"/>
          <w:sz w:val="20"/>
          <w:szCs w:val="20"/>
          <w:b w:val="1"/>
          <w:bCs w:val="1"/>
          <w:color w:val="auto"/>
        </w:rPr>
        <w:t>AGREEMENT OF RESTRICTIVE COVENANTS AND OTHER OBLIGATIONS FOR EMPLOYEES IN THE UNITED STATES</w:t>
      </w:r>
    </w:p>
    <w:p>
      <w:pPr>
        <w:spacing w:after="0" w:line="157" w:lineRule="exact"/>
        <w:rPr>
          <w:sz w:val="20"/>
          <w:szCs w:val="20"/>
          <w:color w:val="auto"/>
        </w:rPr>
      </w:pPr>
    </w:p>
    <w:p>
      <w:pPr>
        <w:jc w:val="both"/>
        <w:ind w:firstLine="395"/>
        <w:spacing w:after="0" w:line="253" w:lineRule="auto"/>
        <w:rPr>
          <w:sz w:val="20"/>
          <w:szCs w:val="20"/>
          <w:color w:val="auto"/>
        </w:rPr>
      </w:pPr>
      <w:r>
        <w:rPr>
          <w:rFonts w:ascii="Times New Roman" w:cs="Times New Roman" w:eastAsia="Times New Roman" w:hAnsi="Times New Roman"/>
          <w:sz w:val="20"/>
          <w:szCs w:val="20"/>
          <w:color w:val="auto"/>
        </w:rPr>
        <w:t>This Agreement of Restrictive Covenants and Other Obligations for Employees in the United States (the “</w:t>
      </w:r>
      <w:r>
        <w:rPr>
          <w:rFonts w:ascii="Times New Roman" w:cs="Times New Roman" w:eastAsia="Times New Roman" w:hAnsi="Times New Roman"/>
          <w:sz w:val="20"/>
          <w:szCs w:val="20"/>
          <w:u w:val="single" w:color="auto"/>
          <w:color w:val="auto"/>
        </w:rPr>
        <w:t>RCA</w:t>
      </w:r>
      <w:r>
        <w:rPr>
          <w:rFonts w:ascii="Times New Roman" w:cs="Times New Roman" w:eastAsia="Times New Roman" w:hAnsi="Times New Roman"/>
          <w:sz w:val="20"/>
          <w:szCs w:val="20"/>
          <w:color w:val="auto"/>
        </w:rPr>
        <w:t>”) is entered into by and between Willis Towers Watson Public Limited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Colleague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to be effective as of the date the Colleague signs or electronically accepts this RCA.</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Colleague is employed by a Subsidiary of the Company;</w:t>
      </w:r>
    </w:p>
    <w:p>
      <w:pPr>
        <w:spacing w:after="0" w:line="228"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approval by the Committee or the Company’s Share Award Committee, the Colleague has been designated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receive a grant of restricted share units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 under the Company’s 2012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66" w:lineRule="exact"/>
        <w:rPr>
          <w:sz w:val="20"/>
          <w:szCs w:val="20"/>
          <w:color w:val="auto"/>
        </w:rPr>
      </w:pPr>
    </w:p>
    <w:p>
      <w:pPr>
        <w:jc w:val="both"/>
        <w:ind w:right="20" w:firstLine="749"/>
        <w:spacing w:after="0" w:line="27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any Award granted to the Colleague is subject to the terms and conditions of the Plan, the award agreement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evidencing the Colleague’s Award (including any country-specific terms thereto), and this RCA, and in consideration of the Award, the Colleague shall enter into and acknowledge their agreement to the terms and conditions of the Plan, the award agreement and this RCA; and</w:t>
      </w:r>
    </w:p>
    <w:p>
      <w:pPr>
        <w:spacing w:after="0" w:line="166" w:lineRule="exact"/>
        <w:rPr>
          <w:sz w:val="20"/>
          <w:szCs w:val="20"/>
          <w:color w:val="auto"/>
        </w:rPr>
      </w:pPr>
    </w:p>
    <w:p>
      <w:pPr>
        <w:jc w:val="both"/>
        <w:ind w:right="20" w:firstLine="40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Colleague acknowledges and agrees that they desire to receive the Award and understands and agrees any Award 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subject to the terms and conditions set forth in the Plan, the applicable award agreement, and this RCA.</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promises contained herein and for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 particular the Award, the receipt and sufficiency of which is hereby acknowledged in this recital and within Section 6.4 below, the Parties hereto agree, with the intent to be bound, as follows:</w:t>
      </w:r>
    </w:p>
    <w:p>
      <w:pPr>
        <w:spacing w:after="0" w:line="174"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u w:val="single" w:color="auto"/>
          <w:color w:val="auto"/>
        </w:rPr>
        <w:t>Section 1</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Recitals</w:t>
      </w:r>
    </w:p>
    <w:p>
      <w:pPr>
        <w:spacing w:after="0" w:line="21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Recitals set forth above are an integral part of this RCA and are incorporated herein by reference.</w:t>
      </w:r>
    </w:p>
    <w:p>
      <w:pPr>
        <w:spacing w:after="0" w:line="215" w:lineRule="exact"/>
        <w:rPr>
          <w:sz w:val="20"/>
          <w:szCs w:val="20"/>
          <w:color w:val="auto"/>
        </w:rPr>
      </w:pPr>
    </w:p>
    <w:p>
      <w:pPr>
        <w:spacing w:after="0"/>
        <w:tabs>
          <w:tab w:leader="none" w:pos="2780" w:val="left"/>
        </w:tabs>
        <w:rPr>
          <w:sz w:val="20"/>
          <w:szCs w:val="20"/>
          <w:color w:val="auto"/>
        </w:rPr>
      </w:pPr>
      <w:r>
        <w:rPr>
          <w:rFonts w:ascii="Times New Roman" w:cs="Times New Roman" w:eastAsia="Times New Roman" w:hAnsi="Times New Roman"/>
          <w:sz w:val="20"/>
          <w:szCs w:val="20"/>
          <w:u w:val="single" w:color="auto"/>
          <w:color w:val="auto"/>
        </w:rPr>
        <w:t>Section 2</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Definitions</w:t>
      </w:r>
    </w:p>
    <w:p>
      <w:pPr>
        <w:spacing w:after="0" w:line="211"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have the meaning as set forth in the recitals.</w:t>
      </w:r>
    </w:p>
    <w:p>
      <w:pPr>
        <w:spacing w:after="0" w:line="188" w:lineRule="exact"/>
        <w:rPr>
          <w:sz w:val="20"/>
          <w:szCs w:val="20"/>
          <w:color w:val="auto"/>
        </w:rPr>
      </w:pPr>
    </w:p>
    <w:p>
      <w:pPr>
        <w:jc w:val="both"/>
        <w:ind w:left="1220" w:hanging="837"/>
        <w:spacing w:after="0" w:line="255" w:lineRule="auto"/>
        <w:tabs>
          <w:tab w:leader="none" w:pos="1200" w:val="left"/>
        </w:tabs>
        <w:rPr>
          <w:sz w:val="20"/>
          <w:szCs w:val="20"/>
          <w:color w:val="auto"/>
        </w:rPr>
      </w:pPr>
      <w:r>
        <w:rPr>
          <w:rFonts w:ascii="Times New Roman" w:cs="Times New Roman" w:eastAsia="Times New Roman" w:hAnsi="Times New Roman"/>
          <w:sz w:val="20"/>
          <w:szCs w:val="20"/>
          <w:color w:val="auto"/>
        </w:rPr>
        <w:t>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shall mean insurance brokerage, reinsurance brokerage, surety brokerage, bond brokerage, insurance agency, underwriting agency, managing general agency, risk management, claims administration, self-insurance, risk management consulting, or other business performed by the Restricted Group.</w:t>
      </w:r>
    </w:p>
    <w:p>
      <w:pPr>
        <w:spacing w:after="0" w:line="143"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1.3.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same meaning as set forth in the Plan or the applicable award agreement.</w:t>
      </w:r>
    </w:p>
    <w:p>
      <w:pPr>
        <w:spacing w:after="0" w:line="188" w:lineRule="exact"/>
        <w:rPr>
          <w:sz w:val="20"/>
          <w:szCs w:val="20"/>
          <w:color w:val="auto"/>
        </w:rPr>
      </w:pPr>
    </w:p>
    <w:p>
      <w:pPr>
        <w:jc w:val="both"/>
        <w:ind w:left="1220" w:hanging="837"/>
        <w:spacing w:after="0" w:line="250" w:lineRule="auto"/>
        <w:tabs>
          <w:tab w:leader="none" w:pos="1200" w:val="left"/>
        </w:tabs>
        <w:rPr>
          <w:sz w:val="20"/>
          <w:szCs w:val="20"/>
          <w:color w:val="auto"/>
        </w:rPr>
      </w:pPr>
      <w:r>
        <w:rPr>
          <w:rFonts w:ascii="Times New Roman" w:cs="Times New Roman" w:eastAsia="Times New Roman" w:hAnsi="Times New Roman"/>
          <w:sz w:val="20"/>
          <w:szCs w:val="20"/>
          <w:color w:val="auto"/>
        </w:rPr>
        <w:t>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5" w:right="339" w:bottom="1440" w:gutter="0" w:footer="0" w:header="0"/>
        </w:sectPr>
      </w:pPr>
    </w:p>
    <w:bookmarkStart w:id="116" w:name="page117"/>
    <w:bookmarkEnd w:id="116"/>
    <w:p>
      <w:pPr>
        <w:jc w:val="both"/>
        <w:ind w:left="840" w:hanging="837"/>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the public domain, provided that Colleague was not responsible, directly or indirectly, for such information entering the public domain without the Restricted Group’s consent.</w:t>
      </w:r>
    </w:p>
    <w:p>
      <w:pPr>
        <w:spacing w:after="0" w:line="156" w:lineRule="exact"/>
        <w:rPr>
          <w:sz w:val="20"/>
          <w:szCs w:val="20"/>
          <w:color w:val="auto"/>
        </w:rPr>
      </w:pPr>
    </w:p>
    <w:p>
      <w:pPr>
        <w:jc w:val="both"/>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Directly or indirectly</w:t>
      </w:r>
      <w:r>
        <w:rPr>
          <w:rFonts w:ascii="Times New Roman" w:cs="Times New Roman" w:eastAsia="Times New Roman" w:hAnsi="Times New Roman"/>
          <w:sz w:val="20"/>
          <w:szCs w:val="20"/>
          <w:color w:val="auto"/>
        </w:rPr>
        <w:t>” shall mean the Colleague acting either alone or jointly with or on behalf of or by means of or in concert with any other person, firm, company (whether as principal, partner, manager, employee, contractor, director, consultant, investor, or similar capacity), or otherwise.</w:t>
      </w:r>
    </w:p>
    <w:p>
      <w:pPr>
        <w:spacing w:after="0" w:line="143"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shall mean the Subsidiary that employs the Colleague. If the Company ever becomes an employer of the Colleague, then the term Employer shall refer to the Company.</w:t>
      </w:r>
    </w:p>
    <w:p>
      <w:pPr>
        <w:spacing w:after="0" w:line="126"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shall mean the contractual terms and conditions which govern the employment of the Colleague by Employer.</w:t>
      </w:r>
    </w:p>
    <w:p>
      <w:pPr>
        <w:spacing w:after="0" w:line="126" w:lineRule="exact"/>
        <w:rPr>
          <w:sz w:val="20"/>
          <w:szCs w:val="20"/>
          <w:color w:val="auto"/>
        </w:rPr>
      </w:pPr>
    </w:p>
    <w:p>
      <w:pPr>
        <w:jc w:val="both"/>
        <w:ind w:left="84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1.9.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shall mean any person who is at the date the Colleague ceases to be an employee of Employer or was (i) at any time during the period of twelve (12) months prior to that date employed by the Restricted Group, (ii) an employee with whom Colleague had dealings, and (iii) employed by or engaged in the Business in a managerial capacity, or was an employee with insurance, reinsurance or other technical expertise.</w:t>
      </w:r>
    </w:p>
    <w:p>
      <w:pPr>
        <w:spacing w:after="0" w:line="147"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1.10.</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have the meaning set forth in the recitals.</w:t>
      </w:r>
    </w:p>
    <w:p>
      <w:pPr>
        <w:spacing w:after="0" w:line="188" w:lineRule="exact"/>
        <w:rPr>
          <w:sz w:val="20"/>
          <w:szCs w:val="20"/>
          <w:color w:val="auto"/>
        </w:rPr>
      </w:pPr>
    </w:p>
    <w:p>
      <w:pPr>
        <w:jc w:val="both"/>
        <w:ind w:left="840" w:hanging="837"/>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1.11.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Area</w:t>
      </w:r>
      <w:r>
        <w:rPr>
          <w:rFonts w:ascii="Times New Roman" w:cs="Times New Roman" w:eastAsia="Times New Roman" w:hAnsi="Times New Roman"/>
          <w:sz w:val="20"/>
          <w:szCs w:val="20"/>
          <w:color w:val="auto"/>
        </w:rPr>
        <w:t>” shall mean the counties, parishes, districts, municipalities, cities, metropolitan regions, localities and similar geographic and political subdivisions, within and outside of the United States of America, in which the Employer, the Company or any of its Subsidiaries has carried on Business in which the Colleague has been involved or concerned or working on at any time during the period of twelve (12) months prior to the date on which the Colleague ceases to be employed by Employer.</w:t>
      </w:r>
    </w:p>
    <w:p>
      <w:pPr>
        <w:spacing w:after="0" w:line="151" w:lineRule="exact"/>
        <w:rPr>
          <w:sz w:val="20"/>
          <w:szCs w:val="20"/>
          <w:color w:val="auto"/>
        </w:rPr>
      </w:pPr>
    </w:p>
    <w:p>
      <w:pPr>
        <w:jc w:val="both"/>
        <w:ind w:left="840" w:hanging="837"/>
        <w:spacing w:after="0" w:line="245" w:lineRule="auto"/>
        <w:tabs>
          <w:tab w:leader="none" w:pos="820" w:val="left"/>
        </w:tabs>
        <w:rPr>
          <w:sz w:val="20"/>
          <w:szCs w:val="20"/>
          <w:color w:val="auto"/>
        </w:rPr>
      </w:pPr>
      <w:r>
        <w:rPr>
          <w:rFonts w:ascii="Times New Roman" w:cs="Times New Roman" w:eastAsia="Times New Roman" w:hAnsi="Times New Roman"/>
          <w:sz w:val="20"/>
          <w:szCs w:val="20"/>
          <w:color w:val="auto"/>
        </w:rPr>
        <w:t>1.12.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Client</w:t>
      </w:r>
      <w:r>
        <w:rPr>
          <w:rFonts w:ascii="Times New Roman" w:cs="Times New Roman" w:eastAsia="Times New Roman" w:hAnsi="Times New Roman"/>
          <w:sz w:val="20"/>
          <w:szCs w:val="20"/>
          <w:color w:val="auto"/>
        </w:rPr>
        <w:t>” shall mean any person, firm, or company who or which, at any time during the period of twelve (12) months prior to the date on which the Colleague ceases to be employed by Employer, is or was a client or customer of the Employer, the Company or any of its Subsidiaries or was in the habit and/or practice of dealing under contract with the Employer, the Company or any of its Subsidiaries and with whom or which the Colleague had dealings related to the Business or for whose relationship with the Employer, the Company or any of its Subsidiaries the Colleague had responsibility at any time during the said period.</w:t>
      </w:r>
    </w:p>
    <w:p>
      <w:pPr>
        <w:spacing w:after="0" w:line="156" w:lineRule="exact"/>
        <w:rPr>
          <w:sz w:val="20"/>
          <w:szCs w:val="20"/>
          <w:color w:val="auto"/>
        </w:rPr>
      </w:pPr>
    </w:p>
    <w:p>
      <w:pPr>
        <w:jc w:val="both"/>
        <w:ind w:left="84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1.13.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shall mean the period of twenty-four (24) months following the date on which the Colleague ceases to be employed by Employer.</w:t>
      </w:r>
    </w:p>
    <w:p>
      <w:pPr>
        <w:spacing w:after="0" w:line="126" w:lineRule="exact"/>
        <w:rPr>
          <w:sz w:val="20"/>
          <w:szCs w:val="20"/>
          <w:color w:val="auto"/>
        </w:rPr>
      </w:pPr>
    </w:p>
    <w:p>
      <w:pPr>
        <w:jc w:val="both"/>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Prospect</w:t>
      </w:r>
      <w:r>
        <w:rPr>
          <w:rFonts w:ascii="Times New Roman" w:cs="Times New Roman" w:eastAsia="Times New Roman" w:hAnsi="Times New Roman"/>
          <w:sz w:val="20"/>
          <w:szCs w:val="20"/>
          <w:color w:val="auto"/>
        </w:rPr>
        <w:t>” shall mean any person, firm, or company who or which, at any time during the period of six (6) months prior to the date on which the Colleague ceases to be employed by Employer, was an active prospective client of the Employer, the Company or</w:t>
      </w:r>
    </w:p>
    <w:p>
      <w:pPr>
        <w:spacing w:after="0" w:line="14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623570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83"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any of its Subsidiaries with whom or with which the Colleague had dealings related to the Business (other than in a minimal</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and non-material way).</w:t>
            </w:r>
          </w:p>
        </w:tc>
      </w:tr>
      <w:tr>
        <w:trPr>
          <w:trHeight w:val="389"/>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1.15.</w:t>
            </w: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Group</w:t>
            </w:r>
            <w:r>
              <w:rPr>
                <w:rFonts w:ascii="Times New Roman" w:cs="Times New Roman" w:eastAsia="Times New Roman" w:hAnsi="Times New Roman"/>
                <w:sz w:val="20"/>
                <w:szCs w:val="20"/>
                <w:color w:val="auto"/>
              </w:rPr>
              <w:t>” shall mean the Company and its Subsidiaries, including the Employer, as in existence during the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Colleague’s employment with Employer and as of the date such employment ceases.</w:t>
            </w:r>
          </w:p>
        </w:tc>
      </w:tr>
      <w:tr>
        <w:trPr>
          <w:trHeight w:val="389"/>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1.16.</w:t>
            </w: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 direct and/or indirect subsidiary of the Company as well as any associate company that is</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260"/>
              <w:spacing w:after="0"/>
              <w:rPr>
                <w:sz w:val="20"/>
                <w:szCs w:val="20"/>
                <w:color w:val="auto"/>
              </w:rPr>
            </w:pPr>
            <w:r>
              <w:rPr>
                <w:rFonts w:ascii="Times New Roman" w:cs="Times New Roman" w:eastAsia="Times New Roman" w:hAnsi="Times New Roman"/>
                <w:sz w:val="20"/>
                <w:szCs w:val="20"/>
                <w:color w:val="auto"/>
              </w:rPr>
              <w:t>designated by the Company as being eligible for participation in the Plan.</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3</w:t>
            </w:r>
          </w:p>
        </w:tc>
        <w:tc>
          <w:tcPr>
            <w:tcW w:w="760" w:type="dxa"/>
            <w:vAlign w:val="bottom"/>
          </w:tcPr>
          <w:p>
            <w:pPr>
              <w:spacing w:after="0"/>
              <w:rPr>
                <w:sz w:val="24"/>
                <w:szCs w:val="24"/>
                <w:color w:val="auto"/>
              </w:rPr>
            </w:pPr>
          </w:p>
        </w:tc>
        <w:tc>
          <w:tcPr>
            <w:tcW w:w="9520" w:type="dxa"/>
            <w:vAlign w:val="bottom"/>
            <w:gridSpan w:val="3"/>
          </w:tcPr>
          <w:p>
            <w:pPr>
              <w:ind w:left="1140"/>
              <w:spacing w:after="0"/>
              <w:rPr>
                <w:sz w:val="20"/>
                <w:szCs w:val="20"/>
                <w:color w:val="auto"/>
              </w:rPr>
            </w:pPr>
            <w:r>
              <w:rPr>
                <w:rFonts w:ascii="Times New Roman" w:cs="Times New Roman" w:eastAsia="Times New Roman" w:hAnsi="Times New Roman"/>
                <w:sz w:val="20"/>
                <w:szCs w:val="20"/>
                <w:color w:val="auto"/>
              </w:rPr>
              <w:t>- Restrictive Covenants and Other Obligations</w:t>
            </w:r>
          </w:p>
        </w:tc>
      </w:tr>
      <w:tr>
        <w:trPr>
          <w:trHeight w:val="20"/>
        </w:trPr>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3560" w:type="dxa"/>
            <w:vAlign w:val="bottom"/>
            <w:shd w:val="clear" w:color="auto" w:fill="000000"/>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r>
      <w:tr>
        <w:trPr>
          <w:trHeight w:val="443"/>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3.1.</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The Colleague acknowledges that, by virtue of their management position and as an employee of Employer, the Colleague has</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acquired and/or will acquire knowledge of Confidential Information of the Restricted Group and their Business. The Colleague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further acknowledges that the Confidential Information that the Restricted Group has provided and/or will provide to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Colleague will give the Colleague a significant advantage if the Colleague were to directly or indirectly be engaged in any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Business at a Competitor of the Restricted Group.</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3.2.</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Without the Company’s prior written consent, the Colleague shall not directly or indirectly, at any time during or after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Colleague’s employment with any Employer, disclose any Confidential Information and shall use the Colleague’s best efforts to</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prevent the taking or disclosure of any Confidential Information to a Competitor, or otherwise, except as reasonably may be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required to be disclosed by the Colleague in the ordinary performance of their duties for Employer or as required by law.</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Notwithstanding the foregoing, you understand that if you make a confidential disclosure of a trade secret of the Company or</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other Confidential Information to a government official or an attorney for the sole purpose of reporting a suspected violation of</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law, or in a court filing under seal, or otherwise engage in activities protected under whistleblower statutes, you shall not be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8"/>
              </w:rPr>
              <w:t>held liable under this Agreement or under any federal or state trade secret law for such a disclosure or engaging of such activity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and shall also not be required to notify the Company of any such disclosure or engaging of any such activity.</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3.3.</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The Colleague acknowledges and agrees that any post-employment efforts by the Colleague to solicit the business of the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Restricted Group’s clients would necessarily require the use of the Restricted Group’s trade secrets regarding the Restricted</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Group and/or its clients that the Colleague accessed, received, or developed during employment.  For the protection of trade</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w w:val="99"/>
              </w:rPr>
              <w:t>secrets, the Restricted Group is entitled to reasonable protection against unfair exploitation, diversion, and misappropriation of</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its client relationships through misappropriation of the Restricted Group’s trade secrets that include, without limitation,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information obtained and compiled by the Restricted Group at its expense relating to clients and their needs, preferences,</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pricing, and related information.</w:t>
            </w:r>
          </w:p>
        </w:tc>
      </w:tr>
      <w:tr>
        <w:trPr>
          <w:trHeight w:val="418"/>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3.4.</w:t>
            </w:r>
          </w:p>
        </w:tc>
        <w:tc>
          <w:tcPr>
            <w:tcW w:w="220" w:type="dxa"/>
            <w:vAlign w:val="bottom"/>
          </w:tcPr>
          <w:p>
            <w:pPr>
              <w:spacing w:after="0"/>
              <w:rPr>
                <w:sz w:val="24"/>
                <w:szCs w:val="24"/>
                <w:color w:val="auto"/>
              </w:rPr>
            </w:pPr>
          </w:p>
        </w:tc>
        <w:tc>
          <w:tcPr>
            <w:tcW w:w="10280" w:type="dxa"/>
            <w:vAlign w:val="bottom"/>
            <w:gridSpan w:val="4"/>
          </w:tcPr>
          <w:p>
            <w:pPr>
              <w:ind w:left="180"/>
              <w:spacing w:after="0"/>
              <w:rPr>
                <w:sz w:val="20"/>
                <w:szCs w:val="20"/>
                <w:color w:val="auto"/>
              </w:rPr>
            </w:pPr>
            <w:r>
              <w:rPr>
                <w:rFonts w:ascii="Times New Roman" w:cs="Times New Roman" w:eastAsia="Times New Roman" w:hAnsi="Times New Roman"/>
                <w:sz w:val="20"/>
                <w:szCs w:val="20"/>
                <w:color w:val="auto"/>
              </w:rPr>
              <w:t>The Colleague shall not, for the Relevant Period, directly or indirectly for a Competitor or otherwise:</w:t>
            </w:r>
          </w:p>
        </w:tc>
      </w:tr>
      <w:tr>
        <w:trPr>
          <w:trHeight w:val="389"/>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3.4.1.</w:t>
            </w: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within the Relevant Area, solicit any Relevant Client or Relevant Prospect for the purposes of any Business that</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competes, will compete, or seeks to compete with the Restricted Group;</w:t>
            </w:r>
          </w:p>
        </w:tc>
      </w:tr>
      <w:tr>
        <w:trPr>
          <w:trHeight w:val="389"/>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3.4.2.</w:t>
            </w: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within the Relevant Area accept, perform services for, or deal with any Relevant Client or Relevant Prospect for the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52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purposes of any Business that competes, will compete, or seeks to compete with the Restricted Group;</w:t>
            </w:r>
          </w:p>
        </w:tc>
      </w:tr>
      <w:tr>
        <w:trPr>
          <w:trHeight w:val="437"/>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80" w:type="dxa"/>
            <w:vAlign w:val="bottom"/>
            <w:gridSpan w:val="2"/>
          </w:tcPr>
          <w:p>
            <w:pPr>
              <w:ind w:left="2500"/>
              <w:spacing w:after="0"/>
              <w:rPr>
                <w:sz w:val="20"/>
                <w:szCs w:val="20"/>
                <w:color w:val="auto"/>
              </w:rPr>
            </w:pPr>
            <w:r>
              <w:rPr>
                <w:rFonts w:ascii="Times New Roman" w:cs="Times New Roman" w:eastAsia="Times New Roman" w:hAnsi="Times New Roman"/>
                <w:sz w:val="22"/>
                <w:szCs w:val="22"/>
                <w:color w:val="auto"/>
              </w:rPr>
              <w:t>B-3</w:t>
            </w:r>
          </w:p>
        </w:tc>
      </w:tr>
      <w:tr>
        <w:trPr>
          <w:trHeight w:val="979"/>
        </w:trPr>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18" w:name="page119"/>
    <w:bookmarkEnd w:id="118"/>
    <w:tbl>
      <w:tblPr>
        <w:tblLayout w:type="fixed"/>
        <w:tblInd w:w="0" w:type="dxa"/>
        <w:tblCellMar>
          <w:top w:w="0" w:type="dxa"/>
          <w:left w:w="0" w:type="dxa"/>
          <w:bottom w:w="0" w:type="dxa"/>
          <w:right w:w="0" w:type="dxa"/>
        </w:tblCellMar>
      </w:tblP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3.4.3.</w:t>
            </w:r>
          </w:p>
        </w:tc>
        <w:tc>
          <w:tcPr>
            <w:tcW w:w="9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solicit for employment or entice away from the Restricted Group any Key Personnel; or</w:t>
            </w:r>
          </w:p>
        </w:tc>
      </w:tr>
      <w:tr>
        <w:trPr>
          <w:trHeight w:val="418"/>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3.4.4.</w:t>
            </w:r>
          </w:p>
        </w:tc>
        <w:tc>
          <w:tcPr>
            <w:tcW w:w="9520" w:type="dxa"/>
            <w:vAlign w:val="bottom"/>
            <w:gridSpan w:val="4"/>
          </w:tcPr>
          <w:p>
            <w:pPr>
              <w:ind w:left="160"/>
              <w:spacing w:after="0"/>
              <w:rPr>
                <w:sz w:val="20"/>
                <w:szCs w:val="20"/>
                <w:color w:val="auto"/>
              </w:rPr>
            </w:pPr>
            <w:r>
              <w:rPr>
                <w:rFonts w:ascii="Times New Roman" w:cs="Times New Roman" w:eastAsia="Times New Roman" w:hAnsi="Times New Roman"/>
                <w:sz w:val="20"/>
                <w:szCs w:val="20"/>
                <w:color w:val="auto"/>
              </w:rPr>
              <w:t>employ or engage, or endeavour to employ or engage any Key Personnel.</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To the extent the Colleague is a party to an Employment Agreement or other agreement with the Employer, the Company or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any Subsidiary that contains post-employment covenants and restrictions, those post-employment covenants and restrictions</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shall be separate and apart and independent from the covenants and restrictions set forth in Section 3.2, Section 3.3 and Section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3.4 herein.</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The Colleague shall not directly or indirectly, at any time during or after the Colleague’s employment with any Employer, take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any action or make any statement, written or oral, that disparages or criticizes the business or management of the Employer, the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Company or any Subsidiary or any of its or their respective directors, officers, agents, employees, products or services. Nothing</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contained herein limits or restricts any rights Colleague may have to engage in protected concerted activity under the National</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Labor Relations Act.</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The Colleague recognizes and agrees that the payment of damages will not be an adequate remedy for any breach by the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Colleague of any of the covenants set forth in Section 3 of this RCA. Colleague recognizes that irreparable injury will result to</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Company and/or its Subsidiaries in the event of any such breach and therefore Colleague agrees that Company may, in addition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to recovering damages, proceed in equity to enjoin Colleague from violating any such covenant.</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The Colleague acknowledges that the provisions of this Section 3 are fair, reasonable and necessary to protect the goodwill and</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interests of the Restricted Group.</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4</w:t>
            </w:r>
          </w:p>
        </w:tc>
        <w:tc>
          <w:tcPr>
            <w:tcW w:w="780" w:type="dxa"/>
            <w:vAlign w:val="bottom"/>
          </w:tcPr>
          <w:p>
            <w:pPr>
              <w:spacing w:after="0"/>
              <w:rPr>
                <w:sz w:val="24"/>
                <w:szCs w:val="24"/>
                <w:color w:val="auto"/>
              </w:rPr>
            </w:pPr>
          </w:p>
        </w:tc>
        <w:tc>
          <w:tcPr>
            <w:tcW w:w="9520" w:type="dxa"/>
            <w:vAlign w:val="bottom"/>
            <w:gridSpan w:val="4"/>
          </w:tcPr>
          <w:p>
            <w:pPr>
              <w:ind w:left="1140"/>
              <w:spacing w:after="0"/>
              <w:rPr>
                <w:sz w:val="20"/>
                <w:szCs w:val="20"/>
                <w:color w:val="auto"/>
              </w:rPr>
            </w:pPr>
            <w:r>
              <w:rPr>
                <w:rFonts w:ascii="Times New Roman" w:cs="Times New Roman" w:eastAsia="Times New Roman" w:hAnsi="Times New Roman"/>
                <w:sz w:val="20"/>
                <w:szCs w:val="20"/>
                <w:color w:val="auto"/>
              </w:rPr>
              <w:t>- Governing Law &amp; Jurisdiction</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43"/>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This RCA shall be governed by and construed in accordance with the laws of the state of New York, without regard to its</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conflicts of law principles.</w:t>
            </w:r>
          </w:p>
        </w:tc>
      </w:tr>
      <w:tr>
        <w:trPr>
          <w:trHeight w:val="389"/>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Any suit, action or proceeding arising out of or relating to this RCA shall only be brought in the State and Federal Courts</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located in the County of New York, State of New York and the Parties hereto irrevocably and unconditionally submit</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accordingly to the exclusive jurisdiction of such courts for the purpose of any such suit, action or proceeding. The Colleague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hereby irrevocably and unconditionally waives any objections they may now have or hereafter have to the laying of the venue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of any suit, action or proceeding arising out of or relating to this RCA in the foregoing courts.  The Colleague further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acknowledges that for purposes of N.Y.C.P.L.R. 327(b) and N.Y. G.O.L. Section 5-1402, the value of the Plan is in excess of</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One Million Dollars ($1,000,000) and the Colleague hereby further irrevocably and unconditionally waives any claim that any</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such suit, action or proceeding brought in the foregoing courts has been brought in an inconvenient forum.</w:t>
            </w:r>
          </w:p>
        </w:tc>
      </w:tr>
      <w:tr>
        <w:trPr>
          <w:trHeight w:val="398"/>
        </w:trPr>
        <w:tc>
          <w:tcPr>
            <w:tcW w:w="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5</w:t>
            </w:r>
          </w:p>
        </w:tc>
        <w:tc>
          <w:tcPr>
            <w:tcW w:w="780" w:type="dxa"/>
            <w:vAlign w:val="bottom"/>
          </w:tcPr>
          <w:p>
            <w:pPr>
              <w:spacing w:after="0"/>
              <w:rPr>
                <w:sz w:val="24"/>
                <w:szCs w:val="24"/>
                <w:color w:val="auto"/>
              </w:rPr>
            </w:pPr>
          </w:p>
        </w:tc>
        <w:tc>
          <w:tcPr>
            <w:tcW w:w="9520" w:type="dxa"/>
            <w:vAlign w:val="bottom"/>
            <w:gridSpan w:val="4"/>
          </w:tcPr>
          <w:p>
            <w:pPr>
              <w:ind w:left="1140"/>
              <w:spacing w:after="0"/>
              <w:rPr>
                <w:sz w:val="20"/>
                <w:szCs w:val="20"/>
                <w:color w:val="auto"/>
              </w:rPr>
            </w:pPr>
            <w:r>
              <w:rPr>
                <w:rFonts w:ascii="Times New Roman" w:cs="Times New Roman" w:eastAsia="Times New Roman" w:hAnsi="Times New Roman"/>
                <w:sz w:val="20"/>
                <w:szCs w:val="20"/>
                <w:color w:val="auto"/>
              </w:rPr>
              <w:t>- Consideration, Severability, Beneficiaries &amp; Effect on other agreements</w:t>
            </w:r>
          </w:p>
        </w:tc>
      </w:tr>
      <w:tr>
        <w:trPr>
          <w:trHeight w:val="20"/>
        </w:trPr>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740" w:type="dxa"/>
            <w:vAlign w:val="bottom"/>
            <w:gridSpan w:val="2"/>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443"/>
        </w:trPr>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200" w:type="dxa"/>
            <w:vAlign w:val="bottom"/>
          </w:tcPr>
          <w:p>
            <w:pPr>
              <w:spacing w:after="0"/>
              <w:rPr>
                <w:sz w:val="24"/>
                <w:szCs w:val="24"/>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The Parties acknowledge that the provisions of this RCA are severable.  If any part or provision of this RCA shall be</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8"/>
              </w:rPr>
              <w:t>determined by any court or tribunal to be invalid, then such partial invalidity shall not cause the remainder of this RCA to be or</w:t>
            </w:r>
          </w:p>
        </w:tc>
      </w:tr>
      <w:tr>
        <w:trPr>
          <w:trHeight w:val="229"/>
        </w:trPr>
        <w:tc>
          <w:tcPr>
            <w:tcW w:w="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w w:val="99"/>
              </w:rPr>
              <w:t>become invalid. If any provision hereof is held unenforceable on the basis that it exceeds what is reasonable for the protection</w:t>
            </w:r>
          </w:p>
        </w:tc>
      </w:tr>
      <w:tr>
        <w:trPr>
          <w:trHeight w:val="258"/>
        </w:trPr>
        <w:tc>
          <w:tcPr>
            <w:tcW w:w="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300" w:type="dxa"/>
            <w:vAlign w:val="bottom"/>
            <w:gridSpan w:val="5"/>
          </w:tcPr>
          <w:p>
            <w:pPr>
              <w:ind w:left="200"/>
              <w:spacing w:after="0"/>
              <w:rPr>
                <w:sz w:val="20"/>
                <w:szCs w:val="20"/>
                <w:color w:val="auto"/>
              </w:rPr>
            </w:pPr>
            <w:r>
              <w:rPr>
                <w:rFonts w:ascii="Times New Roman" w:cs="Times New Roman" w:eastAsia="Times New Roman" w:hAnsi="Times New Roman"/>
                <w:sz w:val="20"/>
                <w:szCs w:val="20"/>
                <w:color w:val="auto"/>
              </w:rPr>
              <w:t>of the goodwill and interests of the Restricted Group, but would be valid if part of the wording</w:t>
            </w:r>
          </w:p>
        </w:tc>
      </w:tr>
      <w:tr>
        <w:trPr>
          <w:trHeight w:val="437"/>
        </w:trPr>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586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B-4</w:t>
            </w:r>
          </w:p>
        </w:tc>
      </w:tr>
      <w:tr>
        <w:trPr>
          <w:trHeight w:val="979"/>
        </w:trPr>
        <w:tc>
          <w:tcPr>
            <w:tcW w:w="7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42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30"/>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were modified or deleted, as permitted by applicable law, then such restriction or obligation shall apply with such deletions or</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modifications as may be necessary to make it enforceable.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5.2.</w:t>
            </w:r>
          </w:p>
        </w:tc>
        <w:tc>
          <w:tcPr>
            <w:tcW w:w="22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The Colleague acknowledges that they remain bound by any Employment Agreement or any other agreement currently in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effect by and between the Colleague, on the one hand, and the Employer, the Company or any Subsidiary, on the other hand,</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including but not limited to any post-employment covenants and restrictions, and this RCA shall be in addition to, and not in</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place of any such agreements.</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5.3.</w:t>
            </w:r>
          </w:p>
        </w:tc>
        <w:tc>
          <w:tcPr>
            <w:tcW w:w="220" w:type="dxa"/>
            <w:vAlign w:val="bottom"/>
          </w:tcPr>
          <w:p>
            <w:pPr>
              <w:spacing w:after="0"/>
              <w:rPr>
                <w:sz w:val="24"/>
                <w:szCs w:val="24"/>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w w:val="99"/>
              </w:rPr>
              <w:t>Nothing contained in this RCA constitutes a promise or agreement to employ the Colleague for a guaranteed term or otherwise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180"/>
              <w:spacing w:after="0"/>
              <w:rPr>
                <w:sz w:val="20"/>
                <w:szCs w:val="20"/>
                <w:color w:val="auto"/>
              </w:rPr>
            </w:pPr>
            <w:r>
              <w:rPr>
                <w:rFonts w:ascii="Times New Roman" w:cs="Times New Roman" w:eastAsia="Times New Roman" w:hAnsi="Times New Roman"/>
                <w:sz w:val="20"/>
                <w:szCs w:val="20"/>
                <w:color w:val="auto"/>
              </w:rPr>
              <w:t>modify the terms and conditions of the Colleague’s employment with the Employer.</w:t>
            </w:r>
          </w:p>
        </w:tc>
      </w:tr>
      <w:tr>
        <w:trPr>
          <w:trHeight w:val="398"/>
        </w:trPr>
        <w:tc>
          <w:tcPr>
            <w:tcW w:w="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Section 6</w:t>
            </w:r>
          </w:p>
        </w:tc>
        <w:tc>
          <w:tcPr>
            <w:tcW w:w="10280" w:type="dxa"/>
            <w:vAlign w:val="bottom"/>
            <w:gridSpan w:val="3"/>
          </w:tcPr>
          <w:p>
            <w:pPr>
              <w:ind w:left="1900"/>
              <w:spacing w:after="0"/>
              <w:rPr>
                <w:sz w:val="20"/>
                <w:szCs w:val="20"/>
                <w:color w:val="auto"/>
              </w:rPr>
            </w:pPr>
            <w:r>
              <w:rPr>
                <w:rFonts w:ascii="Times New Roman" w:cs="Times New Roman" w:eastAsia="Times New Roman" w:hAnsi="Times New Roman"/>
                <w:sz w:val="20"/>
                <w:szCs w:val="20"/>
                <w:color w:val="auto"/>
              </w:rPr>
              <w:t>– Miscellaneous</w:t>
            </w:r>
          </w:p>
        </w:tc>
      </w:tr>
      <w:tr>
        <w:trPr>
          <w:trHeight w:val="20"/>
        </w:trPr>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443"/>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6.1.</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and the provisions hereof, may not be modified, amended, terminated, or limited in any fashion except by written</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agreement signed by both parties hereto, which specifically states that it is modifying, amending, or terminating this RCA.</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6.2.</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rights and remedies of the Restricted Group under this RCA shall inure to the benefit of any and all of its/their successors,</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assigns, parent companies, sister companies, subsidiaries, and other affiliated corporations, and the successors and assigns of</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each of them.</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6.3.</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waiver by either party of any breach of this RCA shall not operate or be construed as a waiver of that party’s rights on any</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subsequent breach.</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6.4.</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Colleague acknowledges that the Award constitutes adequate consideration to support the covenants and promises made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by the Colleague within this RCA, regardless of whether such Award is ultimately beneficial to the Colleague.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6.5.</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8"/>
              </w:rPr>
              <w:t>The Colleague acknowledges and agrees that the Colleague shall be obliged to draw the provisions of Section 3 of this RCA to</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attention of any third party who may, at any time before or after the termination of the Colleague’s employment with</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Employer, offer to employ or engage them and for or with whom Colleague intends to work within the Relevant Period.</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6.6.</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9"/>
              </w:rPr>
              <w:t>The various section headings contained in this RCA are for the purpose of convenience only and are not intended to define or</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limit the contents of such sections.</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6.7.</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may be executed in one or more counterparts, each of which shall constitute an original and all of which, taken</w:t>
            </w:r>
          </w:p>
        </w:tc>
      </w:tr>
      <w:tr>
        <w:trPr>
          <w:trHeight w:val="229"/>
        </w:trPr>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w w:val="99"/>
              </w:rPr>
              <w:t>together, shall constitute one and the same document. This RCA will be binding, notwithstanding that either party’s signature</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is displayed only on a facsimile or electronic copy of the signature page.</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6.8.</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Any provisions which by their nature survive termination of this RCA, including the obligations set forth in Section 3 and</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Section 4, shall survive termination of this RCA.</w:t>
            </w:r>
          </w:p>
        </w:tc>
      </w:tr>
      <w:tr>
        <w:trPr>
          <w:trHeight w:val="389"/>
        </w:trPr>
        <w:tc>
          <w:tcPr>
            <w:tcW w:w="74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6.9.</w:t>
            </w:r>
          </w:p>
        </w:tc>
        <w:tc>
          <w:tcPr>
            <w:tcW w:w="220" w:type="dxa"/>
            <w:vAlign w:val="bottom"/>
          </w:tcPr>
          <w:p>
            <w:pPr>
              <w:spacing w:after="0"/>
              <w:rPr>
                <w:sz w:val="24"/>
                <w:szCs w:val="24"/>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This RCA has been executed on behalf of the Company electronically and the Colleague accepts the electronic signature of</w:t>
            </w:r>
          </w:p>
        </w:tc>
      </w:tr>
      <w:tr>
        <w:trPr>
          <w:trHeight w:val="258"/>
        </w:trPr>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Company.</w:t>
            </w:r>
          </w:p>
        </w:tc>
      </w:tr>
      <w:tr>
        <w:trPr>
          <w:trHeight w:val="384"/>
        </w:trPr>
        <w:tc>
          <w:tcPr>
            <w:tcW w:w="96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6.10.</w:t>
            </w:r>
          </w:p>
        </w:tc>
        <w:tc>
          <w:tcPr>
            <w:tcW w:w="1028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The Colleague understands that they have the right to consult with an attorney prior to signing this RCA.</w:t>
            </w:r>
          </w:p>
        </w:tc>
      </w:tr>
      <w:tr>
        <w:trPr>
          <w:trHeight w:val="282"/>
        </w:trPr>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100" w:type="dxa"/>
            <w:vAlign w:val="bottom"/>
          </w:tcPr>
          <w:p>
            <w:pPr>
              <w:ind w:left="1320"/>
              <w:spacing w:after="0"/>
              <w:rPr>
                <w:sz w:val="20"/>
                <w:szCs w:val="20"/>
                <w:color w:val="auto"/>
              </w:rPr>
            </w:pPr>
            <w:r>
              <w:rPr>
                <w:rFonts w:ascii="Times New Roman" w:cs="Times New Roman" w:eastAsia="Times New Roman" w:hAnsi="Times New Roman"/>
                <w:sz w:val="22"/>
                <w:szCs w:val="22"/>
                <w:color w:val="auto"/>
              </w:rPr>
              <w:t>B-5</w:t>
            </w:r>
          </w:p>
        </w:tc>
      </w:tr>
      <w:tr>
        <w:trPr>
          <w:trHeight w:val="979"/>
        </w:trPr>
        <w:tc>
          <w:tcPr>
            <w:tcW w:w="7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20" w:name="page121"/>
    <w:bookmarkEnd w:id="120"/>
    <w:p>
      <w:pPr>
        <w:spacing w:after="0"/>
        <w:tabs>
          <w:tab w:leader="none" w:pos="2840" w:val="left"/>
        </w:tabs>
        <w:rPr>
          <w:sz w:val="20"/>
          <w:szCs w:val="20"/>
          <w:color w:val="auto"/>
        </w:rPr>
      </w:pPr>
      <w:r>
        <w:rPr>
          <w:rFonts w:ascii="Times New Roman" w:cs="Times New Roman" w:eastAsia="Times New Roman" w:hAnsi="Times New Roman"/>
          <w:sz w:val="20"/>
          <w:szCs w:val="20"/>
          <w:u w:val="single" w:color="auto"/>
          <w:color w:val="auto"/>
        </w:rPr>
        <w:t>Section 7</w:t>
      </w:r>
      <w:r>
        <w:rPr>
          <w:sz w:val="20"/>
          <w:szCs w:val="20"/>
          <w:color w:val="auto"/>
        </w:rPr>
        <w:tab/>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U.S. State-Specific Terms</w:t>
      </w:r>
    </w:p>
    <w:p>
      <w:pPr>
        <w:spacing w:after="0" w:line="21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Notwithstanding anything herein to the contrary, if the Colleague primarily resides or works in any of the U.S. states below, or transfers employment and/or residency after the Grant Date to one of the U.S. states below, then the following terms shall apply to the restrictions in Section 3.4.2 (the “Restrictive Covenant”) of this RCA after the date on which the Colleague ceases to be employed by Employer for as long as the Colleague continues to work or reside in such state.</w:t>
      </w:r>
    </w:p>
    <w:p>
      <w:pPr>
        <w:spacing w:after="0" w:line="178"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7.1.</w:t>
      </w:r>
      <w:r>
        <w:rPr>
          <w:sz w:val="20"/>
          <w:szCs w:val="20"/>
          <w:color w:val="auto"/>
        </w:rPr>
        <w:tab/>
      </w:r>
      <w:r>
        <w:rPr>
          <w:rFonts w:ascii="Times New Roman" w:cs="Times New Roman" w:eastAsia="Times New Roman" w:hAnsi="Times New Roman"/>
          <w:sz w:val="19"/>
          <w:szCs w:val="19"/>
          <w:u w:val="single" w:color="auto"/>
          <w:color w:val="auto"/>
        </w:rPr>
        <w:t>Notice Requirements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Colleagues who primarily reside or work in the states below, the following notice requirements shall apply:</w:t>
      </w:r>
    </w:p>
    <w:p>
      <w:pPr>
        <w:spacing w:after="0" w:line="215"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7.1.1</w:t>
      </w:r>
      <w:r>
        <w:rPr>
          <w:sz w:val="20"/>
          <w:szCs w:val="20"/>
          <w:color w:val="auto"/>
        </w:rPr>
        <w:tab/>
      </w:r>
      <w:r>
        <w:rPr>
          <w:rFonts w:ascii="Times New Roman" w:cs="Times New Roman" w:eastAsia="Times New Roman" w:hAnsi="Times New Roman"/>
          <w:sz w:val="20"/>
          <w:szCs w:val="20"/>
          <w:u w:val="single" w:color="auto"/>
          <w:color w:val="auto"/>
        </w:rPr>
        <w:t>Colorado</w:t>
      </w:r>
      <w:r>
        <w:rPr>
          <w:rFonts w:ascii="Times New Roman" w:cs="Times New Roman" w:eastAsia="Times New Roman" w:hAnsi="Times New Roman"/>
          <w:sz w:val="20"/>
          <w:szCs w:val="20"/>
          <w:color w:val="auto"/>
        </w:rPr>
        <w:t>. The Colleague acknowledges that the Colleague was provided with a separate notice of the RCA and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Restrictive Covenant at least 14 days before the earlier of (1) the effective date of the RCA or (2) the Grant Date.</w:t>
      </w:r>
    </w:p>
    <w:p>
      <w:pPr>
        <w:spacing w:after="0" w:line="161"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7.1.2</w:t>
      </w:r>
      <w:r>
        <w:rPr>
          <w:sz w:val="20"/>
          <w:szCs w:val="20"/>
          <w:color w:val="auto"/>
        </w:rPr>
        <w:tab/>
      </w:r>
      <w:r>
        <w:rPr>
          <w:rFonts w:ascii="Times New Roman" w:cs="Times New Roman" w:eastAsia="Times New Roman" w:hAnsi="Times New Roman"/>
          <w:sz w:val="20"/>
          <w:szCs w:val="20"/>
          <w:u w:val="single" w:color="auto"/>
          <w:color w:val="auto"/>
        </w:rPr>
        <w:t>District of Columbia</w:t>
      </w:r>
      <w:r>
        <w:rPr>
          <w:rFonts w:ascii="Times New Roman" w:cs="Times New Roman" w:eastAsia="Times New Roman" w:hAnsi="Times New Roman"/>
          <w:sz w:val="20"/>
          <w:szCs w:val="20"/>
          <w:color w:val="auto"/>
        </w:rPr>
        <w:t>. The Colleague acknowledges that the Colleague was provided with this notice (i) 14 days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before commencing employment (if a new employee) or (ii) 14 days before the execution of this Agreement and RCA (if an existing employee).</w:t>
      </w:r>
    </w:p>
    <w:p>
      <w:pPr>
        <w:spacing w:after="0" w:line="176" w:lineRule="exact"/>
        <w:rPr>
          <w:sz w:val="20"/>
          <w:szCs w:val="20"/>
          <w:color w:val="auto"/>
        </w:rPr>
      </w:pPr>
    </w:p>
    <w:p>
      <w:pPr>
        <w:jc w:val="both"/>
        <w:ind w:left="1880" w:hanging="748"/>
        <w:spacing w:after="0" w:line="246" w:lineRule="auto"/>
        <w:tabs>
          <w:tab w:leader="none" w:pos="1860" w:val="left"/>
        </w:tabs>
        <w:rPr>
          <w:sz w:val="20"/>
          <w:szCs w:val="20"/>
          <w:color w:val="auto"/>
        </w:rPr>
      </w:pPr>
      <w:r>
        <w:rPr>
          <w:rFonts w:ascii="Times New Roman" w:cs="Times New Roman" w:eastAsia="Times New Roman" w:hAnsi="Times New Roman"/>
          <w:sz w:val="20"/>
          <w:szCs w:val="20"/>
          <w:color w:val="auto"/>
        </w:rPr>
        <w:t>7.1.3</w:t>
      </w:r>
      <w:r>
        <w:rPr>
          <w:sz w:val="20"/>
          <w:szCs w:val="20"/>
          <w:color w:val="auto"/>
        </w:rPr>
        <w:tab/>
      </w:r>
      <w:r>
        <w:rPr>
          <w:rFonts w:ascii="Times New Roman" w:cs="Times New Roman" w:eastAsia="Times New Roman" w:hAnsi="Times New Roman"/>
          <w:sz w:val="20"/>
          <w:szCs w:val="20"/>
          <w:u w:val="single" w:color="auto"/>
          <w:color w:val="auto"/>
        </w:rPr>
        <w:t>Illinois</w:t>
      </w:r>
      <w:r>
        <w:rPr>
          <w:rFonts w:ascii="Times New Roman" w:cs="Times New Roman" w:eastAsia="Times New Roman" w:hAnsi="Times New Roman"/>
          <w:sz w:val="20"/>
          <w:szCs w:val="20"/>
          <w:color w:val="auto"/>
        </w:rPr>
        <w:t>. The Colleague acknowledges that (i) Employer has advised the Colleague to consult with an attorney before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entering into the RCA, and (ii) the Colleague received a copy of the RCA at least 14 calendar days before the commencement of the Colleague’s employment or 14 calendar days to review the covenant. The Colleague further acknowledges that the Employer is in compliance with this Section even if the Colleague voluntarily elects to sign the RCA before the expiration of the 14-day period.</w:t>
      </w:r>
    </w:p>
    <w:p>
      <w:pPr>
        <w:spacing w:after="0" w:line="183"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7.1.4</w:t>
      </w:r>
      <w:r>
        <w:rPr>
          <w:sz w:val="20"/>
          <w:szCs w:val="20"/>
          <w:color w:val="auto"/>
        </w:rPr>
        <w:tab/>
      </w:r>
      <w:r>
        <w:rPr>
          <w:rFonts w:ascii="Times New Roman" w:cs="Times New Roman" w:eastAsia="Times New Roman" w:hAnsi="Times New Roman"/>
          <w:sz w:val="20"/>
          <w:szCs w:val="20"/>
          <w:u w:val="single" w:color="auto"/>
          <w:color w:val="auto"/>
        </w:rPr>
        <w:t>Maine</w:t>
      </w:r>
      <w:r>
        <w:rPr>
          <w:rFonts w:ascii="Times New Roman" w:cs="Times New Roman" w:eastAsia="Times New Roman" w:hAnsi="Times New Roman"/>
          <w:sz w:val="20"/>
          <w:szCs w:val="20"/>
          <w:color w:val="auto"/>
        </w:rPr>
        <w:t>. The Colleague acknowledges that the Employer has notified the Colleague of the RCA requirement and</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provided a copy of the RCA not less than 3 business days before Employer required the RCA to be signed.</w:t>
      </w:r>
    </w:p>
    <w:p>
      <w:pPr>
        <w:spacing w:after="0" w:line="161"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7.1.5</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Colleague acknowledges that the Colleague (a) was provided with this notice at least 10 days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before the effective date of the RCA, and (b) that the Employer has advised the Colleague that the Colleague has the right to consult with an attorney of his or her choosing before executing this RCA.</w:t>
      </w:r>
    </w:p>
    <w:p>
      <w:pPr>
        <w:spacing w:after="0" w:line="176" w:lineRule="exact"/>
        <w:rPr>
          <w:sz w:val="20"/>
          <w:szCs w:val="20"/>
          <w:color w:val="auto"/>
        </w:rPr>
      </w:pPr>
    </w:p>
    <w:p>
      <w:pPr>
        <w:jc w:val="both"/>
        <w:ind w:left="1880" w:right="2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7.1.6</w:t>
      </w:r>
      <w:r>
        <w:rPr>
          <w:sz w:val="20"/>
          <w:szCs w:val="20"/>
          <w:color w:val="auto"/>
        </w:rPr>
        <w:tab/>
      </w:r>
      <w:r>
        <w:rPr>
          <w:rFonts w:ascii="Times New Roman" w:cs="Times New Roman" w:eastAsia="Times New Roman" w:hAnsi="Times New Roman"/>
          <w:sz w:val="20"/>
          <w:szCs w:val="20"/>
          <w:u w:val="single" w:color="auto"/>
          <w:color w:val="auto"/>
        </w:rPr>
        <w:t>New Hampshire</w:t>
      </w:r>
      <w:r>
        <w:rPr>
          <w:rFonts w:ascii="Times New Roman" w:cs="Times New Roman" w:eastAsia="Times New Roman" w:hAnsi="Times New Roman"/>
          <w:sz w:val="20"/>
          <w:szCs w:val="20"/>
          <w:color w:val="auto"/>
        </w:rPr>
        <w:t>. The Colleague acknowledges that the Colleague was provided with this notice before the effective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date of the RCA.</w:t>
      </w:r>
    </w:p>
    <w:p>
      <w:pPr>
        <w:spacing w:after="0" w:line="161"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7.1.7</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 acknowledges that this notice was provided to the Colleague at least two (2) weeks before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effective date of the RCA.</w:t>
      </w:r>
    </w:p>
    <w:p>
      <w:pPr>
        <w:spacing w:after="0" w:line="16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7.2.</w:t>
      </w:r>
      <w:r>
        <w:rPr>
          <w:sz w:val="20"/>
          <w:szCs w:val="20"/>
          <w:color w:val="auto"/>
        </w:rPr>
        <w:tab/>
      </w:r>
      <w:r>
        <w:rPr>
          <w:rFonts w:ascii="Times New Roman" w:cs="Times New Roman" w:eastAsia="Times New Roman" w:hAnsi="Times New Roman"/>
          <w:sz w:val="19"/>
          <w:szCs w:val="19"/>
          <w:u w:val="single" w:color="auto"/>
          <w:color w:val="auto"/>
        </w:rPr>
        <w:t>Relevant Period</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Relevant Period for the Restrictive Covenant shall be as described below.</w:t>
      </w:r>
    </w:p>
    <w:p>
      <w:pPr>
        <w:spacing w:after="0" w:line="161"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7.2.1</w:t>
      </w:r>
      <w:r>
        <w:rPr>
          <w:sz w:val="20"/>
          <w:szCs w:val="20"/>
          <w:color w:val="auto"/>
        </w:rPr>
        <w:tab/>
      </w:r>
      <w:r>
        <w:rPr>
          <w:rFonts w:ascii="Times New Roman" w:cs="Times New Roman" w:eastAsia="Times New Roman" w:hAnsi="Times New Roman"/>
          <w:sz w:val="20"/>
          <w:szCs w:val="20"/>
          <w:u w:val="single" w:color="auto"/>
          <w:color w:val="auto"/>
        </w:rPr>
        <w:t>District of Colombia</w:t>
      </w:r>
      <w:r>
        <w:rPr>
          <w:rFonts w:ascii="Times New Roman" w:cs="Times New Roman" w:eastAsia="Times New Roman" w:hAnsi="Times New Roman"/>
          <w:sz w:val="20"/>
          <w:szCs w:val="20"/>
          <w:color w:val="auto"/>
        </w:rPr>
        <w:t>. The Relevant Period shall mean the period of twelve (12) months following the date on which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 Colleague ceases to be employed by Employer.</w:t>
      </w:r>
    </w:p>
    <w:p>
      <w:pPr>
        <w:spacing w:after="0" w:line="161"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7.2.2</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Relevant Period shall mean the period of twelve (12)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 unless the Colleague has breached his or her fiduciary duty to the Company Group or the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21" w:name="page122"/>
    <w:bookmarkEnd w:id="121"/>
    <w:p>
      <w:pPr>
        <w:ind w:left="1500"/>
        <w:spacing w:after="0"/>
        <w:rPr>
          <w:sz w:val="20"/>
          <w:szCs w:val="20"/>
          <w:color w:val="auto"/>
        </w:rPr>
      </w:pPr>
      <w:r>
        <w:rPr>
          <w:rFonts w:ascii="Times New Roman" w:cs="Times New Roman" w:eastAsia="Times New Roman" w:hAnsi="Times New Roman"/>
          <w:sz w:val="20"/>
          <w:szCs w:val="20"/>
          <w:color w:val="auto"/>
        </w:rPr>
        <w:t>Colleague has unlawfully taken, physically or electronically, property belonging to the Company Group.</w:t>
      </w:r>
    </w:p>
    <w:p>
      <w:pPr>
        <w:spacing w:after="0" w:line="215"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7.2.3</w:t>
      </w:r>
      <w:r>
        <w:rPr>
          <w:sz w:val="20"/>
          <w:szCs w:val="20"/>
          <w:color w:val="auto"/>
        </w:rPr>
        <w:tab/>
      </w:r>
      <w:r>
        <w:rPr>
          <w:rFonts w:ascii="Times New Roman" w:cs="Times New Roman" w:eastAsia="Times New Roman" w:hAnsi="Times New Roman"/>
          <w:sz w:val="20"/>
          <w:szCs w:val="20"/>
          <w:u w:val="single" w:color="auto"/>
          <w:color w:val="auto"/>
        </w:rPr>
        <w:t>Montana</w:t>
      </w:r>
      <w:r>
        <w:rPr>
          <w:rFonts w:ascii="Times New Roman" w:cs="Times New Roman" w:eastAsia="Times New Roman" w:hAnsi="Times New Roman"/>
          <w:sz w:val="20"/>
          <w:szCs w:val="20"/>
          <w:color w:val="auto"/>
        </w:rPr>
        <w:t>. The Relevant Period shall mean the period of twelve (12)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7.2.4</w:t>
      </w:r>
      <w:r>
        <w:rPr>
          <w:sz w:val="20"/>
          <w:szCs w:val="20"/>
          <w:color w:val="auto"/>
        </w:rPr>
        <w:tab/>
      </w:r>
      <w:r>
        <w:rPr>
          <w:rFonts w:ascii="Times New Roman" w:cs="Times New Roman" w:eastAsia="Times New Roman" w:hAnsi="Times New Roman"/>
          <w:sz w:val="20"/>
          <w:szCs w:val="20"/>
          <w:u w:val="single" w:color="auto"/>
          <w:color w:val="auto"/>
        </w:rPr>
        <w:t>Utah</w:t>
      </w:r>
      <w:r>
        <w:rPr>
          <w:rFonts w:ascii="Times New Roman" w:cs="Times New Roman" w:eastAsia="Times New Roman" w:hAnsi="Times New Roman"/>
          <w:sz w:val="20"/>
          <w:szCs w:val="20"/>
          <w:color w:val="auto"/>
        </w:rPr>
        <w:t>. The Relevant Period shall mean the period of twelve (12) months following the date on which the Colleague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ceases to be employed by Employer.</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7.2.5</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The Relevant Period shall mean the period of eighteen (18) months following the date on which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 ceases to be employed by Employer.</w:t>
      </w:r>
    </w:p>
    <w:p>
      <w:pPr>
        <w:spacing w:after="0" w:line="16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u w:val="single" w:color="auto"/>
          <w:color w:val="auto"/>
        </w:rPr>
        <w:t>7.3.</w:t>
      </w:r>
      <w:r>
        <w:rPr>
          <w:sz w:val="20"/>
          <w:szCs w:val="20"/>
          <w:color w:val="auto"/>
        </w:rPr>
        <w:tab/>
      </w:r>
      <w:r>
        <w:rPr>
          <w:rFonts w:ascii="Times New Roman" w:cs="Times New Roman" w:eastAsia="Times New Roman" w:hAnsi="Times New Roman"/>
          <w:sz w:val="19"/>
          <w:szCs w:val="19"/>
          <w:u w:val="single" w:color="auto"/>
          <w:color w:val="auto"/>
        </w:rPr>
        <w:t>Salary Requirements</w:t>
      </w:r>
    </w:p>
    <w:p>
      <w:pPr>
        <w:spacing w:after="0" w:line="215"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Restrictive Covenant shall only apply to Colleagues who meet the following salary qualifications:</w:t>
      </w:r>
    </w:p>
    <w:p>
      <w:pPr>
        <w:spacing w:after="0" w:line="161" w:lineRule="exact"/>
        <w:rPr>
          <w:sz w:val="20"/>
          <w:szCs w:val="20"/>
          <w:color w:val="auto"/>
        </w:rPr>
      </w:pPr>
    </w:p>
    <w:p>
      <w:pPr>
        <w:jc w:val="both"/>
        <w:ind w:left="1500" w:hanging="748"/>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7.3.1</w:t>
      </w:r>
      <w:r>
        <w:rPr>
          <w:sz w:val="20"/>
          <w:szCs w:val="20"/>
          <w:color w:val="auto"/>
        </w:rPr>
        <w:tab/>
      </w:r>
      <w:r>
        <w:rPr>
          <w:rFonts w:ascii="Times New Roman" w:cs="Times New Roman" w:eastAsia="Times New Roman" w:hAnsi="Times New Roman"/>
          <w:sz w:val="20"/>
          <w:szCs w:val="20"/>
          <w:u w:val="single" w:color="auto"/>
          <w:color w:val="auto"/>
        </w:rPr>
        <w:t>District of Colombia</w:t>
      </w:r>
      <w:r>
        <w:rPr>
          <w:rFonts w:ascii="Times New Roman" w:cs="Times New Roman" w:eastAsia="Times New Roman" w:hAnsi="Times New Roman"/>
          <w:sz w:val="20"/>
          <w:szCs w:val="20"/>
          <w:color w:val="auto"/>
        </w:rPr>
        <w:t>. The Colleague is (i) reasonably expected to earn from the Employer in a consecutive 12-month</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period compensation greater than or equal to the minimum qualifying annual compensation, or (ii) the Colleague’s compensation earned from the Employer in the consecutive 12-month period preceding the start of the Relevant Period is greater than or equal to the minimum qualifying annual compensation, as defined by the Ban on Non-Compete Agreements Amendment Act (BNAAA) DC ST § 32-581.01(10) and (13), and adjusted in accordance with the BNAAA.</w:t>
      </w:r>
    </w:p>
    <w:p>
      <w:pPr>
        <w:spacing w:after="0" w:line="183"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7.3.2</w:t>
      </w:r>
      <w:r>
        <w:rPr>
          <w:sz w:val="20"/>
          <w:szCs w:val="20"/>
          <w:color w:val="auto"/>
        </w:rPr>
        <w:tab/>
      </w:r>
      <w:r>
        <w:rPr>
          <w:rFonts w:ascii="Times New Roman" w:cs="Times New Roman" w:eastAsia="Times New Roman" w:hAnsi="Times New Roman"/>
          <w:sz w:val="20"/>
          <w:szCs w:val="20"/>
          <w:u w:val="single" w:color="auto"/>
          <w:color w:val="auto"/>
        </w:rPr>
        <w:t>Illinois</w:t>
      </w:r>
      <w:r>
        <w:rPr>
          <w:rFonts w:ascii="Times New Roman" w:cs="Times New Roman" w:eastAsia="Times New Roman" w:hAnsi="Times New Roman"/>
          <w:sz w:val="20"/>
          <w:szCs w:val="20"/>
          <w:color w:val="auto"/>
        </w:rPr>
        <w:t>. The Colleague’s actual or expected annualized rate of earnings exceeds the statutory amount set in the Illinois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Freedom to Work Act (IFWA) 820 ILCS 90/10, as adjusted in accordance with the IFWA.</w:t>
      </w:r>
    </w:p>
    <w:p>
      <w:pPr>
        <w:spacing w:after="0" w:line="161"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7.3.3</w:t>
      </w:r>
      <w:r>
        <w:rPr>
          <w:sz w:val="20"/>
          <w:szCs w:val="20"/>
          <w:color w:val="auto"/>
        </w:rPr>
        <w:tab/>
      </w:r>
      <w:r>
        <w:rPr>
          <w:rFonts w:ascii="Times New Roman" w:cs="Times New Roman" w:eastAsia="Times New Roman" w:hAnsi="Times New Roman"/>
          <w:sz w:val="19"/>
          <w:szCs w:val="19"/>
          <w:u w:val="single" w:color="auto"/>
          <w:color w:val="auto"/>
        </w:rPr>
        <w:t>Maine</w:t>
      </w:r>
      <w:r>
        <w:rPr>
          <w:rFonts w:ascii="Times New Roman" w:cs="Times New Roman" w:eastAsia="Times New Roman" w:hAnsi="Times New Roman"/>
          <w:sz w:val="19"/>
          <w:szCs w:val="19"/>
          <w:color w:val="auto"/>
        </w:rPr>
        <w:t>. The Colleague earns wages equal to, or greater than, 400% of the federal poverty level.</w:t>
      </w:r>
    </w:p>
    <w:p>
      <w:pPr>
        <w:spacing w:after="0" w:line="21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7.3.4</w:t>
      </w:r>
      <w:r>
        <w:rPr>
          <w:sz w:val="20"/>
          <w:szCs w:val="20"/>
          <w:color w:val="auto"/>
        </w:rPr>
        <w:tab/>
      </w:r>
      <w:r>
        <w:rPr>
          <w:rFonts w:ascii="Times New Roman" w:cs="Times New Roman" w:eastAsia="Times New Roman" w:hAnsi="Times New Roman"/>
          <w:sz w:val="19"/>
          <w:szCs w:val="19"/>
          <w:u w:val="single" w:color="auto"/>
          <w:color w:val="auto"/>
        </w:rPr>
        <w:t>Maryland</w:t>
      </w:r>
      <w:r>
        <w:rPr>
          <w:rFonts w:ascii="Times New Roman" w:cs="Times New Roman" w:eastAsia="Times New Roman" w:hAnsi="Times New Roman"/>
          <w:sz w:val="19"/>
          <w:szCs w:val="19"/>
          <w:color w:val="auto"/>
        </w:rPr>
        <w:t>. The Colleague earns at least 150% of the Maryland minimum wage rate.</w:t>
      </w:r>
    </w:p>
    <w:p>
      <w:pPr>
        <w:spacing w:after="0" w:line="215"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7.3.5</w:t>
      </w:r>
      <w:r>
        <w:rPr>
          <w:sz w:val="20"/>
          <w:szCs w:val="20"/>
          <w:color w:val="auto"/>
        </w:rPr>
        <w:tab/>
      </w:r>
      <w:r>
        <w:rPr>
          <w:rFonts w:ascii="Times New Roman" w:cs="Times New Roman" w:eastAsia="Times New Roman" w:hAnsi="Times New Roman"/>
          <w:sz w:val="19"/>
          <w:szCs w:val="19"/>
          <w:u w:val="single" w:color="auto"/>
          <w:color w:val="auto"/>
        </w:rPr>
        <w:t>New Hampshire</w:t>
      </w:r>
      <w:r>
        <w:rPr>
          <w:rFonts w:ascii="Times New Roman" w:cs="Times New Roman" w:eastAsia="Times New Roman" w:hAnsi="Times New Roman"/>
          <w:sz w:val="19"/>
          <w:szCs w:val="19"/>
          <w:color w:val="auto"/>
        </w:rPr>
        <w:t>. The Colleague earns an hourly rate that exceeds 200% of the federal minimum wage.</w:t>
      </w:r>
    </w:p>
    <w:p>
      <w:pPr>
        <w:spacing w:after="0" w:line="215"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7.3.6</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Colleague’s total annual compensation (including commissions) at termination exceeds a minimum</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amount set under Section 653.295 of the Oregon Revised Statutes (ORS), as adjusted in accordance with the ORS.</w:t>
      </w:r>
    </w:p>
    <w:p>
      <w:pPr>
        <w:spacing w:after="0" w:line="161" w:lineRule="exact"/>
        <w:rPr>
          <w:sz w:val="20"/>
          <w:szCs w:val="20"/>
          <w:color w:val="auto"/>
        </w:rPr>
      </w:pPr>
    </w:p>
    <w:p>
      <w:pPr>
        <w:jc w:val="both"/>
        <w:ind w:left="1500" w:hanging="748"/>
        <w:spacing w:after="0" w:line="273" w:lineRule="auto"/>
        <w:tabs>
          <w:tab w:leader="none" w:pos="1480" w:val="left"/>
        </w:tabs>
        <w:rPr>
          <w:sz w:val="20"/>
          <w:szCs w:val="20"/>
          <w:color w:val="auto"/>
        </w:rPr>
      </w:pPr>
      <w:r>
        <w:rPr>
          <w:rFonts w:ascii="Times New Roman" w:cs="Times New Roman" w:eastAsia="Times New Roman" w:hAnsi="Times New Roman"/>
          <w:sz w:val="20"/>
          <w:szCs w:val="20"/>
          <w:color w:val="auto"/>
        </w:rPr>
        <w:t>7.3.7</w:t>
      </w:r>
      <w:r>
        <w:rPr>
          <w:sz w:val="20"/>
          <w:szCs w:val="20"/>
          <w:color w:val="auto"/>
        </w:rPr>
        <w:tab/>
      </w:r>
      <w:r>
        <w:rPr>
          <w:rFonts w:ascii="Times New Roman" w:cs="Times New Roman" w:eastAsia="Times New Roman" w:hAnsi="Times New Roman"/>
          <w:sz w:val="19"/>
          <w:szCs w:val="19"/>
          <w:u w:val="single" w:color="auto"/>
          <w:color w:val="auto"/>
        </w:rPr>
        <w:t>Rhode Island</w:t>
      </w:r>
      <w:r>
        <w:rPr>
          <w:rFonts w:ascii="Times New Roman" w:cs="Times New Roman" w:eastAsia="Times New Roman" w:hAnsi="Times New Roman"/>
          <w:sz w:val="19"/>
          <w:szCs w:val="19"/>
          <w:color w:val="auto"/>
        </w:rPr>
        <w:t>. The Colleague’s average annual earnings (as defined under the Rhode Island Noncompetition</w:t>
      </w:r>
      <w:r>
        <w:rPr>
          <w:rFonts w:ascii="Times New Roman" w:cs="Times New Roman" w:eastAsia="Times New Roman" w:hAnsi="Times New Roman"/>
          <w:sz w:val="19"/>
          <w:szCs w:val="19"/>
          <w:u w:val="single" w:color="auto"/>
          <w:color w:val="auto"/>
        </w:rPr>
        <w:t xml:space="preserve"> </w:t>
      </w:r>
      <w:r>
        <w:rPr>
          <w:rFonts w:ascii="Times New Roman" w:cs="Times New Roman" w:eastAsia="Times New Roman" w:hAnsi="Times New Roman"/>
          <w:sz w:val="19"/>
          <w:szCs w:val="19"/>
          <w:color w:val="auto"/>
        </w:rPr>
        <w:t>Agreement Act (RINAA) Gen.Laws 1956, § 28-59-2(2)) are more than 250% of the federal poverty level for individuals as established by the United States Department of Health and Human Services federal poverty guidelines.</w:t>
      </w:r>
    </w:p>
    <w:p>
      <w:pPr>
        <w:spacing w:after="0" w:line="158" w:lineRule="exact"/>
        <w:rPr>
          <w:sz w:val="20"/>
          <w:szCs w:val="20"/>
          <w:color w:val="auto"/>
        </w:rPr>
      </w:pPr>
    </w:p>
    <w:p>
      <w:pPr>
        <w:jc w:val="both"/>
        <w:ind w:left="1500" w:right="2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7.3.8</w:t>
      </w:r>
      <w:r>
        <w:rPr>
          <w:sz w:val="20"/>
          <w:szCs w:val="20"/>
          <w:color w:val="auto"/>
        </w:rPr>
        <w:tab/>
      </w:r>
      <w:r>
        <w:rPr>
          <w:rFonts w:ascii="Times New Roman" w:cs="Times New Roman" w:eastAsia="Times New Roman" w:hAnsi="Times New Roman"/>
          <w:sz w:val="20"/>
          <w:szCs w:val="20"/>
          <w:u w:val="single" w:color="auto"/>
          <w:color w:val="auto"/>
        </w:rPr>
        <w:t>Virginia</w:t>
      </w:r>
      <w:r>
        <w:rPr>
          <w:rFonts w:ascii="Times New Roman" w:cs="Times New Roman" w:eastAsia="Times New Roman" w:hAnsi="Times New Roman"/>
          <w:sz w:val="20"/>
          <w:szCs w:val="20"/>
          <w:color w:val="auto"/>
        </w:rPr>
        <w:t>. The Colleague is not considered a “low wage employee”, as defined under Section 40.1-28.7:8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Virginia Code.</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7.3.9</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The Colleague’s annualized earnings exceed the statutory threshold as described by the Revised Code of</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Washington (RCW) 49.62.040, as adjusted in accordance with the RCW.</w:t>
      </w:r>
    </w:p>
    <w:p>
      <w:pPr>
        <w:spacing w:after="0" w:line="15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623570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03" w:right="339" w:bottom="1440" w:gutter="0" w:footer="0" w:header="0"/>
        </w:sectPr>
      </w:pPr>
    </w:p>
    <w:bookmarkStart w:id="122" w:name="page123"/>
    <w:bookmarkEnd w:id="122"/>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7.4.</w:t>
      </w:r>
      <w:r>
        <w:rPr>
          <w:sz w:val="20"/>
          <w:szCs w:val="20"/>
          <w:color w:val="auto"/>
        </w:rPr>
        <w:tab/>
      </w:r>
      <w:r>
        <w:rPr>
          <w:rFonts w:ascii="Times New Roman" w:cs="Times New Roman" w:eastAsia="Times New Roman" w:hAnsi="Times New Roman"/>
          <w:sz w:val="19"/>
          <w:szCs w:val="19"/>
          <w:u w:val="single" w:color="auto"/>
          <w:color w:val="auto"/>
        </w:rPr>
        <w:t>Employee Qualifications</w:t>
      </w:r>
    </w:p>
    <w:p>
      <w:pPr>
        <w:spacing w:after="0" w:line="215" w:lineRule="exact"/>
        <w:rPr>
          <w:sz w:val="20"/>
          <w:szCs w:val="20"/>
          <w:color w:val="auto"/>
        </w:rPr>
      </w:pPr>
    </w:p>
    <w:p>
      <w:pPr>
        <w:ind w:left="380"/>
        <w:spacing w:after="0" w:line="268" w:lineRule="auto"/>
        <w:rPr>
          <w:sz w:val="20"/>
          <w:szCs w:val="20"/>
          <w:color w:val="auto"/>
        </w:rPr>
      </w:pPr>
      <w:r>
        <w:rPr>
          <w:rFonts w:ascii="Times New Roman" w:cs="Times New Roman" w:eastAsia="Times New Roman" w:hAnsi="Times New Roman"/>
          <w:sz w:val="20"/>
          <w:szCs w:val="20"/>
          <w:color w:val="auto"/>
        </w:rPr>
        <w:t>For Colleagues who primarily reside or work in the states below, the Restrictive Covenant shall only apply to Colleagues who meet the following qualifications:</w:t>
      </w:r>
    </w:p>
    <w:p>
      <w:pPr>
        <w:spacing w:after="0" w:line="161" w:lineRule="exact"/>
        <w:rPr>
          <w:sz w:val="20"/>
          <w:szCs w:val="20"/>
          <w:color w:val="auto"/>
        </w:rPr>
      </w:pPr>
    </w:p>
    <w:p>
      <w:pPr>
        <w:jc w:val="both"/>
        <w:ind w:left="1880" w:hanging="748"/>
        <w:spacing w:after="0" w:line="245" w:lineRule="auto"/>
        <w:tabs>
          <w:tab w:leader="none" w:pos="1860" w:val="left"/>
        </w:tabs>
        <w:rPr>
          <w:sz w:val="20"/>
          <w:szCs w:val="20"/>
          <w:color w:val="auto"/>
        </w:rPr>
      </w:pPr>
      <w:r>
        <w:rPr>
          <w:rFonts w:ascii="Times New Roman" w:cs="Times New Roman" w:eastAsia="Times New Roman" w:hAnsi="Times New Roman"/>
          <w:sz w:val="20"/>
          <w:szCs w:val="20"/>
          <w:color w:val="auto"/>
        </w:rPr>
        <w:t>7.4.1</w:t>
      </w:r>
      <w:r>
        <w:rPr>
          <w:sz w:val="20"/>
          <w:szCs w:val="20"/>
          <w:color w:val="auto"/>
        </w:rPr>
        <w:tab/>
      </w:r>
      <w:r>
        <w:rPr>
          <w:rFonts w:ascii="Times New Roman" w:cs="Times New Roman" w:eastAsia="Times New Roman" w:hAnsi="Times New Roman"/>
          <w:sz w:val="20"/>
          <w:szCs w:val="20"/>
          <w:u w:val="single" w:color="auto"/>
          <w:color w:val="auto"/>
        </w:rPr>
        <w:t>Georgia</w:t>
      </w:r>
      <w:r>
        <w:rPr>
          <w:rFonts w:ascii="Times New Roman" w:cs="Times New Roman" w:eastAsia="Times New Roman" w:hAnsi="Times New Roman"/>
          <w:sz w:val="20"/>
          <w:szCs w:val="20"/>
          <w:color w:val="auto"/>
        </w:rPr>
        <w:t>. The Colleague (i) customarily and regularly solicits customers or prospective customers for his or her</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employer, (ii) customarily and regularly engages in making sales or obtaining orders or contracts for products or services to be performed by others, (iii) has the authority to hire or fire other employees or particular weight is given to the Participant’s suggestions and recommendations as to the hiring, firing, advancement, promotion, or any other change of status of other employees, or (iv) performs the duties of a “key employee” or professional under Georgia law.</w:t>
      </w:r>
    </w:p>
    <w:p>
      <w:pPr>
        <w:spacing w:after="0" w:line="183" w:lineRule="exact"/>
        <w:rPr>
          <w:sz w:val="20"/>
          <w:szCs w:val="20"/>
          <w:color w:val="auto"/>
        </w:rPr>
      </w:pPr>
    </w:p>
    <w:p>
      <w:pPr>
        <w:ind w:left="1140"/>
        <w:spacing w:after="0"/>
        <w:tabs>
          <w:tab w:leader="none" w:pos="1860" w:val="left"/>
        </w:tabs>
        <w:rPr>
          <w:sz w:val="20"/>
          <w:szCs w:val="20"/>
          <w:color w:val="auto"/>
        </w:rPr>
      </w:pPr>
      <w:r>
        <w:rPr>
          <w:rFonts w:ascii="Times New Roman" w:cs="Times New Roman" w:eastAsia="Times New Roman" w:hAnsi="Times New Roman"/>
          <w:sz w:val="20"/>
          <w:szCs w:val="20"/>
          <w:color w:val="auto"/>
        </w:rPr>
        <w:t>7.4.2</w:t>
      </w:r>
      <w:r>
        <w:rPr>
          <w:sz w:val="20"/>
          <w:szCs w:val="20"/>
          <w:color w:val="auto"/>
        </w:rPr>
        <w:tab/>
      </w:r>
      <w:r>
        <w:rPr>
          <w:rFonts w:ascii="Times New Roman" w:cs="Times New Roman" w:eastAsia="Times New Roman" w:hAnsi="Times New Roman"/>
          <w:sz w:val="19"/>
          <w:szCs w:val="19"/>
          <w:u w:val="single" w:color="auto"/>
          <w:color w:val="auto"/>
        </w:rPr>
        <w:t>Idaho</w:t>
      </w:r>
      <w:r>
        <w:rPr>
          <w:rFonts w:ascii="Times New Roman" w:cs="Times New Roman" w:eastAsia="Times New Roman" w:hAnsi="Times New Roman"/>
          <w:sz w:val="19"/>
          <w:szCs w:val="19"/>
          <w:color w:val="auto"/>
        </w:rPr>
        <w:t>. The Colleague performs the duties of a “key employee” or “key independent contractors” under Idaho law.</w:t>
      </w:r>
    </w:p>
    <w:p>
      <w:pPr>
        <w:spacing w:after="0" w:line="215" w:lineRule="exact"/>
        <w:rPr>
          <w:sz w:val="20"/>
          <w:szCs w:val="20"/>
          <w:color w:val="auto"/>
        </w:rPr>
      </w:pPr>
    </w:p>
    <w:p>
      <w:pPr>
        <w:jc w:val="both"/>
        <w:ind w:left="1880" w:hanging="748"/>
        <w:spacing w:after="0" w:line="268" w:lineRule="auto"/>
        <w:tabs>
          <w:tab w:leader="none" w:pos="1860" w:val="left"/>
        </w:tabs>
        <w:rPr>
          <w:sz w:val="20"/>
          <w:szCs w:val="20"/>
          <w:color w:val="auto"/>
        </w:rPr>
      </w:pPr>
      <w:r>
        <w:rPr>
          <w:rFonts w:ascii="Times New Roman" w:cs="Times New Roman" w:eastAsia="Times New Roman" w:hAnsi="Times New Roman"/>
          <w:sz w:val="20"/>
          <w:szCs w:val="20"/>
          <w:color w:val="auto"/>
        </w:rPr>
        <w:t>7.4.3</w:t>
      </w:r>
      <w:r>
        <w:rPr>
          <w:sz w:val="20"/>
          <w:szCs w:val="20"/>
          <w:color w:val="auto"/>
        </w:rPr>
        <w:tab/>
      </w:r>
      <w:r>
        <w:rPr>
          <w:rFonts w:ascii="Times New Roman" w:cs="Times New Roman" w:eastAsia="Times New Roman" w:hAnsi="Times New Roman"/>
          <w:sz w:val="20"/>
          <w:szCs w:val="20"/>
          <w:u w:val="single" w:color="auto"/>
          <w:color w:val="auto"/>
        </w:rPr>
        <w:t>Massachusetts</w:t>
      </w:r>
      <w:r>
        <w:rPr>
          <w:rFonts w:ascii="Times New Roman" w:cs="Times New Roman" w:eastAsia="Times New Roman" w:hAnsi="Times New Roman"/>
          <w:sz w:val="20"/>
          <w:szCs w:val="20"/>
          <w:color w:val="auto"/>
        </w:rPr>
        <w:t>. The Colleague (i) is classified as exempt under the Fair Labor Standards Act and (ii) was not</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terminated without cause or laid off.</w:t>
      </w:r>
    </w:p>
    <w:p>
      <w:pPr>
        <w:spacing w:after="0" w:line="161" w:lineRule="exact"/>
        <w:rPr>
          <w:sz w:val="20"/>
          <w:szCs w:val="20"/>
          <w:color w:val="auto"/>
        </w:rPr>
      </w:pPr>
    </w:p>
    <w:p>
      <w:pPr>
        <w:jc w:val="both"/>
        <w:ind w:left="1880" w:hanging="748"/>
        <w:spacing w:after="0" w:line="249" w:lineRule="auto"/>
        <w:tabs>
          <w:tab w:leader="none" w:pos="1860" w:val="left"/>
        </w:tabs>
        <w:rPr>
          <w:sz w:val="20"/>
          <w:szCs w:val="20"/>
          <w:color w:val="auto"/>
        </w:rPr>
      </w:pPr>
      <w:r>
        <w:rPr>
          <w:rFonts w:ascii="Times New Roman" w:cs="Times New Roman" w:eastAsia="Times New Roman" w:hAnsi="Times New Roman"/>
          <w:sz w:val="20"/>
          <w:szCs w:val="20"/>
          <w:color w:val="auto"/>
        </w:rPr>
        <w:t>7.4.4</w:t>
      </w:r>
      <w:r>
        <w:rPr>
          <w:sz w:val="20"/>
          <w:szCs w:val="20"/>
          <w:color w:val="auto"/>
        </w:rPr>
        <w:tab/>
      </w:r>
      <w:r>
        <w:rPr>
          <w:rFonts w:ascii="Times New Roman" w:cs="Times New Roman" w:eastAsia="Times New Roman" w:hAnsi="Times New Roman"/>
          <w:sz w:val="20"/>
          <w:szCs w:val="20"/>
          <w:u w:val="single" w:color="auto"/>
          <w:color w:val="auto"/>
        </w:rPr>
        <w:t>Nevada</w:t>
      </w:r>
      <w:r>
        <w:rPr>
          <w:rFonts w:ascii="Times New Roman" w:cs="Times New Roman" w:eastAsia="Times New Roman" w:hAnsi="Times New Roman"/>
          <w:sz w:val="20"/>
          <w:szCs w:val="20"/>
          <w:color w:val="auto"/>
        </w:rPr>
        <w:t>. The Colleague (i) is not paid solely on an hourly wage basis, exclusive of any tips or gratuities, and (ii)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Colleague’s termination was not part of a reduction of force, reorganization, or similar restructuring of the Company Group (unless the Company Group pays the Colleague’s salary, benefits, or equivalent compensation, including severance pay, if any, during the Relevant Period).</w:t>
      </w:r>
    </w:p>
    <w:p>
      <w:pPr>
        <w:spacing w:after="0" w:line="178" w:lineRule="exact"/>
        <w:rPr>
          <w:sz w:val="20"/>
          <w:szCs w:val="20"/>
          <w:color w:val="auto"/>
        </w:rPr>
      </w:pPr>
    </w:p>
    <w:p>
      <w:pPr>
        <w:jc w:val="both"/>
        <w:ind w:left="1880" w:hanging="748"/>
        <w:spacing w:after="0" w:line="253" w:lineRule="auto"/>
        <w:tabs>
          <w:tab w:leader="none" w:pos="1860" w:val="left"/>
        </w:tabs>
        <w:rPr>
          <w:sz w:val="20"/>
          <w:szCs w:val="20"/>
          <w:color w:val="auto"/>
        </w:rPr>
      </w:pPr>
      <w:r>
        <w:rPr>
          <w:rFonts w:ascii="Times New Roman" w:cs="Times New Roman" w:eastAsia="Times New Roman" w:hAnsi="Times New Roman"/>
          <w:sz w:val="20"/>
          <w:szCs w:val="20"/>
          <w:color w:val="auto"/>
        </w:rPr>
        <w:t>7.4.5</w:t>
      </w:r>
      <w:r>
        <w:rPr>
          <w:sz w:val="20"/>
          <w:szCs w:val="20"/>
          <w:color w:val="auto"/>
        </w:rPr>
        <w:tab/>
      </w:r>
      <w:r>
        <w:rPr>
          <w:rFonts w:ascii="Times New Roman" w:cs="Times New Roman" w:eastAsia="Times New Roman" w:hAnsi="Times New Roman"/>
          <w:sz w:val="20"/>
          <w:szCs w:val="20"/>
          <w:u w:val="single" w:color="auto"/>
          <w:color w:val="auto"/>
        </w:rPr>
        <w:t>Oregon</w:t>
      </w:r>
      <w:r>
        <w:rPr>
          <w:rFonts w:ascii="Times New Roman" w:cs="Times New Roman" w:eastAsia="Times New Roman" w:hAnsi="Times New Roman"/>
          <w:sz w:val="20"/>
          <w:szCs w:val="20"/>
          <w:color w:val="auto"/>
        </w:rPr>
        <w:t>. The Colleague who (i) is engaged in administrative, executive, or professional work, (ii) performs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predominantly intellectual, managerial, or creative tasks, (iii) exercises discretion and independent judgment, and (iv) is paid on a salary basis.</w:t>
      </w:r>
    </w:p>
    <w:p>
      <w:pPr>
        <w:spacing w:after="0" w:line="176"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7.5.</w:t>
      </w:r>
      <w:r>
        <w:rPr>
          <w:sz w:val="20"/>
          <w:szCs w:val="20"/>
          <w:color w:val="auto"/>
        </w:rPr>
        <w:tab/>
      </w:r>
      <w:r>
        <w:rPr>
          <w:rFonts w:ascii="Times New Roman" w:cs="Times New Roman" w:eastAsia="Times New Roman" w:hAnsi="Times New Roman"/>
          <w:sz w:val="19"/>
          <w:szCs w:val="19"/>
          <w:u w:val="single" w:color="auto"/>
          <w:color w:val="auto"/>
        </w:rPr>
        <w:t>Relevant Area</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 Colleagues who primarily reside or work in the states below, the Relevant Area for the Restrictive Covenant shall be as described below.</w:t>
      </w:r>
    </w:p>
    <w:p>
      <w:pPr>
        <w:spacing w:after="0" w:line="226" w:lineRule="exact"/>
        <w:rPr>
          <w:sz w:val="20"/>
          <w:szCs w:val="20"/>
          <w:color w:val="auto"/>
        </w:rPr>
      </w:pPr>
    </w:p>
    <w:p>
      <w:pPr>
        <w:jc w:val="both"/>
        <w:ind w:left="1880" w:hanging="748"/>
        <w:spacing w:after="0" w:line="241" w:lineRule="auto"/>
        <w:tabs>
          <w:tab w:leader="none" w:pos="1860" w:val="left"/>
        </w:tabs>
        <w:rPr>
          <w:sz w:val="20"/>
          <w:szCs w:val="20"/>
          <w:color w:val="auto"/>
        </w:rPr>
      </w:pPr>
      <w:r>
        <w:rPr>
          <w:rFonts w:ascii="Times New Roman" w:cs="Times New Roman" w:eastAsia="Times New Roman" w:hAnsi="Times New Roman"/>
          <w:sz w:val="20"/>
          <w:szCs w:val="20"/>
          <w:color w:val="auto"/>
        </w:rPr>
        <w:t>7.5.1</w:t>
      </w:r>
      <w:r>
        <w:rPr>
          <w:sz w:val="20"/>
          <w:szCs w:val="20"/>
          <w:color w:val="auto"/>
        </w:rPr>
        <w:tab/>
      </w:r>
      <w:r>
        <w:rPr>
          <w:rFonts w:ascii="Times New Roman" w:cs="Times New Roman" w:eastAsia="Times New Roman" w:hAnsi="Times New Roman"/>
          <w:sz w:val="20"/>
          <w:szCs w:val="20"/>
          <w:u w:val="single" w:color="auto"/>
          <w:color w:val="auto"/>
        </w:rPr>
        <w:t>Louisiana</w:t>
      </w:r>
      <w:r>
        <w:rPr>
          <w:rFonts w:ascii="Times New Roman" w:cs="Times New Roman" w:eastAsia="Times New Roman" w:hAnsi="Times New Roman"/>
          <w:sz w:val="20"/>
          <w:szCs w:val="20"/>
          <w:color w:val="auto"/>
        </w:rPr>
        <w:t>. Within the State of Louisiana, the Relevant Area shall be the following parishes, municipalities, or parts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thereof in which the Company Group conducts business: Acadia Parish, Allen Parish, Ascension Parish, Assumption Parish, Avoyelles Parish, Beauregard Parish, Bienville Parish, Bossier Parish, Caddo Parish, Calcasieu Parish, Caldwell Parish, Cameron Parish, Catahoula Parish, Claiborne Parish, Concordia Parish, DeSoto Parish, East Baton Rouge Parish, East Carroll Parish, East Feliciana Parish, Evangeline Parish, Franklin Parish, Grant Parish, Iberia Parish, Iberville Parish, Jackson Parish, Jefferson Parish, Jefferson Davis Parish, Lafayette Parish, Lafourche Parish, LaSalle Parish, Lincoln Parish, Livingston Parish, Madison Parish, Morehouse Parish, Natchitoches Parish, Orleans Parish, Ouachita Parish, Plaquemines Parish, Pointe Coupee Parish, Rapides Parish, Red River Parish, Richland Parish, Sabine Parish, St. Bernard Parish, St. Charles Parish, St. Helena Parish, St. James Parish, St. John the Baptist Parish, St. Landry Parish, St. Martin Parish, St. Mary Parish, St. Tammany Parish, Tangipahoa Parish, Tensas Parish, Terrebonne Parish, Union Parish, Vermilion Parish, Vernon Parish, Washington Parish, Webster Parish, West Baton Rouge Parish, West Carroll Parish, West Feliciana Parish, and Winn Parish.</w:t>
      </w:r>
    </w:p>
    <w:p>
      <w:pPr>
        <w:spacing w:after="0" w:line="195"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u w:val="single" w:color="auto"/>
          <w:color w:val="auto"/>
        </w:rPr>
        <w:t>7.6.</w:t>
      </w:r>
      <w:r>
        <w:rPr>
          <w:sz w:val="20"/>
          <w:szCs w:val="20"/>
          <w:color w:val="auto"/>
        </w:rPr>
        <w:tab/>
      </w:r>
      <w:r>
        <w:rPr>
          <w:rFonts w:ascii="Times New Roman" w:cs="Times New Roman" w:eastAsia="Times New Roman" w:hAnsi="Times New Roman"/>
          <w:sz w:val="19"/>
          <w:szCs w:val="19"/>
          <w:u w:val="single" w:color="auto"/>
          <w:color w:val="auto"/>
        </w:rPr>
        <w:t>Other Terms and Conditions</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3" w:right="3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20"/>
          <w:szCs w:val="20"/>
          <w:color w:val="auto"/>
        </w:rPr>
        <w:t>For Colleagues who primarily reside or work in the states below, the following terms and conditions shall apply:</w:t>
      </w:r>
    </w:p>
    <w:p>
      <w:pPr>
        <w:spacing w:after="0" w:line="215"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7.6.1</w:t>
      </w:r>
      <w:r>
        <w:rPr>
          <w:sz w:val="20"/>
          <w:szCs w:val="20"/>
          <w:color w:val="auto"/>
        </w:rPr>
        <w:tab/>
      </w:r>
      <w:r>
        <w:rPr>
          <w:rFonts w:ascii="Times New Roman" w:cs="Times New Roman" w:eastAsia="Times New Roman" w:hAnsi="Times New Roman"/>
          <w:sz w:val="20"/>
          <w:szCs w:val="20"/>
          <w:u w:val="single" w:color="auto"/>
          <w:color w:val="auto"/>
        </w:rPr>
        <w:t>Maine</w:t>
      </w:r>
      <w:r>
        <w:rPr>
          <w:rFonts w:ascii="Times New Roman" w:cs="Times New Roman" w:eastAsia="Times New Roman" w:hAnsi="Times New Roman"/>
          <w:sz w:val="20"/>
          <w:szCs w:val="20"/>
          <w:color w:val="auto"/>
        </w:rPr>
        <w:t>. The Restrictive Covenant shall only be effective upon the later of (i) one year after the commencement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Colleague’s employment or (ii) 6 months after the Colleague executes the RCA.</w:t>
      </w:r>
    </w:p>
    <w:p>
      <w:pPr>
        <w:spacing w:after="0" w:line="161" w:lineRule="exact"/>
        <w:rPr>
          <w:sz w:val="20"/>
          <w:szCs w:val="20"/>
          <w:color w:val="auto"/>
        </w:rPr>
      </w:pPr>
    </w:p>
    <w:p>
      <w:pPr>
        <w:jc w:val="both"/>
        <w:ind w:left="1500" w:hanging="748"/>
        <w:spacing w:after="0" w:line="268" w:lineRule="auto"/>
        <w:tabs>
          <w:tab w:leader="none" w:pos="1480" w:val="left"/>
        </w:tabs>
        <w:rPr>
          <w:sz w:val="20"/>
          <w:szCs w:val="20"/>
          <w:color w:val="auto"/>
        </w:rPr>
      </w:pPr>
      <w:r>
        <w:rPr>
          <w:rFonts w:ascii="Times New Roman" w:cs="Times New Roman" w:eastAsia="Times New Roman" w:hAnsi="Times New Roman"/>
          <w:sz w:val="20"/>
          <w:szCs w:val="20"/>
          <w:color w:val="auto"/>
        </w:rPr>
        <w:t>7.6.2</w:t>
      </w:r>
      <w:r>
        <w:rPr>
          <w:sz w:val="20"/>
          <w:szCs w:val="20"/>
          <w:color w:val="auto"/>
        </w:rPr>
        <w:tab/>
      </w:r>
      <w:r>
        <w:rPr>
          <w:rFonts w:ascii="Times New Roman" w:cs="Times New Roman" w:eastAsia="Times New Roman" w:hAnsi="Times New Roman"/>
          <w:sz w:val="20"/>
          <w:szCs w:val="20"/>
          <w:u w:val="single" w:color="auto"/>
          <w:color w:val="auto"/>
        </w:rPr>
        <w:t>Nebraska</w:t>
      </w:r>
      <w:r>
        <w:rPr>
          <w:rFonts w:ascii="Times New Roman" w:cs="Times New Roman" w:eastAsia="Times New Roman" w:hAnsi="Times New Roman"/>
          <w:sz w:val="20"/>
          <w:szCs w:val="20"/>
          <w:color w:val="auto"/>
        </w:rPr>
        <w:t>. The Relevant Client shall refer to the Colleague’s current clients on the date on which the Colleague ceases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be employed by Employer.</w:t>
      </w:r>
    </w:p>
    <w:p>
      <w:pPr>
        <w:spacing w:after="0" w:line="161" w:lineRule="exact"/>
        <w:rPr>
          <w:sz w:val="20"/>
          <w:szCs w:val="20"/>
          <w:color w:val="auto"/>
        </w:rPr>
      </w:pPr>
    </w:p>
    <w:p>
      <w:pPr>
        <w:jc w:val="both"/>
        <w:ind w:left="1500" w:hanging="748"/>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7.6.3</w:t>
      </w:r>
      <w:r>
        <w:rPr>
          <w:sz w:val="20"/>
          <w:szCs w:val="20"/>
          <w:color w:val="auto"/>
        </w:rPr>
        <w:tab/>
      </w:r>
      <w:r>
        <w:rPr>
          <w:rFonts w:ascii="Times New Roman" w:cs="Times New Roman" w:eastAsia="Times New Roman" w:hAnsi="Times New Roman"/>
          <w:sz w:val="20"/>
          <w:szCs w:val="20"/>
          <w:u w:val="single" w:color="auto"/>
          <w:color w:val="auto"/>
        </w:rPr>
        <w:t>Nevada</w:t>
      </w:r>
      <w:r>
        <w:rPr>
          <w:rFonts w:ascii="Times New Roman" w:cs="Times New Roman" w:eastAsia="Times New Roman" w:hAnsi="Times New Roman"/>
          <w:sz w:val="20"/>
          <w:szCs w:val="20"/>
          <w:color w:val="auto"/>
        </w:rPr>
        <w:t>. The Restrictive Covenant shall not restrict the Colleague during the Relevant Period from providing a service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to a former customer or client if (i) the Colleague did not solicit the former customer or client; (ii) the customer or client voluntarily chose to leave and sought the Colleague’s services; and (iii) the Colleague has otherwise complied with the RCA provisions regarding time, geographic area, and scope of the restrained activity, other than any limitation on providing services to a former customer or client of Employer who seeks the services of the Colleague without any contact instigated by the Colleague.</w:t>
      </w:r>
    </w:p>
    <w:p>
      <w:pPr>
        <w:spacing w:after="0" w:line="183" w:lineRule="exact"/>
        <w:rPr>
          <w:sz w:val="20"/>
          <w:szCs w:val="20"/>
          <w:color w:val="auto"/>
        </w:rPr>
      </w:pPr>
    </w:p>
    <w:p>
      <w:pPr>
        <w:ind w:left="760"/>
        <w:spacing w:after="0"/>
        <w:tabs>
          <w:tab w:leader="none" w:pos="1480" w:val="left"/>
        </w:tabs>
        <w:rPr>
          <w:sz w:val="20"/>
          <w:szCs w:val="20"/>
          <w:color w:val="auto"/>
        </w:rPr>
      </w:pPr>
      <w:r>
        <w:rPr>
          <w:rFonts w:ascii="Times New Roman" w:cs="Times New Roman" w:eastAsia="Times New Roman" w:hAnsi="Times New Roman"/>
          <w:sz w:val="20"/>
          <w:szCs w:val="20"/>
          <w:color w:val="auto"/>
        </w:rPr>
        <w:t>7.6.4</w:t>
      </w:r>
      <w:r>
        <w:rPr>
          <w:sz w:val="20"/>
          <w:szCs w:val="20"/>
          <w:color w:val="auto"/>
        </w:rPr>
        <w:tab/>
      </w:r>
      <w:r>
        <w:rPr>
          <w:rFonts w:ascii="Times New Roman" w:cs="Times New Roman" w:eastAsia="Times New Roman" w:hAnsi="Times New Roman"/>
          <w:sz w:val="19"/>
          <w:szCs w:val="19"/>
          <w:u w:val="single" w:color="auto"/>
          <w:color w:val="auto"/>
        </w:rPr>
        <w:t>North Carolina</w:t>
      </w:r>
      <w:r>
        <w:rPr>
          <w:rFonts w:ascii="Times New Roman" w:cs="Times New Roman" w:eastAsia="Times New Roman" w:hAnsi="Times New Roman"/>
          <w:sz w:val="19"/>
          <w:szCs w:val="19"/>
          <w:color w:val="auto"/>
        </w:rPr>
        <w:t>. Section 3.5 of this RCA is replaced and restated in its entirety as follows:</w:t>
      </w:r>
    </w:p>
    <w:p>
      <w:pPr>
        <w:spacing w:after="0" w:line="215" w:lineRule="exact"/>
        <w:rPr>
          <w:sz w:val="20"/>
          <w:szCs w:val="20"/>
          <w:color w:val="auto"/>
        </w:rPr>
      </w:pPr>
    </w:p>
    <w:p>
      <w:pPr>
        <w:jc w:val="both"/>
        <w:ind w:left="1500"/>
        <w:spacing w:after="0" w:line="244" w:lineRule="auto"/>
        <w:rPr>
          <w:sz w:val="20"/>
          <w:szCs w:val="20"/>
          <w:color w:val="auto"/>
        </w:rPr>
      </w:pPr>
      <w:r>
        <w:rPr>
          <w:rFonts w:ascii="Times New Roman" w:cs="Times New Roman" w:eastAsia="Times New Roman" w:hAnsi="Times New Roman"/>
          <w:sz w:val="20"/>
          <w:szCs w:val="20"/>
          <w:color w:val="auto"/>
        </w:rPr>
        <w:t>To the extent the Colleague is a party to an Employment Agreement or other agreement with the Employer, the Company or any Subsidiary that contains post-employment covenants and restrictions, the Restrictive Covenant in Section 3.4.2 of his RCA shall be a part of and integrated into such agreement, and the post-employment covenants and restrictions in such Employment Agreement or other agreement shall be in addition to the covenants and restrictions set forth in Section 3.2, Section 3.3 and Section 3.4 herein. In the event of any conflict between the Restrictive Covenant and any other post-employment covenant and restrictions between the Colleague and the Employer, the Company or any Subsidiary, such other post-employment covenant and/or restrictions shall prevail.</w:t>
      </w:r>
    </w:p>
    <w:p>
      <w:pPr>
        <w:spacing w:after="0" w:line="184" w:lineRule="exact"/>
        <w:rPr>
          <w:sz w:val="20"/>
          <w:szCs w:val="20"/>
          <w:color w:val="auto"/>
        </w:rPr>
      </w:pPr>
    </w:p>
    <w:p>
      <w:pPr>
        <w:jc w:val="both"/>
        <w:ind w:left="1500"/>
        <w:spacing w:after="0" w:line="268" w:lineRule="auto"/>
        <w:rPr>
          <w:sz w:val="20"/>
          <w:szCs w:val="20"/>
          <w:color w:val="auto"/>
        </w:rPr>
      </w:pPr>
      <w:r>
        <w:rPr>
          <w:rFonts w:ascii="Times New Roman" w:cs="Times New Roman" w:eastAsia="Times New Roman" w:hAnsi="Times New Roman"/>
          <w:sz w:val="20"/>
          <w:szCs w:val="20"/>
          <w:color w:val="auto"/>
        </w:rPr>
        <w:t>The Colleague acknowledges that the Award under this Agreement constitutes good and valuable consideration for the RCA.</w:t>
      </w:r>
    </w:p>
    <w:p>
      <w:pPr>
        <w:spacing w:after="0" w:line="161" w:lineRule="exact"/>
        <w:rPr>
          <w:sz w:val="20"/>
          <w:szCs w:val="20"/>
          <w:color w:val="auto"/>
        </w:rPr>
      </w:pPr>
    </w:p>
    <w:p>
      <w:pPr>
        <w:jc w:val="both"/>
        <w:ind w:left="1500" w:hanging="748"/>
        <w:spacing w:after="0" w:line="253" w:lineRule="auto"/>
        <w:tabs>
          <w:tab w:leader="none" w:pos="1480" w:val="left"/>
        </w:tabs>
        <w:rPr>
          <w:sz w:val="20"/>
          <w:szCs w:val="20"/>
          <w:color w:val="auto"/>
        </w:rPr>
      </w:pPr>
      <w:r>
        <w:rPr>
          <w:rFonts w:ascii="Times New Roman" w:cs="Times New Roman" w:eastAsia="Times New Roman" w:hAnsi="Times New Roman"/>
          <w:sz w:val="20"/>
          <w:szCs w:val="20"/>
          <w:color w:val="auto"/>
        </w:rPr>
        <w:t>7.6.5</w:t>
      </w:r>
      <w:r>
        <w:rPr>
          <w:sz w:val="20"/>
          <w:szCs w:val="20"/>
          <w:color w:val="auto"/>
        </w:rPr>
        <w:tab/>
      </w:r>
      <w:r>
        <w:rPr>
          <w:rFonts w:ascii="Times New Roman" w:cs="Times New Roman" w:eastAsia="Times New Roman" w:hAnsi="Times New Roman"/>
          <w:sz w:val="20"/>
          <w:szCs w:val="20"/>
          <w:u w:val="single" w:color="auto"/>
          <w:color w:val="auto"/>
        </w:rPr>
        <w:t>Virginia</w:t>
      </w:r>
      <w:r>
        <w:rPr>
          <w:rFonts w:ascii="Times New Roman" w:cs="Times New Roman" w:eastAsia="Times New Roman" w:hAnsi="Times New Roman"/>
          <w:sz w:val="20"/>
          <w:szCs w:val="20"/>
          <w:color w:val="auto"/>
        </w:rPr>
        <w:t>. The Restrictive Covenant shall not prohibit the Colleague from providing services to the Company Group’s</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customers or clients during the post-employment period of the Relevant Period, if the Colleague did not initiate contact with or solicit such customer or client, to the extent required by Virginia law.</w:t>
      </w:r>
    </w:p>
    <w:p>
      <w:pPr>
        <w:spacing w:after="0" w:line="176" w:lineRule="exact"/>
        <w:rPr>
          <w:sz w:val="20"/>
          <w:szCs w:val="20"/>
          <w:color w:val="auto"/>
        </w:rPr>
      </w:pPr>
    </w:p>
    <w:p>
      <w:pPr>
        <w:jc w:val="both"/>
        <w:ind w:left="1500" w:hanging="748"/>
        <w:spacing w:after="0" w:line="245" w:lineRule="auto"/>
        <w:tabs>
          <w:tab w:leader="none" w:pos="1480" w:val="left"/>
        </w:tabs>
        <w:rPr>
          <w:sz w:val="20"/>
          <w:szCs w:val="20"/>
          <w:color w:val="auto"/>
        </w:rPr>
      </w:pPr>
      <w:r>
        <w:rPr>
          <w:rFonts w:ascii="Times New Roman" w:cs="Times New Roman" w:eastAsia="Times New Roman" w:hAnsi="Times New Roman"/>
          <w:sz w:val="20"/>
          <w:szCs w:val="20"/>
          <w:color w:val="auto"/>
        </w:rPr>
        <w:t>7.6.6</w:t>
      </w:r>
      <w:r>
        <w:rPr>
          <w:sz w:val="20"/>
          <w:szCs w:val="20"/>
          <w:color w:val="auto"/>
        </w:rPr>
        <w:tab/>
      </w:r>
      <w:r>
        <w:rPr>
          <w:rFonts w:ascii="Times New Roman" w:cs="Times New Roman" w:eastAsia="Times New Roman" w:hAnsi="Times New Roman"/>
          <w:sz w:val="20"/>
          <w:szCs w:val="20"/>
          <w:u w:val="single" w:color="auto"/>
          <w:color w:val="auto"/>
        </w:rPr>
        <w:t>Washington</w:t>
      </w:r>
      <w:r>
        <w:rPr>
          <w:rFonts w:ascii="Times New Roman" w:cs="Times New Roman" w:eastAsia="Times New Roman" w:hAnsi="Times New Roman"/>
          <w:sz w:val="20"/>
          <w:szCs w:val="20"/>
          <w:color w:val="auto"/>
        </w:rPr>
        <w:t>. If the Colleague’s employment with Employer ended a result of a layoff, should any member of the</w:t>
      </w:r>
      <w:r>
        <w:rPr>
          <w:rFonts w:ascii="Times New Roman" w:cs="Times New Roman" w:eastAsia="Times New Roman" w:hAnsi="Times New Roman"/>
          <w:sz w:val="20"/>
          <w:szCs w:val="20"/>
          <w:u w:val="single" w:color="auto"/>
          <w:color w:val="auto"/>
        </w:rPr>
        <w:t xml:space="preserve"> </w:t>
      </w:r>
      <w:r>
        <w:rPr>
          <w:rFonts w:ascii="Times New Roman" w:cs="Times New Roman" w:eastAsia="Times New Roman" w:hAnsi="Times New Roman"/>
          <w:sz w:val="20"/>
          <w:szCs w:val="20"/>
          <w:color w:val="auto"/>
        </w:rPr>
        <w:t>Company Group choose to enforce the RCA, then during the Relevant Period, Employer (or other member of the Company Group, as applicable) shall pay the Colleague compensation equivalent to the Colleague’s base salary as of the date on which the Colleague ceases to be employed by Employer, minus any severance or other compensation paid by the Company Group and any compensation the Colleague earns through subsequent noncompetitive employment during the Relevant Period.</w:t>
      </w:r>
    </w:p>
    <w:p>
      <w:pPr>
        <w:spacing w:after="0" w:line="18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20"/>
          <w:szCs w:val="20"/>
          <w:u w:val="single" w:color="auto"/>
          <w:color w:val="auto"/>
        </w:rPr>
        <w:t>7.7.</w:t>
      </w:r>
      <w:r>
        <w:rPr>
          <w:sz w:val="20"/>
          <w:szCs w:val="20"/>
          <w:color w:val="auto"/>
        </w:rPr>
        <w:tab/>
      </w:r>
      <w:r>
        <w:rPr>
          <w:rFonts w:ascii="Times New Roman" w:cs="Times New Roman" w:eastAsia="Times New Roman" w:hAnsi="Times New Roman"/>
          <w:sz w:val="19"/>
          <w:szCs w:val="19"/>
          <w:u w:val="single" w:color="auto"/>
          <w:color w:val="auto"/>
        </w:rPr>
        <w:t>Restrictive Covenant Does Not Apply</w:t>
      </w:r>
    </w:p>
    <w:p>
      <w:pPr>
        <w:spacing w:after="0" w:line="21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623570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303" w:right="339" w:bottom="1440" w:gutter="0" w:footer="0" w:header="0"/>
        </w:sectPr>
      </w:pPr>
    </w:p>
    <w:bookmarkStart w:id="124" w:name="page125"/>
    <w:bookmarkEnd w:id="124"/>
    <w:p>
      <w:pPr>
        <w:jc w:val="both"/>
        <w:spacing w:after="0" w:line="245" w:lineRule="auto"/>
        <w:rPr>
          <w:sz w:val="20"/>
          <w:szCs w:val="20"/>
          <w:color w:val="auto"/>
        </w:rPr>
      </w:pPr>
      <w:r>
        <w:rPr>
          <w:rFonts w:ascii="Times New Roman" w:cs="Times New Roman" w:eastAsia="Times New Roman" w:hAnsi="Times New Roman"/>
          <w:sz w:val="20"/>
          <w:szCs w:val="20"/>
          <w:color w:val="auto"/>
        </w:rPr>
        <w:t>The Restrictive Covenant shall not apply to any Colleague who primarily resides or works in, or transfers employment and/or residency after the Grant Date to, California, Minnesota, North Dakota, or Oklahoma. For any Colleague who primarily resides or works in California, any covenant within any agreement between the Colleague and the Employer that restricts post-employment competition in California, including but not limited to Sections 3.4.1 and 3.4.2, are hereby rescinded and shall be deemed null and void. Notwithstanding the foregoing, all other terms of any such agreement(s), including prohibitions on the use of confidential and proprietary information and trade secrets, remain in full force and effect under California law.</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both"/>
        <w:ind w:right="220" w:firstLine="395"/>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313055</wp:posOffset>
            </wp:positionH>
            <wp:positionV relativeFrom="paragraph">
              <wp:posOffset>153670</wp:posOffset>
            </wp:positionV>
            <wp:extent cx="2157730" cy="47942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2157730" cy="479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B- OUS</w:t>
      </w:r>
    </w:p>
    <w:p>
      <w:pPr>
        <w:spacing w:after="0" w:line="200" w:lineRule="exact"/>
        <w:rPr>
          <w:sz w:val="20"/>
          <w:szCs w:val="20"/>
          <w:color w:val="auto"/>
        </w:rPr>
      </w:pPr>
    </w:p>
    <w:p>
      <w:pPr>
        <w:spacing w:after="0" w:line="352" w:lineRule="exact"/>
        <w:rPr>
          <w:sz w:val="20"/>
          <w:szCs w:val="20"/>
          <w:color w:val="auto"/>
        </w:rPr>
      </w:pPr>
    </w:p>
    <w:p>
      <w:pPr>
        <w:jc w:val="center"/>
        <w:ind w:right="40"/>
        <w:spacing w:after="0" w:line="272" w:lineRule="auto"/>
        <w:rPr>
          <w:sz w:val="20"/>
          <w:szCs w:val="20"/>
          <w:color w:val="auto"/>
        </w:rPr>
      </w:pPr>
      <w:r>
        <w:rPr>
          <w:rFonts w:ascii="Times New Roman" w:cs="Times New Roman" w:eastAsia="Times New Roman" w:hAnsi="Times New Roman"/>
          <w:sz w:val="20"/>
          <w:szCs w:val="20"/>
          <w:b w:val="1"/>
          <w:bCs w:val="1"/>
          <w:color w:val="auto"/>
        </w:rPr>
        <w:t>AGREEMENT OF RESTRICTIVE COVENANTS AND OTHER OBLIGATIONS FOR EMPLOYEES OUTSIDE OF THE UNITED STATES</w:t>
      </w:r>
    </w:p>
    <w:p>
      <w:pPr>
        <w:spacing w:after="0" w:line="386" w:lineRule="exact"/>
        <w:rPr>
          <w:sz w:val="20"/>
          <w:szCs w:val="20"/>
          <w:color w:val="auto"/>
        </w:rPr>
      </w:pPr>
    </w:p>
    <w:p>
      <w:pPr>
        <w:ind w:right="220" w:firstLine="395"/>
        <w:spacing w:after="0" w:line="253" w:lineRule="auto"/>
        <w:rPr>
          <w:sz w:val="20"/>
          <w:szCs w:val="20"/>
          <w:color w:val="auto"/>
        </w:rPr>
      </w:pPr>
      <w:r>
        <w:rPr>
          <w:rFonts w:ascii="Times New Roman" w:cs="Times New Roman" w:eastAsia="Times New Roman" w:hAnsi="Times New Roman"/>
          <w:sz w:val="20"/>
          <w:szCs w:val="20"/>
          <w:color w:val="auto"/>
        </w:rPr>
        <w:t>This Agreement of Restrictive Covenants and Other Obligations for Employees Outside of the United States (the “</w:t>
      </w:r>
      <w:r>
        <w:rPr>
          <w:rFonts w:ascii="Times New Roman" w:cs="Times New Roman" w:eastAsia="Times New Roman" w:hAnsi="Times New Roman"/>
          <w:sz w:val="20"/>
          <w:szCs w:val="20"/>
          <w:u w:val="single" w:color="auto"/>
          <w:color w:val="auto"/>
        </w:rPr>
        <w:t>Non-U.S. RCA</w:t>
      </w:r>
      <w:r>
        <w:rPr>
          <w:rFonts w:ascii="Times New Roman" w:cs="Times New Roman" w:eastAsia="Times New Roman" w:hAnsi="Times New Roman"/>
          <w:sz w:val="20"/>
          <w:szCs w:val="20"/>
          <w:color w:val="auto"/>
        </w:rPr>
        <w:t>”) is entered into by and between Willis Towers Watson Public Limited Company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the Colleague (the “</w:t>
      </w:r>
      <w:r>
        <w:rPr>
          <w:rFonts w:ascii="Times New Roman" w:cs="Times New Roman" w:eastAsia="Times New Roman" w:hAnsi="Times New Roman"/>
          <w:sz w:val="20"/>
          <w:szCs w:val="20"/>
          <w:u w:val="single" w:color="auto"/>
          <w:color w:val="auto"/>
        </w:rPr>
        <w:t>Colleague</w:t>
      </w:r>
      <w:r>
        <w:rPr>
          <w:rFonts w:ascii="Times New Roman" w:cs="Times New Roman" w:eastAsia="Times New Roman" w:hAnsi="Times New Roman"/>
          <w:sz w:val="20"/>
          <w:szCs w:val="20"/>
          <w:color w:val="auto"/>
        </w:rPr>
        <w:t>”) to be effective as of the date the Colleague signs or electronically accepts this Non-U.S. RCA.</w:t>
      </w:r>
    </w:p>
    <w:p>
      <w:pPr>
        <w:spacing w:after="0" w:line="18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Colleague is employed by a Subsidiary of the Company;</w:t>
      </w:r>
    </w:p>
    <w:p>
      <w:pPr>
        <w:spacing w:after="0" w:line="228" w:lineRule="exact"/>
        <w:rPr>
          <w:sz w:val="20"/>
          <w:szCs w:val="20"/>
          <w:color w:val="auto"/>
        </w:rPr>
      </w:pPr>
    </w:p>
    <w:p>
      <w:pPr>
        <w:ind w:right="20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subject to approval by the Committee or the Company’s Share Award Committee, the Colleague has been designated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receive a grant of performance-based restricted share units (“</w:t>
      </w:r>
      <w:r>
        <w:rPr>
          <w:rFonts w:ascii="Times New Roman" w:cs="Times New Roman" w:eastAsia="Times New Roman" w:hAnsi="Times New Roman"/>
          <w:sz w:val="20"/>
          <w:szCs w:val="20"/>
          <w:u w:val="single" w:color="auto"/>
          <w:color w:val="auto"/>
        </w:rPr>
        <w:t>PSUs</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u w:val="single" w:color="auto"/>
          <w:color w:val="auto"/>
        </w:rPr>
        <w:t>Awards</w:t>
      </w:r>
      <w:r>
        <w:rPr>
          <w:rFonts w:ascii="Times New Roman" w:cs="Times New Roman" w:eastAsia="Times New Roman" w:hAnsi="Times New Roman"/>
          <w:sz w:val="20"/>
          <w:szCs w:val="20"/>
          <w:color w:val="auto"/>
        </w:rPr>
        <w:t>”) under the Company’s 2012 Equity Incentive Plan (the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ind w:right="140" w:firstLine="749"/>
        <w:spacing w:after="0" w:line="275" w:lineRule="auto"/>
        <w:rPr>
          <w:sz w:val="20"/>
          <w:szCs w:val="20"/>
          <w:color w:val="auto"/>
        </w:rPr>
      </w:pPr>
      <w:r>
        <w:rPr>
          <w:rFonts w:ascii="Times New Roman" w:cs="Times New Roman" w:eastAsia="Times New Roman" w:hAnsi="Times New Roman"/>
          <w:sz w:val="19"/>
          <w:szCs w:val="19"/>
          <w:b w:val="1"/>
          <w:bCs w:val="1"/>
          <w:color w:val="auto"/>
        </w:rPr>
        <w:t>Whereas</w:t>
      </w:r>
      <w:r>
        <w:rPr>
          <w:rFonts w:ascii="Times New Roman" w:cs="Times New Roman" w:eastAsia="Times New Roman" w:hAnsi="Times New Roman"/>
          <w:sz w:val="19"/>
          <w:szCs w:val="19"/>
          <w:color w:val="auto"/>
        </w:rPr>
        <w:t>, any Award granted to the Colleague is subject to the terms and conditions of the Plan, the award agreement evidencing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the Colleague’s Award (including any country specific terms thereto) and this Non-U.S. RCA, and in consideration of the Award, the Colleague shall enter into and acknowledge their agreement to the terms and conditions of the Plan, the award agreement and this RCA; and</w:t>
      </w:r>
    </w:p>
    <w:p>
      <w:pPr>
        <w:spacing w:after="0" w:line="166"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Colleague acknowledges and agrees that they desire to receive the Award and understands and agrees any such Award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is subject to the terms and conditions set forth in the Plan, the applicable award agreement and this Non-U.S. RCA, and such other written agreements and documentation as the Company or the Employer may require.</w:t>
      </w:r>
    </w:p>
    <w:p>
      <w:pPr>
        <w:spacing w:after="0" w:line="184" w:lineRule="exact"/>
        <w:rPr>
          <w:sz w:val="20"/>
          <w:szCs w:val="20"/>
          <w:color w:val="auto"/>
        </w:rPr>
      </w:pPr>
    </w:p>
    <w:p>
      <w:pPr>
        <w:ind w:right="440"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in consideration of the mutual covenants and promises contained herein and for other valuable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consideration, in particular the Award, the receipt and sufficiency of which is hereby acknowledged in this recital and within Section 6.4 below, the Parties hereto agree, with the intent to be bound, as follows:</w:t>
      </w:r>
    </w:p>
    <w:p>
      <w:pPr>
        <w:spacing w:after="0" w:line="17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Section 8</w:t>
      </w:r>
      <w:r>
        <w:rPr>
          <w:sz w:val="20"/>
          <w:szCs w:val="20"/>
          <w:color w:val="auto"/>
        </w:rPr>
        <w:tab/>
      </w:r>
      <w:r>
        <w:rPr>
          <w:rFonts w:ascii="Times New Roman" w:cs="Times New Roman" w:eastAsia="Times New Roman" w:hAnsi="Times New Roman"/>
          <w:sz w:val="20"/>
          <w:szCs w:val="20"/>
          <w:color w:val="auto"/>
        </w:rPr>
        <w:t>– Recitals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-10795</wp:posOffset>
            </wp:positionV>
            <wp:extent cx="5295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529590" cy="8255"/>
                    </a:xfrm>
                    <a:prstGeom prst="rect">
                      <a:avLst/>
                    </a:prstGeom>
                    <a:noFill/>
                  </pic:spPr>
                </pic:pic>
              </a:graphicData>
            </a:graphic>
          </wp:anchor>
        </w:drawing>
      </w:r>
    </w:p>
    <w:p>
      <w:pPr>
        <w:spacing w:after="0" w:line="19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0"/>
          <w:szCs w:val="20"/>
          <w:color w:val="auto"/>
        </w:rPr>
        <w:t>The Recitals set forth above are an integral part of this Non-U.S. RCA, and are incorporated herein by reference.</w:t>
      </w:r>
    </w:p>
    <w:p>
      <w:pPr>
        <w:spacing w:after="0" w:line="215" w:lineRule="exact"/>
        <w:rPr>
          <w:sz w:val="20"/>
          <w:szCs w:val="20"/>
          <w:color w:val="auto"/>
        </w:rPr>
      </w:pPr>
    </w:p>
    <w:p>
      <w:pPr>
        <w:spacing w:after="0"/>
        <w:tabs>
          <w:tab w:leader="none" w:pos="1360" w:val="left"/>
        </w:tabs>
        <w:rPr>
          <w:sz w:val="20"/>
          <w:szCs w:val="20"/>
          <w:color w:val="auto"/>
        </w:rPr>
      </w:pPr>
      <w:r>
        <w:rPr>
          <w:rFonts w:ascii="Times New Roman" w:cs="Times New Roman" w:eastAsia="Times New Roman" w:hAnsi="Times New Roman"/>
          <w:sz w:val="20"/>
          <w:szCs w:val="20"/>
          <w:u w:val="single" w:color="auto"/>
          <w:color w:val="auto"/>
        </w:rPr>
        <w:t>Section 9</w:t>
      </w:r>
      <w:r>
        <w:rPr>
          <w:sz w:val="20"/>
          <w:szCs w:val="20"/>
          <w:color w:val="auto"/>
        </w:rPr>
        <w:tab/>
      </w:r>
      <w:r>
        <w:rPr>
          <w:rFonts w:ascii="Times New Roman" w:cs="Times New Roman" w:eastAsia="Times New Roman" w:hAnsi="Times New Roman"/>
          <w:sz w:val="19"/>
          <w:szCs w:val="19"/>
          <w:color w:val="auto"/>
        </w:rPr>
        <w:t>– Definitions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839470</wp:posOffset>
            </wp:positionH>
            <wp:positionV relativeFrom="paragraph">
              <wp:posOffset>-10795</wp:posOffset>
            </wp:positionV>
            <wp:extent cx="69024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191" w:lineRule="exact"/>
        <w:rPr>
          <w:sz w:val="20"/>
          <w:szCs w:val="20"/>
          <w:color w:val="auto"/>
        </w:rPr>
      </w:pPr>
    </w:p>
    <w:p>
      <w:pPr>
        <w:ind w:left="380"/>
        <w:spacing w:after="0"/>
        <w:tabs>
          <w:tab w:leader="none" w:pos="1180" w:val="left"/>
        </w:tabs>
        <w:rPr>
          <w:sz w:val="20"/>
          <w:szCs w:val="20"/>
          <w:color w:val="auto"/>
        </w:rPr>
      </w:pPr>
      <w:r>
        <w:rPr>
          <w:rFonts w:ascii="Times New Roman" w:cs="Times New Roman" w:eastAsia="Times New Roman" w:hAnsi="Times New Roman"/>
          <w:sz w:val="20"/>
          <w:szCs w:val="20"/>
          <w:color w:val="auto"/>
        </w:rPr>
        <w:t>2.1.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Award</w:t>
      </w:r>
      <w:r>
        <w:rPr>
          <w:rFonts w:ascii="Times New Roman" w:cs="Times New Roman" w:eastAsia="Times New Roman" w:hAnsi="Times New Roman"/>
          <w:sz w:val="19"/>
          <w:szCs w:val="19"/>
          <w:color w:val="auto"/>
        </w:rPr>
        <w:t>” shall have the meaning as set forth in the recitals.</w:t>
      </w:r>
    </w:p>
    <w:p>
      <w:pPr>
        <w:spacing w:after="0" w:line="188" w:lineRule="exact"/>
        <w:rPr>
          <w:sz w:val="20"/>
          <w:szCs w:val="20"/>
          <w:color w:val="auto"/>
        </w:rPr>
      </w:pPr>
    </w:p>
    <w:p>
      <w:pPr>
        <w:jc w:val="both"/>
        <w:ind w:left="1220" w:right="380" w:hanging="837"/>
        <w:spacing w:after="0" w:line="255" w:lineRule="auto"/>
        <w:tabs>
          <w:tab w:leader="none" w:pos="1200" w:val="left"/>
        </w:tabs>
        <w:rPr>
          <w:sz w:val="20"/>
          <w:szCs w:val="20"/>
          <w:color w:val="auto"/>
        </w:rPr>
      </w:pPr>
      <w:r>
        <w:rPr>
          <w:rFonts w:ascii="Times New Roman" w:cs="Times New Roman" w:eastAsia="Times New Roman" w:hAnsi="Times New Roman"/>
          <w:sz w:val="20"/>
          <w:szCs w:val="20"/>
          <w:color w:val="auto"/>
        </w:rPr>
        <w:t>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Business</w:t>
      </w:r>
      <w:r>
        <w:rPr>
          <w:rFonts w:ascii="Times New Roman" w:cs="Times New Roman" w:eastAsia="Times New Roman" w:hAnsi="Times New Roman"/>
          <w:sz w:val="20"/>
          <w:szCs w:val="20"/>
          <w:color w:val="auto"/>
        </w:rPr>
        <w:t>” shall mean insurance brokerage, reinsurance brokerage, surety brokerage, bond brokerage, insurance agency, underwriting agency, managing general agency, risk management, claims administration, self-insurance, risk management consulting or other business performed by the Restricted Group.</w:t>
      </w:r>
    </w:p>
    <w:p>
      <w:pPr>
        <w:spacing w:after="0" w:line="143" w:lineRule="exact"/>
        <w:rPr>
          <w:sz w:val="20"/>
          <w:szCs w:val="20"/>
          <w:color w:val="auto"/>
        </w:rPr>
      </w:pPr>
    </w:p>
    <w:p>
      <w:pPr>
        <w:ind w:left="380"/>
        <w:spacing w:after="0"/>
        <w:tabs>
          <w:tab w:leader="none" w:pos="1200" w:val="left"/>
        </w:tabs>
        <w:rPr>
          <w:sz w:val="20"/>
          <w:szCs w:val="20"/>
          <w:color w:val="auto"/>
        </w:rPr>
      </w:pPr>
      <w:r>
        <w:rPr>
          <w:rFonts w:ascii="Times New Roman" w:cs="Times New Roman" w:eastAsia="Times New Roman" w:hAnsi="Times New Roman"/>
          <w:sz w:val="20"/>
          <w:szCs w:val="20"/>
          <w:color w:val="auto"/>
        </w:rPr>
        <w:t>2.3.</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Committee</w:t>
      </w:r>
      <w:r>
        <w:rPr>
          <w:rFonts w:ascii="Times New Roman" w:cs="Times New Roman" w:eastAsia="Times New Roman" w:hAnsi="Times New Roman"/>
          <w:sz w:val="19"/>
          <w:szCs w:val="19"/>
          <w:color w:val="auto"/>
        </w:rPr>
        <w:t>” shall have the same meaning as set forth in the Plan or the applicable award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bookmarkStart w:id="126" w:name="page127"/>
    <w:bookmarkEnd w:id="126"/>
    <w:p>
      <w:pPr>
        <w:ind w:left="840" w:right="14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Competitor</w:t>
      </w:r>
      <w:r>
        <w:rPr>
          <w:rFonts w:ascii="Times New Roman" w:cs="Times New Roman" w:eastAsia="Times New Roman" w:hAnsi="Times New Roman"/>
          <w:sz w:val="20"/>
          <w:szCs w:val="20"/>
          <w:color w:val="auto"/>
        </w:rPr>
        <w:t>” shall mean any business principally engaged in insurance brokerage, reinsurance brokerage, surety brokerage, bond brokerage, insurance agency, underwriting agency, managing general agency, risk management, claims administration, self-insurance, risk management consulting or other business which is either performed by the Restricted Group or is a business in which the Restricted Group has taken steps toward engaging.</w:t>
      </w:r>
    </w:p>
    <w:p>
      <w:pPr>
        <w:spacing w:after="0" w:line="147" w:lineRule="exact"/>
        <w:rPr>
          <w:sz w:val="20"/>
          <w:szCs w:val="20"/>
          <w:color w:val="auto"/>
        </w:rPr>
      </w:pPr>
    </w:p>
    <w:p>
      <w:pPr>
        <w:ind w:left="840" w:hanging="837"/>
        <w:spacing w:after="0" w:line="243" w:lineRule="auto"/>
        <w:tabs>
          <w:tab w:leader="none" w:pos="820" w:val="left"/>
        </w:tabs>
        <w:rPr>
          <w:sz w:val="20"/>
          <w:szCs w:val="20"/>
          <w:color w:val="auto"/>
        </w:rPr>
      </w:pPr>
      <w:r>
        <w:rPr>
          <w:rFonts w:ascii="Times New Roman" w:cs="Times New Roman" w:eastAsia="Times New Roman" w:hAnsi="Times New Roman"/>
          <w:sz w:val="20"/>
          <w:szCs w:val="20"/>
          <w:color w:val="auto"/>
        </w:rPr>
        <w:t>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Confidential Information</w:t>
      </w:r>
      <w:r>
        <w:rPr>
          <w:rFonts w:ascii="Times New Roman" w:cs="Times New Roman" w:eastAsia="Times New Roman" w:hAnsi="Times New Roman"/>
          <w:sz w:val="20"/>
          <w:szCs w:val="20"/>
          <w:color w:val="auto"/>
        </w:rPr>
        <w:t>” shall mean all trade secrets and non-public information concerning the financial data, strategic business plans, and other non-public, proprietary, and confidential information of the Restricted Group. Confidential Information includes, but is not limited to, the following information: identities of Relevant Clients and Relevant Prospects; identities of companies from which any Subsidiary obtains insurance coverage for Relevant Clients and Relevant Prospects; policy terms, conditions, rates and expiration dates pertaining to Relevant Clients and Relevant Prospects; risk characteristics of Relevant Clients and Relevant Prospects; and non-public information of the Restricted Group concerning insurance markets for particular risks. Confidential Information shall not include information that is within public domain, provided that Colleague was not responsible, directly or indirectly, for such information entering the public domain without the Restricted Group’s consent.</w:t>
      </w:r>
    </w:p>
    <w:p>
      <w:pPr>
        <w:spacing w:after="0" w:line="156" w:lineRule="exact"/>
        <w:rPr>
          <w:sz w:val="20"/>
          <w:szCs w:val="20"/>
          <w:color w:val="auto"/>
        </w:rPr>
      </w:pPr>
    </w:p>
    <w:p>
      <w:pPr>
        <w:ind w:left="84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2.6.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Directly or indirectly</w:t>
      </w:r>
      <w:r>
        <w:rPr>
          <w:rFonts w:ascii="Times New Roman" w:cs="Times New Roman" w:eastAsia="Times New Roman" w:hAnsi="Times New Roman"/>
          <w:sz w:val="20"/>
          <w:szCs w:val="20"/>
          <w:color w:val="auto"/>
        </w:rPr>
        <w:t>” shall mean the Colleague acting either alone or jointly with or on behalf of or by means of any other person, firm or company (whether as principal, partner, manager, employee, contractor, director, consultant, investor or similar capacity).</w:t>
      </w:r>
    </w:p>
    <w:p>
      <w:pPr>
        <w:spacing w:after="0" w:line="143" w:lineRule="exact"/>
        <w:rPr>
          <w:sz w:val="20"/>
          <w:szCs w:val="20"/>
          <w:color w:val="auto"/>
        </w:rPr>
      </w:pPr>
    </w:p>
    <w:p>
      <w:pPr>
        <w:ind w:left="840" w:right="66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Employer</w:t>
      </w:r>
      <w:r>
        <w:rPr>
          <w:rFonts w:ascii="Times New Roman" w:cs="Times New Roman" w:eastAsia="Times New Roman" w:hAnsi="Times New Roman"/>
          <w:sz w:val="20"/>
          <w:szCs w:val="20"/>
          <w:color w:val="auto"/>
        </w:rPr>
        <w:t>” shall mean the Subsidiary that employs the Colleague. If the Company ever becomes an employer of the Colleague, then the term Employer shall refer to the Company.</w:t>
      </w:r>
    </w:p>
    <w:p>
      <w:pPr>
        <w:spacing w:after="0" w:line="126" w:lineRule="exact"/>
        <w:rPr>
          <w:sz w:val="20"/>
          <w:szCs w:val="20"/>
          <w:color w:val="auto"/>
        </w:rPr>
      </w:pPr>
    </w:p>
    <w:p>
      <w:pPr>
        <w:ind w:left="840" w:right="160" w:hanging="837"/>
        <w:spacing w:after="0" w:line="272" w:lineRule="auto"/>
        <w:tabs>
          <w:tab w:leader="none" w:pos="820" w:val="left"/>
        </w:tabs>
        <w:rPr>
          <w:sz w:val="20"/>
          <w:szCs w:val="20"/>
          <w:color w:val="auto"/>
        </w:rPr>
      </w:pPr>
      <w:r>
        <w:rPr>
          <w:rFonts w:ascii="Times New Roman" w:cs="Times New Roman" w:eastAsia="Times New Roman" w:hAnsi="Times New Roman"/>
          <w:sz w:val="20"/>
          <w:szCs w:val="20"/>
          <w:color w:val="auto"/>
        </w:rPr>
        <w:t>2.8.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Employment Agreement</w:t>
      </w:r>
      <w:r>
        <w:rPr>
          <w:rFonts w:ascii="Times New Roman" w:cs="Times New Roman" w:eastAsia="Times New Roman" w:hAnsi="Times New Roman"/>
          <w:sz w:val="20"/>
          <w:szCs w:val="20"/>
          <w:color w:val="auto"/>
        </w:rPr>
        <w:t>” shall mean the contractual terms and conditions which govern the employment of the Colleague by Employer.</w:t>
      </w:r>
    </w:p>
    <w:p>
      <w:pPr>
        <w:spacing w:after="0" w:line="126" w:lineRule="exact"/>
        <w:rPr>
          <w:sz w:val="20"/>
          <w:szCs w:val="20"/>
          <w:color w:val="auto"/>
        </w:rPr>
      </w:pPr>
    </w:p>
    <w:p>
      <w:pPr>
        <w:jc w:val="both"/>
        <w:ind w:left="840" w:right="100" w:hanging="837"/>
        <w:spacing w:after="0" w:line="255" w:lineRule="auto"/>
        <w:tabs>
          <w:tab w:leader="none" w:pos="820" w:val="left"/>
        </w:tabs>
        <w:rPr>
          <w:sz w:val="20"/>
          <w:szCs w:val="20"/>
          <w:color w:val="auto"/>
        </w:rPr>
      </w:pPr>
      <w:r>
        <w:rPr>
          <w:rFonts w:ascii="Times New Roman" w:cs="Times New Roman" w:eastAsia="Times New Roman" w:hAnsi="Times New Roman"/>
          <w:sz w:val="20"/>
          <w:szCs w:val="20"/>
          <w:color w:val="auto"/>
        </w:rPr>
        <w:t>2.9.</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Garden Leave</w:t>
      </w:r>
      <w:r>
        <w:rPr>
          <w:rFonts w:ascii="Times New Roman" w:cs="Times New Roman" w:eastAsia="Times New Roman" w:hAnsi="Times New Roman"/>
          <w:sz w:val="20"/>
          <w:szCs w:val="20"/>
          <w:color w:val="auto"/>
        </w:rPr>
        <w:t>” shall mean any period during any notice period where Employer requires the Colleague to remain available to respond to questions and requests from the Employer, but not to enter into the office(s) of the Restricted Group without the prior written consent of Employer.</w:t>
      </w:r>
    </w:p>
    <w:p>
      <w:pPr>
        <w:spacing w:after="0" w:line="143" w:lineRule="exact"/>
        <w:rPr>
          <w:sz w:val="20"/>
          <w:szCs w:val="20"/>
          <w:color w:val="auto"/>
        </w:rPr>
      </w:pPr>
    </w:p>
    <w:p>
      <w:pPr>
        <w:ind w:left="840" w:right="40" w:hanging="837"/>
        <w:spacing w:after="0" w:line="247" w:lineRule="auto"/>
        <w:tabs>
          <w:tab w:leader="none" w:pos="820" w:val="left"/>
        </w:tabs>
        <w:rPr>
          <w:sz w:val="20"/>
          <w:szCs w:val="20"/>
          <w:color w:val="auto"/>
        </w:rPr>
      </w:pPr>
      <w:r>
        <w:rPr>
          <w:rFonts w:ascii="Times New Roman" w:cs="Times New Roman" w:eastAsia="Times New Roman" w:hAnsi="Times New Roman"/>
          <w:sz w:val="20"/>
          <w:szCs w:val="20"/>
          <w:color w:val="auto"/>
        </w:rPr>
        <w:t>2.10.</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Key Personnel</w:t>
      </w:r>
      <w:r>
        <w:rPr>
          <w:rFonts w:ascii="Times New Roman" w:cs="Times New Roman" w:eastAsia="Times New Roman" w:hAnsi="Times New Roman"/>
          <w:sz w:val="20"/>
          <w:szCs w:val="20"/>
          <w:color w:val="auto"/>
        </w:rPr>
        <w:t>” shall mean any person who is at the date the Colleague ceases to be an employee of Employer or was at any time during the period of twelve months prior to that date employed by the Restricted Group and who was an employee with whom the Colleague had dealings other than in a minimal and non-material way and who was employed by or engaged in the Business in an executive or senior managerial capacity, or was an employee with insurance, reinsurance or other technical expertise.</w:t>
      </w:r>
    </w:p>
    <w:p>
      <w:pPr>
        <w:spacing w:after="0" w:line="151"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20"/>
          <w:szCs w:val="20"/>
          <w:color w:val="auto"/>
        </w:rPr>
        <w:t>2.11.</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color w:val="auto"/>
        </w:rPr>
        <w:t>Plan</w:t>
      </w:r>
      <w:r>
        <w:rPr>
          <w:rFonts w:ascii="Times New Roman" w:cs="Times New Roman" w:eastAsia="Times New Roman" w:hAnsi="Times New Roman"/>
          <w:sz w:val="19"/>
          <w:szCs w:val="19"/>
          <w:color w:val="auto"/>
        </w:rPr>
        <w:t>” shall have the meaning set forth in the recitals.</w:t>
      </w:r>
    </w:p>
    <w:p>
      <w:pPr>
        <w:spacing w:after="0" w:line="188" w:lineRule="exact"/>
        <w:rPr>
          <w:sz w:val="20"/>
          <w:szCs w:val="20"/>
          <w:color w:val="auto"/>
        </w:rPr>
      </w:pPr>
    </w:p>
    <w:p>
      <w:pPr>
        <w:ind w:left="840" w:right="18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2.12.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Area</w:t>
      </w:r>
      <w:r>
        <w:rPr>
          <w:rFonts w:ascii="Times New Roman" w:cs="Times New Roman" w:eastAsia="Times New Roman" w:hAnsi="Times New Roman"/>
          <w:sz w:val="20"/>
          <w:szCs w:val="20"/>
          <w:color w:val="auto"/>
        </w:rPr>
        <w:t>” shall mean: such country or countries in which the Colleague has carried on Business on behalf of the Company or any of its Subsidiaries in which the Colleague has been involved or concerned or worked on other than in a minimal and non-material way at any time during the period of 12 months prior to the date on which the Colleague ceases to be employed by Employer.</w:t>
      </w:r>
    </w:p>
    <w:p>
      <w:pPr>
        <w:spacing w:after="0" w:line="147" w:lineRule="exact"/>
        <w:rPr>
          <w:sz w:val="20"/>
          <w:szCs w:val="20"/>
          <w:color w:val="auto"/>
        </w:rPr>
      </w:pPr>
    </w:p>
    <w:p>
      <w:pPr>
        <w:ind w:left="840" w:right="40" w:hanging="837"/>
        <w:spacing w:after="0" w:line="250" w:lineRule="auto"/>
        <w:tabs>
          <w:tab w:leader="none" w:pos="820" w:val="left"/>
        </w:tabs>
        <w:rPr>
          <w:sz w:val="20"/>
          <w:szCs w:val="20"/>
          <w:color w:val="auto"/>
        </w:rPr>
      </w:pPr>
      <w:r>
        <w:rPr>
          <w:rFonts w:ascii="Times New Roman" w:cs="Times New Roman" w:eastAsia="Times New Roman" w:hAnsi="Times New Roman"/>
          <w:sz w:val="20"/>
          <w:szCs w:val="20"/>
          <w:color w:val="auto"/>
        </w:rPr>
        <w:t>2.13.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Client</w:t>
      </w:r>
      <w:r>
        <w:rPr>
          <w:rFonts w:ascii="Times New Roman" w:cs="Times New Roman" w:eastAsia="Times New Roman" w:hAnsi="Times New Roman"/>
          <w:sz w:val="20"/>
          <w:szCs w:val="20"/>
          <w:color w:val="auto"/>
        </w:rPr>
        <w:t>” shall mean any person, firm or company who or which at any time during the period of twelve months prior to the date on which the Colleague ceases to be employed by Employer is or was a client or customer of the Company or any of its Subsidiaries or was in the habit and/or practice of dealing under contract with the Company or any of its Subsidiaries and with whom or which the Colleague had dealings related to the Business</w:t>
      </w:r>
    </w:p>
    <w:p>
      <w:pPr>
        <w:spacing w:after="0" w:line="14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623570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084" w:right="339" w:bottom="1440" w:gutter="0" w:footer="0" w:header="0"/>
        </w:sectPr>
      </w:pPr>
    </w:p>
    <w:bookmarkStart w:id="127" w:name="page128"/>
    <w:bookmarkEnd w:id="127"/>
    <w:p>
      <w:pPr>
        <w:ind w:left="1200" w:right="420"/>
        <w:spacing w:after="0" w:line="268" w:lineRule="auto"/>
        <w:rPr>
          <w:sz w:val="20"/>
          <w:szCs w:val="20"/>
          <w:color w:val="auto"/>
        </w:rPr>
      </w:pPr>
      <w:r>
        <w:rPr>
          <w:rFonts w:ascii="Times New Roman" w:cs="Times New Roman" w:eastAsia="Times New Roman" w:hAnsi="Times New Roman"/>
          <w:sz w:val="20"/>
          <w:szCs w:val="20"/>
          <w:color w:val="auto"/>
        </w:rPr>
        <w:t>(other than in a minimal and non-material way) or for whose relationship with the Company or any of its Subsidiaries the Colleague had responsibility at any time during the said period.</w:t>
      </w:r>
    </w:p>
    <w:p>
      <w:pPr>
        <w:spacing w:after="0" w:line="130" w:lineRule="exact"/>
        <w:rPr>
          <w:sz w:val="20"/>
          <w:szCs w:val="20"/>
          <w:color w:val="auto"/>
        </w:rPr>
      </w:pPr>
    </w:p>
    <w:p>
      <w:pPr>
        <w:jc w:val="both"/>
        <w:ind w:left="1200" w:right="60" w:hanging="837"/>
        <w:spacing w:after="0" w:line="255" w:lineRule="auto"/>
        <w:tabs>
          <w:tab w:leader="none" w:pos="1180" w:val="left"/>
        </w:tabs>
        <w:rPr>
          <w:sz w:val="20"/>
          <w:szCs w:val="20"/>
          <w:color w:val="auto"/>
        </w:rPr>
      </w:pPr>
      <w:r>
        <w:rPr>
          <w:rFonts w:ascii="Times New Roman" w:cs="Times New Roman" w:eastAsia="Times New Roman" w:hAnsi="Times New Roman"/>
          <w:sz w:val="20"/>
          <w:szCs w:val="20"/>
          <w:color w:val="auto"/>
        </w:rPr>
        <w:t>2.14.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Period</w:t>
      </w:r>
      <w:r>
        <w:rPr>
          <w:rFonts w:ascii="Times New Roman" w:cs="Times New Roman" w:eastAsia="Times New Roman" w:hAnsi="Times New Roman"/>
          <w:sz w:val="20"/>
          <w:szCs w:val="20"/>
          <w:color w:val="auto"/>
        </w:rPr>
        <w:t>” shall mean the period of twelve months following the date on which the Colleague ceases to be employed by Employer reduced by the length of any period of Garden Leave (if applicable) observed by the Colleague at the instruction of Employer.</w:t>
      </w:r>
    </w:p>
    <w:p>
      <w:pPr>
        <w:spacing w:after="0" w:line="143" w:lineRule="exact"/>
        <w:rPr>
          <w:sz w:val="20"/>
          <w:szCs w:val="20"/>
          <w:color w:val="auto"/>
        </w:rPr>
      </w:pPr>
    </w:p>
    <w:p>
      <w:pPr>
        <w:ind w:left="1200" w:right="60" w:hanging="837"/>
        <w:spacing w:after="0" w:line="250" w:lineRule="auto"/>
        <w:tabs>
          <w:tab w:leader="none" w:pos="1180" w:val="left"/>
        </w:tabs>
        <w:rPr>
          <w:sz w:val="20"/>
          <w:szCs w:val="20"/>
          <w:color w:val="auto"/>
        </w:rPr>
      </w:pPr>
      <w:r>
        <w:rPr>
          <w:rFonts w:ascii="Times New Roman" w:cs="Times New Roman" w:eastAsia="Times New Roman" w:hAnsi="Times New Roman"/>
          <w:sz w:val="20"/>
          <w:szCs w:val="20"/>
          <w:color w:val="auto"/>
        </w:rPr>
        <w:t>2.15.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Relevant Prospect</w:t>
      </w:r>
      <w:r>
        <w:rPr>
          <w:rFonts w:ascii="Times New Roman" w:cs="Times New Roman" w:eastAsia="Times New Roman" w:hAnsi="Times New Roman"/>
          <w:sz w:val="20"/>
          <w:szCs w:val="20"/>
          <w:color w:val="auto"/>
        </w:rPr>
        <w:t>” shall mean any person, firm or company who or which at any time during the period of twelve months prior to the date on which the Colleague ceases to be employed by Employer was an active prospective client of the Company or any of its Subsidiaries with whom or with which the Colleague had dealings related to the Business (other than in a minimal and non-material way).</w:t>
      </w:r>
    </w:p>
    <w:p>
      <w:pPr>
        <w:spacing w:after="0" w:line="147" w:lineRule="exact"/>
        <w:rPr>
          <w:sz w:val="20"/>
          <w:szCs w:val="20"/>
          <w:color w:val="auto"/>
        </w:rPr>
      </w:pPr>
    </w:p>
    <w:p>
      <w:pPr>
        <w:ind w:left="1200" w:right="240" w:hanging="837"/>
        <w:spacing w:after="0" w:line="272" w:lineRule="auto"/>
        <w:tabs>
          <w:tab w:leader="none" w:pos="1180" w:val="left"/>
        </w:tabs>
        <w:rPr>
          <w:sz w:val="20"/>
          <w:szCs w:val="20"/>
          <w:color w:val="auto"/>
        </w:rPr>
      </w:pPr>
      <w:r>
        <w:rPr>
          <w:rFonts w:ascii="Times New Roman" w:cs="Times New Roman" w:eastAsia="Times New Roman" w:hAnsi="Times New Roman"/>
          <w:sz w:val="20"/>
          <w:szCs w:val="20"/>
          <w:color w:val="auto"/>
        </w:rPr>
        <w:t>2.16.</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Restricted Group</w:t>
      </w:r>
      <w:r>
        <w:rPr>
          <w:rFonts w:ascii="Times New Roman" w:cs="Times New Roman" w:eastAsia="Times New Roman" w:hAnsi="Times New Roman"/>
          <w:sz w:val="20"/>
          <w:szCs w:val="20"/>
          <w:color w:val="auto"/>
        </w:rPr>
        <w:t>” shall mean the Company and its Subsidiaries, as in existence during the Colleague’s employment with Employer and as of the date such employment ceases.</w:t>
      </w:r>
    </w:p>
    <w:p>
      <w:pPr>
        <w:spacing w:after="0" w:line="126" w:lineRule="exact"/>
        <w:rPr>
          <w:sz w:val="20"/>
          <w:szCs w:val="20"/>
          <w:color w:val="auto"/>
        </w:rPr>
      </w:pPr>
    </w:p>
    <w:p>
      <w:pPr>
        <w:ind w:left="1200" w:right="600" w:hanging="837"/>
        <w:spacing w:after="0" w:line="272" w:lineRule="auto"/>
        <w:tabs>
          <w:tab w:leader="none" w:pos="1180" w:val="left"/>
        </w:tabs>
        <w:rPr>
          <w:sz w:val="20"/>
          <w:szCs w:val="20"/>
          <w:color w:val="auto"/>
        </w:rPr>
      </w:pPr>
      <w:r>
        <w:rPr>
          <w:rFonts w:ascii="Times New Roman" w:cs="Times New Roman" w:eastAsia="Times New Roman" w:hAnsi="Times New Roman"/>
          <w:sz w:val="20"/>
          <w:szCs w:val="20"/>
          <w:color w:val="auto"/>
        </w:rPr>
        <w:t>2.17.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Subsidiary</w:t>
      </w:r>
      <w:r>
        <w:rPr>
          <w:rFonts w:ascii="Times New Roman" w:cs="Times New Roman" w:eastAsia="Times New Roman" w:hAnsi="Times New Roman"/>
          <w:sz w:val="20"/>
          <w:szCs w:val="20"/>
          <w:color w:val="auto"/>
        </w:rPr>
        <w:t>” shall mean a direct and/or indirect subsidiary of the Company as well as any associate company which is designated by the Company as being eligible for participation in the Plan.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 Restrictive Covenants and Other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-10795</wp:posOffset>
            </wp:positionV>
            <wp:extent cx="23558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2355850" cy="8255"/>
                    </a:xfrm>
                    <a:prstGeom prst="rect">
                      <a:avLst/>
                    </a:prstGeom>
                    <a:noFill/>
                  </pic:spPr>
                </pic:pic>
              </a:graphicData>
            </a:graphic>
          </wp:anchor>
        </w:drawing>
      </w:r>
    </w:p>
    <w:p>
      <w:pPr>
        <w:spacing w:after="0" w:line="195" w:lineRule="exact"/>
        <w:rPr>
          <w:sz w:val="20"/>
          <w:szCs w:val="20"/>
          <w:color w:val="auto"/>
        </w:rPr>
      </w:pPr>
    </w:p>
    <w:p>
      <w:pPr>
        <w:ind w:left="1180" w:right="240" w:hanging="823"/>
        <w:spacing w:after="0" w:line="246" w:lineRule="auto"/>
        <w:tabs>
          <w:tab w:leader="none" w:pos="1160" w:val="left"/>
        </w:tabs>
        <w:rPr>
          <w:sz w:val="20"/>
          <w:szCs w:val="20"/>
          <w:color w:val="auto"/>
        </w:rPr>
      </w:pPr>
      <w:r>
        <w:rPr>
          <w:rFonts w:ascii="Times New Roman" w:cs="Times New Roman" w:eastAsia="Times New Roman" w:hAnsi="Times New Roman"/>
          <w:sz w:val="20"/>
          <w:szCs w:val="20"/>
          <w:color w:val="auto"/>
        </w:rPr>
        <w:t>3.1</w:t>
      </w:r>
      <w:r>
        <w:rPr>
          <w:sz w:val="20"/>
          <w:szCs w:val="20"/>
          <w:color w:val="auto"/>
        </w:rPr>
        <w:tab/>
      </w:r>
      <w:r>
        <w:rPr>
          <w:rFonts w:ascii="Times New Roman" w:cs="Times New Roman" w:eastAsia="Times New Roman" w:hAnsi="Times New Roman"/>
          <w:sz w:val="20"/>
          <w:szCs w:val="20"/>
          <w:color w:val="auto"/>
        </w:rPr>
        <w:t>The Colleague acknowledges that by virtue of their senior management position and as an employee of Employer, the Colleague has acquired and will acquire knowledge of Confidential Information of the Restricted Group and their Business. The Colleague further acknowledges that the Confidential Information which the Restricted Group has provided and will provide to the Colleague would give the Colleague a significant advantage if the Colleague were to directly or indirectly be engaged in any Business at a Competitor of the Restricted Group.</w:t>
      </w:r>
    </w:p>
    <w:p>
      <w:pPr>
        <w:spacing w:after="0" w:line="156" w:lineRule="exact"/>
        <w:rPr>
          <w:sz w:val="20"/>
          <w:szCs w:val="20"/>
          <w:color w:val="auto"/>
        </w:rPr>
      </w:pPr>
    </w:p>
    <w:p>
      <w:pPr>
        <w:ind w:left="1180" w:right="40" w:hanging="448"/>
        <w:spacing w:after="0" w:line="242" w:lineRule="auto"/>
        <w:tabs>
          <w:tab w:leader="none" w:pos="1160" w:val="left"/>
        </w:tabs>
        <w:rPr>
          <w:sz w:val="20"/>
          <w:szCs w:val="20"/>
          <w:color w:val="auto"/>
        </w:rPr>
      </w:pPr>
      <w:r>
        <w:rPr>
          <w:rFonts w:ascii="Times New Roman" w:cs="Times New Roman" w:eastAsia="Times New Roman" w:hAnsi="Times New Roman"/>
          <w:sz w:val="20"/>
          <w:szCs w:val="20"/>
          <w:color w:val="auto"/>
        </w:rPr>
        <w:t>3.2</w:t>
        <w:tab/>
        <w:t>Without the Company’s prior written consent, the Colleague shall not directly or indirectly, at any time during or after the Colleague’s employment with any Employer, disclose any Confidential Information and shall use the Colleague’s best efforts to prevent the taking or disclosure of any Confidential Information, except as reasonably may be required to be disclosed by the Colleague in the ordinary performance of their duties for Employer or as required by law. Notwithstanding, you understand that if you make a confidential disclosure of a trade secret of the Company or other Confidential Information to a government official or an attorney for the sole purpose of reporting a suspected violation of law, or in a court filing under seal, or otherwise engage in activities protected under whistleblower statutes, you shall not be held liable under this Agreement or under any federal or state trade secret law for such a disclosure or engaging of such activity and shall also not be required to notify the Company of any such disclosure or engaging of any such activity.</w:t>
      </w:r>
    </w:p>
    <w:p>
      <w:pPr>
        <w:spacing w:after="0" w:line="165" w:lineRule="exact"/>
        <w:rPr>
          <w:sz w:val="20"/>
          <w:szCs w:val="20"/>
          <w:color w:val="auto"/>
        </w:rPr>
      </w:pPr>
    </w:p>
    <w:p>
      <w:pPr>
        <w:ind w:left="1200" w:hanging="837"/>
        <w:spacing w:after="0" w:line="244" w:lineRule="auto"/>
        <w:tabs>
          <w:tab w:leader="none" w:pos="1180" w:val="left"/>
        </w:tabs>
        <w:rPr>
          <w:sz w:val="20"/>
          <w:szCs w:val="20"/>
          <w:color w:val="auto"/>
        </w:rPr>
      </w:pPr>
      <w:r>
        <w:rPr>
          <w:rFonts w:ascii="Times New Roman" w:cs="Times New Roman" w:eastAsia="Times New Roman" w:hAnsi="Times New Roman"/>
          <w:sz w:val="20"/>
          <w:szCs w:val="20"/>
          <w:color w:val="auto"/>
        </w:rPr>
        <w:t>3.3</w:t>
      </w:r>
      <w:r>
        <w:rPr>
          <w:sz w:val="20"/>
          <w:szCs w:val="20"/>
          <w:color w:val="auto"/>
        </w:rPr>
        <w:tab/>
      </w:r>
      <w:r>
        <w:rPr>
          <w:rFonts w:ascii="Times New Roman" w:cs="Times New Roman" w:eastAsia="Times New Roman" w:hAnsi="Times New Roman"/>
          <w:sz w:val="20"/>
          <w:szCs w:val="20"/>
          <w:color w:val="auto"/>
        </w:rPr>
        <w:t>The Colleague acknowledges and agrees that any post-employment efforts by the Colleague to solicit the business of the Restricted Group’s clients would necessarily require the use of the Restricted Group’s trade secrets regarding the Restricted Group and/or its clients that the Colleague accessed, received, or developed during employment. For the protection of trade secrets, the Restricted Group is entitled to reasonable protection against unfair exploitation, diversion, and misappropriation of its client relationships through misappropriation of the Restricted Group’s trade secrets that include, without limitation, information obtained and compiled by the Restricted Group at its expense relating to clients and their needs, preferences, pricing, and related information.</w:t>
      </w:r>
    </w:p>
    <w:p>
      <w:pPr>
        <w:spacing w:after="0" w:line="1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623570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8" w:right="339" w:bottom="1440" w:gutter="0" w:footer="0" w:header="0"/>
        </w:sectPr>
      </w:pPr>
    </w:p>
    <w:bookmarkStart w:id="128" w:name="page129"/>
    <w:bookmarkEnd w:id="128"/>
    <w:p>
      <w:pPr>
        <w:ind w:left="1200" w:right="20" w:hanging="837"/>
        <w:spacing w:after="0" w:line="244" w:lineRule="auto"/>
        <w:tabs>
          <w:tab w:leader="none" w:pos="1180" w:val="left"/>
        </w:tabs>
        <w:rPr>
          <w:sz w:val="20"/>
          <w:szCs w:val="20"/>
          <w:color w:val="auto"/>
        </w:rPr>
      </w:pPr>
      <w:r>
        <w:rPr>
          <w:rFonts w:ascii="Times New Roman" w:cs="Times New Roman" w:eastAsia="Times New Roman" w:hAnsi="Times New Roman"/>
          <w:sz w:val="20"/>
          <w:szCs w:val="20"/>
          <w:color w:val="auto"/>
        </w:rPr>
        <w:t>3.4</w:t>
      </w:r>
      <w:r>
        <w:rPr>
          <w:sz w:val="20"/>
          <w:szCs w:val="20"/>
          <w:color w:val="auto"/>
        </w:rPr>
        <w:tab/>
      </w:r>
      <w:r>
        <w:rPr>
          <w:rFonts w:ascii="Times New Roman" w:cs="Times New Roman" w:eastAsia="Times New Roman" w:hAnsi="Times New Roman"/>
          <w:sz w:val="20"/>
          <w:szCs w:val="20"/>
          <w:color w:val="auto"/>
        </w:rPr>
        <w:t>The Colleague shall provide a minimum of three months’ notice or such notice contained in the Colleague’s Employment Agreement, whichever is the longer, in the event of their resignation from employment with Employer. The Colleague shall provide a written resignation letter to Employer prior to the commencement of any such notice period. To the extent allowed by applicable law, the Colleague may be placed on Garden Leave for all or any portion of any notice period. During the notice period, whether or not the Colleague is on Garden Leave, the Colleague shall remain an employee of Employer and shall continue to receive the Colleague’s full salary and benefits. The Company or Employer shall have the discretion to apply a shorter period than the three-month period set forth in 3.4.</w:t>
      </w:r>
    </w:p>
    <w:p>
      <w:pPr>
        <w:spacing w:after="0" w:line="157" w:lineRule="exact"/>
        <w:rPr>
          <w:sz w:val="20"/>
          <w:szCs w:val="20"/>
          <w:color w:val="auto"/>
        </w:rPr>
      </w:pPr>
    </w:p>
    <w:p>
      <w:pPr>
        <w:ind w:left="360"/>
        <w:spacing w:after="0"/>
        <w:tabs>
          <w:tab w:leader="none" w:pos="1180" w:val="left"/>
        </w:tabs>
        <w:rPr>
          <w:sz w:val="20"/>
          <w:szCs w:val="20"/>
          <w:color w:val="auto"/>
        </w:rPr>
      </w:pPr>
      <w:r>
        <w:rPr>
          <w:rFonts w:ascii="Times New Roman" w:cs="Times New Roman" w:eastAsia="Times New Roman" w:hAnsi="Times New Roman"/>
          <w:sz w:val="20"/>
          <w:szCs w:val="20"/>
          <w:color w:val="auto"/>
        </w:rPr>
        <w:t>3.5</w:t>
      </w:r>
      <w:r>
        <w:rPr>
          <w:sz w:val="20"/>
          <w:szCs w:val="20"/>
          <w:color w:val="auto"/>
        </w:rPr>
        <w:tab/>
      </w:r>
      <w:r>
        <w:rPr>
          <w:rFonts w:ascii="Times New Roman" w:cs="Times New Roman" w:eastAsia="Times New Roman" w:hAnsi="Times New Roman"/>
          <w:sz w:val="19"/>
          <w:szCs w:val="19"/>
          <w:color w:val="auto"/>
        </w:rPr>
        <w:t>The Colleague shall not, for the Relevant Period, directly or indirectly:</w:t>
      </w:r>
    </w:p>
    <w:p>
      <w:pPr>
        <w:spacing w:after="0" w:line="188" w:lineRule="exact"/>
        <w:rPr>
          <w:sz w:val="20"/>
          <w:szCs w:val="20"/>
          <w:color w:val="auto"/>
        </w:rPr>
      </w:pPr>
    </w:p>
    <w:p>
      <w:pPr>
        <w:ind w:left="1860" w:right="300" w:hanging="748"/>
        <w:spacing w:after="0" w:line="268" w:lineRule="auto"/>
        <w:tabs>
          <w:tab w:leader="none" w:pos="1840" w:val="left"/>
        </w:tabs>
        <w:rPr>
          <w:sz w:val="20"/>
          <w:szCs w:val="20"/>
          <w:color w:val="auto"/>
        </w:rPr>
      </w:pPr>
      <w:r>
        <w:rPr>
          <w:rFonts w:ascii="Times New Roman" w:cs="Times New Roman" w:eastAsia="Times New Roman" w:hAnsi="Times New Roman"/>
          <w:sz w:val="20"/>
          <w:szCs w:val="20"/>
          <w:color w:val="auto"/>
        </w:rPr>
        <w:t>3.5.1.</w:t>
        <w:tab/>
        <w:t>within the Relevant Area, solicit any Relevant Client or Relevant Prospect for the purposes of any Business which competes or will compete or seeks to compete with the Restricted Group;</w:t>
      </w:r>
    </w:p>
    <w:p>
      <w:pPr>
        <w:spacing w:after="0" w:line="161" w:lineRule="exact"/>
        <w:rPr>
          <w:sz w:val="20"/>
          <w:szCs w:val="20"/>
          <w:color w:val="auto"/>
        </w:rPr>
      </w:pPr>
    </w:p>
    <w:p>
      <w:pPr>
        <w:jc w:val="center"/>
        <w:ind w:left="1320" w:right="140"/>
        <w:spacing w:after="0" w:line="268" w:lineRule="auto"/>
        <w:rPr>
          <w:sz w:val="20"/>
          <w:szCs w:val="20"/>
          <w:color w:val="auto"/>
        </w:rPr>
      </w:pPr>
      <w:r>
        <w:rPr>
          <w:rFonts w:ascii="Times New Roman" w:cs="Times New Roman" w:eastAsia="Times New Roman" w:hAnsi="Times New Roman"/>
          <w:sz w:val="20"/>
          <w:szCs w:val="20"/>
          <w:color w:val="auto"/>
        </w:rPr>
        <w:t>3.5.2.   within the Relevant Area, accept, perform services for, or deal with any Relevant Client or Relevant Prospect for the purposes of any Business which competes or will compete or seeks to compete with the Restricted Group;</w:t>
      </w:r>
    </w:p>
    <w:p>
      <w:pPr>
        <w:spacing w:after="0" w:line="161" w:lineRule="exact"/>
        <w:rPr>
          <w:sz w:val="20"/>
          <w:szCs w:val="20"/>
          <w:color w:val="auto"/>
        </w:rPr>
      </w:pPr>
    </w:p>
    <w:p>
      <w:pPr>
        <w:ind w:left="1120"/>
        <w:spacing w:after="0"/>
        <w:tabs>
          <w:tab w:leader="none" w:pos="1840" w:val="left"/>
        </w:tabs>
        <w:rPr>
          <w:sz w:val="20"/>
          <w:szCs w:val="20"/>
          <w:color w:val="auto"/>
        </w:rPr>
      </w:pPr>
      <w:r>
        <w:rPr>
          <w:rFonts w:ascii="Times New Roman" w:cs="Times New Roman" w:eastAsia="Times New Roman" w:hAnsi="Times New Roman"/>
          <w:sz w:val="20"/>
          <w:szCs w:val="20"/>
          <w:color w:val="auto"/>
        </w:rPr>
        <w:t>3.5.3.</w:t>
      </w:r>
      <w:r>
        <w:rPr>
          <w:sz w:val="20"/>
          <w:szCs w:val="20"/>
          <w:color w:val="auto"/>
        </w:rPr>
        <w:tab/>
      </w:r>
      <w:r>
        <w:rPr>
          <w:rFonts w:ascii="Times New Roman" w:cs="Times New Roman" w:eastAsia="Times New Roman" w:hAnsi="Times New Roman"/>
          <w:sz w:val="19"/>
          <w:szCs w:val="19"/>
          <w:color w:val="auto"/>
        </w:rPr>
        <w:t>solicit for employment or entice away from the Restricted Group any Key Personnel; or</w:t>
      </w:r>
    </w:p>
    <w:p>
      <w:pPr>
        <w:spacing w:after="0" w:line="215" w:lineRule="exact"/>
        <w:rPr>
          <w:sz w:val="20"/>
          <w:szCs w:val="20"/>
          <w:color w:val="auto"/>
        </w:rPr>
      </w:pPr>
    </w:p>
    <w:p>
      <w:pPr>
        <w:ind w:left="1180"/>
        <w:spacing w:after="0"/>
        <w:tabs>
          <w:tab w:leader="none" w:pos="2280" w:val="left"/>
        </w:tabs>
        <w:rPr>
          <w:sz w:val="20"/>
          <w:szCs w:val="20"/>
          <w:color w:val="auto"/>
        </w:rPr>
      </w:pPr>
      <w:r>
        <w:rPr>
          <w:rFonts w:ascii="Times New Roman" w:cs="Times New Roman" w:eastAsia="Times New Roman" w:hAnsi="Times New Roman"/>
          <w:sz w:val="20"/>
          <w:szCs w:val="20"/>
          <w:color w:val="auto"/>
        </w:rPr>
        <w:t>3.5.4.</w:t>
      </w:r>
      <w:r>
        <w:rPr>
          <w:sz w:val="20"/>
          <w:szCs w:val="20"/>
          <w:color w:val="auto"/>
        </w:rPr>
        <w:tab/>
      </w:r>
      <w:r>
        <w:rPr>
          <w:rFonts w:ascii="Times New Roman" w:cs="Times New Roman" w:eastAsia="Times New Roman" w:hAnsi="Times New Roman"/>
          <w:sz w:val="19"/>
          <w:szCs w:val="19"/>
          <w:color w:val="auto"/>
        </w:rPr>
        <w:t>employ or engage or endeavour to employ or engage any Key Personnel.</w:t>
      </w:r>
    </w:p>
    <w:p>
      <w:pPr>
        <w:spacing w:after="0" w:line="215" w:lineRule="exact"/>
        <w:rPr>
          <w:sz w:val="20"/>
          <w:szCs w:val="20"/>
          <w:color w:val="auto"/>
        </w:rPr>
      </w:pPr>
    </w:p>
    <w:p>
      <w:pPr>
        <w:ind w:left="1200" w:right="200" w:hanging="837"/>
        <w:spacing w:after="0" w:line="253" w:lineRule="auto"/>
        <w:tabs>
          <w:tab w:leader="none" w:pos="1180" w:val="left"/>
        </w:tabs>
        <w:rPr>
          <w:sz w:val="20"/>
          <w:szCs w:val="20"/>
          <w:color w:val="auto"/>
        </w:rPr>
      </w:pPr>
      <w:r>
        <w:rPr>
          <w:rFonts w:ascii="Times New Roman" w:cs="Times New Roman" w:eastAsia="Times New Roman" w:hAnsi="Times New Roman"/>
          <w:sz w:val="20"/>
          <w:szCs w:val="20"/>
          <w:color w:val="auto"/>
        </w:rPr>
        <w:t>3.6</w:t>
      </w:r>
      <w:r>
        <w:rPr>
          <w:sz w:val="20"/>
          <w:szCs w:val="20"/>
          <w:color w:val="auto"/>
        </w:rPr>
        <w:tab/>
      </w:r>
      <w:r>
        <w:rPr>
          <w:rFonts w:ascii="Times New Roman" w:cs="Times New Roman" w:eastAsia="Times New Roman" w:hAnsi="Times New Roman"/>
          <w:sz w:val="20"/>
          <w:szCs w:val="20"/>
          <w:color w:val="auto"/>
        </w:rPr>
        <w:t>To the extent the Colleague is a party to an Employment Agreement or other agreement with the Restricted Group that contains post-employment restrictions, those post-employment restrictions shall run concurrently with the post-employment restrictions contained in this Section 3.</w:t>
      </w:r>
    </w:p>
    <w:p>
      <w:pPr>
        <w:spacing w:after="0" w:line="149" w:lineRule="exact"/>
        <w:rPr>
          <w:sz w:val="20"/>
          <w:szCs w:val="20"/>
          <w:color w:val="auto"/>
        </w:rPr>
      </w:pPr>
    </w:p>
    <w:p>
      <w:pPr>
        <w:ind w:left="1200" w:right="280" w:hanging="837"/>
        <w:spacing w:after="0" w:line="268" w:lineRule="auto"/>
        <w:tabs>
          <w:tab w:leader="none" w:pos="1180" w:val="left"/>
        </w:tabs>
        <w:rPr>
          <w:sz w:val="20"/>
          <w:szCs w:val="20"/>
          <w:color w:val="auto"/>
        </w:rPr>
      </w:pPr>
      <w:r>
        <w:rPr>
          <w:rFonts w:ascii="Times New Roman" w:cs="Times New Roman" w:eastAsia="Times New Roman" w:hAnsi="Times New Roman"/>
          <w:sz w:val="20"/>
          <w:szCs w:val="20"/>
          <w:color w:val="auto"/>
        </w:rPr>
        <w:t>3.7</w:t>
      </w:r>
      <w:r>
        <w:rPr>
          <w:sz w:val="20"/>
          <w:szCs w:val="20"/>
          <w:color w:val="auto"/>
        </w:rPr>
        <w:tab/>
      </w:r>
      <w:r>
        <w:rPr>
          <w:rFonts w:ascii="Times New Roman" w:cs="Times New Roman" w:eastAsia="Times New Roman" w:hAnsi="Times New Roman"/>
          <w:sz w:val="20"/>
          <w:szCs w:val="20"/>
          <w:color w:val="auto"/>
        </w:rPr>
        <w:t>The Colleague acknowledges that the provisions of this Section 3 are fair, reasonable and necessary to protect the goodwill and interests of the Restricted Group.</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 Non-Disparagement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-10795</wp:posOffset>
            </wp:positionV>
            <wp:extent cx="114300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195" w:lineRule="exact"/>
        <w:rPr>
          <w:sz w:val="20"/>
          <w:szCs w:val="20"/>
          <w:color w:val="auto"/>
        </w:rPr>
      </w:pPr>
    </w:p>
    <w:p>
      <w:pPr>
        <w:ind w:left="1120" w:hanging="748"/>
        <w:spacing w:after="0" w:line="246" w:lineRule="auto"/>
        <w:tabs>
          <w:tab w:leader="none" w:pos="1100" w:val="left"/>
        </w:tabs>
        <w:rPr>
          <w:sz w:val="20"/>
          <w:szCs w:val="20"/>
          <w:color w:val="auto"/>
        </w:rPr>
      </w:pPr>
      <w:r>
        <w:rPr>
          <w:rFonts w:ascii="Times New Roman" w:cs="Times New Roman" w:eastAsia="Times New Roman" w:hAnsi="Times New Roman"/>
          <w:sz w:val="20"/>
          <w:szCs w:val="20"/>
          <w:color w:val="auto"/>
        </w:rPr>
        <w:t>4.1</w:t>
      </w:r>
      <w:r>
        <w:rPr>
          <w:sz w:val="20"/>
          <w:szCs w:val="20"/>
          <w:color w:val="auto"/>
        </w:rPr>
        <w:tab/>
      </w:r>
      <w:r>
        <w:rPr>
          <w:rFonts w:ascii="Times New Roman" w:cs="Times New Roman" w:eastAsia="Times New Roman" w:hAnsi="Times New Roman"/>
          <w:sz w:val="20"/>
          <w:szCs w:val="20"/>
          <w:color w:val="auto"/>
        </w:rPr>
        <w:t>The Employer and Colleague agree not to act in any manner detrimental to each other or cause to be made any derogatory statements concerning each other (including an obligation on the Employer and Colleague not to make any statement whether oral or in writing which may have the effect of damaging the reputation of the other) including, in Colleague’s case, concerning the business, officers, employees, directors (including any non-executive directors or former directors), consultants, agents, distributors, clients or customers (whether former or current) or otherwise of the Restricted Group.</w:t>
      </w:r>
    </w:p>
    <w:p>
      <w:pPr>
        <w:spacing w:after="0" w:line="156" w:lineRule="exact"/>
        <w:rPr>
          <w:sz w:val="20"/>
          <w:szCs w:val="20"/>
          <w:color w:val="auto"/>
        </w:rPr>
      </w:pPr>
    </w:p>
    <w:p>
      <w:pPr>
        <w:ind w:left="1120" w:right="140" w:hanging="823"/>
        <w:spacing w:after="0" w:line="273" w:lineRule="auto"/>
        <w:tabs>
          <w:tab w:leader="none" w:pos="1100" w:val="left"/>
        </w:tabs>
        <w:rPr>
          <w:sz w:val="20"/>
          <w:szCs w:val="20"/>
          <w:color w:val="auto"/>
        </w:rPr>
      </w:pPr>
      <w:r>
        <w:rPr>
          <w:rFonts w:ascii="Times New Roman" w:cs="Times New Roman" w:eastAsia="Times New Roman" w:hAnsi="Times New Roman"/>
          <w:sz w:val="20"/>
          <w:szCs w:val="20"/>
          <w:color w:val="auto"/>
        </w:rPr>
        <w:t>4.2</w:t>
      </w:r>
      <w:r>
        <w:rPr>
          <w:sz w:val="20"/>
          <w:szCs w:val="20"/>
          <w:color w:val="auto"/>
        </w:rPr>
        <w:tab/>
      </w:r>
      <w:r>
        <w:rPr>
          <w:rFonts w:ascii="Times New Roman" w:cs="Times New Roman" w:eastAsia="Times New Roman" w:hAnsi="Times New Roman"/>
          <w:sz w:val="19"/>
          <w:szCs w:val="19"/>
          <w:color w:val="auto"/>
        </w:rPr>
        <w:t>The Employer and Colleague further agree that without the prior written consent of the other party they shall not make, or cause to be made, any statement or comment to the press (whether local, national or specialist) or any other media concerning Colleague’s employment with the Employer or, where applicable, their termination of employment for any reason.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Section 12</w:t>
      </w:r>
      <w:r>
        <w:rPr>
          <w:rFonts w:ascii="Times New Roman" w:cs="Times New Roman" w:eastAsia="Times New Roman" w:hAnsi="Times New Roman"/>
          <w:sz w:val="20"/>
          <w:szCs w:val="20"/>
          <w:color w:val="auto"/>
        </w:rPr>
        <w:t xml:space="preserve"> - Governing Law &amp;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551815</wp:posOffset>
            </wp:positionH>
            <wp:positionV relativeFrom="paragraph">
              <wp:posOffset>-10795</wp:posOffset>
            </wp:positionV>
            <wp:extent cx="164147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1641475" cy="8255"/>
                    </a:xfrm>
                    <a:prstGeom prst="rect">
                      <a:avLst/>
                    </a:prstGeom>
                    <a:noFill/>
                  </pic:spPr>
                </pic:pic>
              </a:graphicData>
            </a:graphic>
          </wp:anchor>
        </w:drawing>
      </w:r>
    </w:p>
    <w:p>
      <w:pPr>
        <w:spacing w:after="0" w:line="195" w:lineRule="exact"/>
        <w:rPr>
          <w:sz w:val="20"/>
          <w:szCs w:val="20"/>
          <w:color w:val="auto"/>
        </w:rPr>
      </w:pPr>
    </w:p>
    <w:p>
      <w:pPr>
        <w:ind w:left="1120" w:right="160" w:hanging="837"/>
        <w:spacing w:after="0" w:line="268" w:lineRule="auto"/>
        <w:tabs>
          <w:tab w:leader="none" w:pos="1100" w:val="left"/>
        </w:tabs>
        <w:rPr>
          <w:sz w:val="20"/>
          <w:szCs w:val="20"/>
          <w:color w:val="auto"/>
        </w:rPr>
      </w:pPr>
      <w:r>
        <w:rPr>
          <w:rFonts w:ascii="Times New Roman" w:cs="Times New Roman" w:eastAsia="Times New Roman" w:hAnsi="Times New Roman"/>
          <w:sz w:val="20"/>
          <w:szCs w:val="20"/>
          <w:color w:val="auto"/>
        </w:rPr>
        <w:t>5.1</w:t>
      </w:r>
      <w:r>
        <w:rPr>
          <w:sz w:val="20"/>
          <w:szCs w:val="20"/>
          <w:color w:val="auto"/>
        </w:rPr>
        <w:tab/>
      </w:r>
      <w:r>
        <w:rPr>
          <w:rFonts w:ascii="Times New Roman" w:cs="Times New Roman" w:eastAsia="Times New Roman" w:hAnsi="Times New Roman"/>
          <w:sz w:val="20"/>
          <w:szCs w:val="20"/>
          <w:color w:val="auto"/>
        </w:rPr>
        <w:t>This Non-U.S. RCA shall be governed by and construed in accordance with the laws of the jurisdiction in which Colleague is employed by Employer, without regard to its conflict of laws.</w:t>
      </w:r>
    </w:p>
    <w:p>
      <w:pPr>
        <w:spacing w:after="0" w:line="1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623570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8" w:right="359" w:bottom="1440" w:gutter="0" w:footer="0" w:header="0"/>
        </w:sectPr>
      </w:pPr>
    </w:p>
    <w:bookmarkStart w:id="129" w:name="page130"/>
    <w:bookmarkEnd w:id="129"/>
    <w:p>
      <w:pPr>
        <w:ind w:left="1140" w:hanging="837"/>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5.2</w:t>
      </w:r>
      <w:r>
        <w:rPr>
          <w:sz w:val="20"/>
          <w:szCs w:val="20"/>
          <w:color w:val="auto"/>
        </w:rPr>
        <w:tab/>
      </w:r>
      <w:r>
        <w:rPr>
          <w:rFonts w:ascii="Times New Roman" w:cs="Times New Roman" w:eastAsia="Times New Roman" w:hAnsi="Times New Roman"/>
          <w:sz w:val="20"/>
          <w:szCs w:val="20"/>
          <w:color w:val="auto"/>
        </w:rPr>
        <w:t>The courts of the jurisdiction in which the Colleague is employed by Employer shall have jurisdiction to hear any suit, action or proceeding and to settle any disputes which may arise out of or in connection with this Non-U.S. RCA and for such purposes the parties hereto irrevocably submit to the jurisdiction of such courts.</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u w:val="single" w:color="auto"/>
          <w:color w:val="auto"/>
        </w:rPr>
        <w:t>Section 13</w:t>
      </w:r>
      <w:r>
        <w:rPr>
          <w:sz w:val="20"/>
          <w:szCs w:val="20"/>
          <w:color w:val="auto"/>
        </w:rPr>
        <w:tab/>
      </w:r>
      <w:r>
        <w:rPr>
          <w:rFonts w:ascii="Times New Roman" w:cs="Times New Roman" w:eastAsia="Times New Roman" w:hAnsi="Times New Roman"/>
          <w:sz w:val="19"/>
          <w:szCs w:val="19"/>
          <w:color w:val="auto"/>
        </w:rPr>
        <w:t>– Consideration, Severability, Beneficiaries &amp; Effect on Other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wp:posOffset>
            </wp:positionH>
            <wp:positionV relativeFrom="paragraph">
              <wp:posOffset>-10795</wp:posOffset>
            </wp:positionV>
            <wp:extent cx="38227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3822700" cy="8255"/>
                    </a:xfrm>
                    <a:prstGeom prst="rect">
                      <a:avLst/>
                    </a:prstGeom>
                    <a:noFill/>
                  </pic:spPr>
                </pic:pic>
              </a:graphicData>
            </a:graphic>
          </wp:anchor>
        </w:drawing>
      </w:r>
    </w:p>
    <w:p>
      <w:pPr>
        <w:spacing w:after="0" w:line="195" w:lineRule="exact"/>
        <w:rPr>
          <w:sz w:val="20"/>
          <w:szCs w:val="20"/>
          <w:color w:val="auto"/>
        </w:rPr>
      </w:pPr>
    </w:p>
    <w:p>
      <w:pPr>
        <w:ind w:left="1140" w:hanging="837"/>
        <w:spacing w:after="0" w:line="249" w:lineRule="auto"/>
        <w:tabs>
          <w:tab w:leader="none" w:pos="1120" w:val="left"/>
        </w:tabs>
        <w:rPr>
          <w:sz w:val="20"/>
          <w:szCs w:val="20"/>
          <w:color w:val="auto"/>
        </w:rPr>
      </w:pPr>
      <w:r>
        <w:rPr>
          <w:rFonts w:ascii="Times New Roman" w:cs="Times New Roman" w:eastAsia="Times New Roman" w:hAnsi="Times New Roman"/>
          <w:sz w:val="20"/>
          <w:szCs w:val="20"/>
          <w:color w:val="auto"/>
        </w:rPr>
        <w:t>6.1</w:t>
      </w:r>
      <w:r>
        <w:rPr>
          <w:sz w:val="20"/>
          <w:szCs w:val="20"/>
          <w:color w:val="auto"/>
        </w:rPr>
        <w:tab/>
      </w:r>
      <w:r>
        <w:rPr>
          <w:rFonts w:ascii="Times New Roman" w:cs="Times New Roman" w:eastAsia="Times New Roman" w:hAnsi="Times New Roman"/>
          <w:sz w:val="20"/>
          <w:szCs w:val="20"/>
          <w:color w:val="auto"/>
        </w:rPr>
        <w:t>The Colleague acknowledges that the covenants and undertakings they have made herein, including those made in Section 3, are being given for the benefit of the Restricted Group, including Employer, and may be enforced by the Company and/or by its Subsidiaries, including for avoidance of doubt, Employer, on behalf of all or any of them and that such Subsidiaries are intended beneficiaries of this Non-U.S. RCA.</w:t>
      </w:r>
    </w:p>
    <w:p>
      <w:pPr>
        <w:spacing w:after="0" w:line="151" w:lineRule="exact"/>
        <w:rPr>
          <w:sz w:val="20"/>
          <w:szCs w:val="20"/>
          <w:color w:val="auto"/>
        </w:rPr>
      </w:pPr>
    </w:p>
    <w:p>
      <w:pPr>
        <w:ind w:left="1140" w:right="40" w:hanging="837"/>
        <w:spacing w:after="0" w:line="245" w:lineRule="auto"/>
        <w:tabs>
          <w:tab w:leader="none" w:pos="1120" w:val="left"/>
        </w:tabs>
        <w:rPr>
          <w:sz w:val="20"/>
          <w:szCs w:val="20"/>
          <w:color w:val="auto"/>
        </w:rPr>
      </w:pPr>
      <w:r>
        <w:rPr>
          <w:rFonts w:ascii="Times New Roman" w:cs="Times New Roman" w:eastAsia="Times New Roman" w:hAnsi="Times New Roman"/>
          <w:sz w:val="20"/>
          <w:szCs w:val="20"/>
          <w:color w:val="auto"/>
        </w:rPr>
        <w:t>6.2</w:t>
      </w:r>
      <w:r>
        <w:rPr>
          <w:sz w:val="20"/>
          <w:szCs w:val="20"/>
          <w:color w:val="auto"/>
        </w:rPr>
        <w:tab/>
      </w:r>
      <w:r>
        <w:rPr>
          <w:rFonts w:ascii="Times New Roman" w:cs="Times New Roman" w:eastAsia="Times New Roman" w:hAnsi="Times New Roman"/>
          <w:sz w:val="20"/>
          <w:szCs w:val="20"/>
          <w:color w:val="auto"/>
        </w:rPr>
        <w:t>The parties acknowledge that the provisions of this Non-U.S. RCA are severable. If any part or provision of this Non-U.S. RCA shall be determined by any court or tribunal to be invalid, then such partial invalidity shall not cause the remainder of this Non-U.S. RCA to be or become invalid. If any provision hereof is held unenforceable on the basis that it exceeds what is reasonable for the protection of the goodwill and interests of the Restricted Group, but would be valid if part of the wording were modified or deleted, as permitted by applicable law, then such restriction or obligation shall apply with such deletions or modifications as may be necessary to make it enforceable.</w:t>
      </w:r>
    </w:p>
    <w:p>
      <w:pPr>
        <w:spacing w:after="0" w:line="156" w:lineRule="exact"/>
        <w:rPr>
          <w:sz w:val="20"/>
          <w:szCs w:val="20"/>
          <w:color w:val="auto"/>
        </w:rPr>
      </w:pPr>
    </w:p>
    <w:p>
      <w:pPr>
        <w:ind w:left="1140" w:right="160" w:hanging="837"/>
        <w:spacing w:after="0" w:line="246" w:lineRule="auto"/>
        <w:tabs>
          <w:tab w:leader="none" w:pos="1120" w:val="left"/>
        </w:tabs>
        <w:rPr>
          <w:sz w:val="20"/>
          <w:szCs w:val="20"/>
          <w:color w:val="auto"/>
        </w:rPr>
      </w:pPr>
      <w:r>
        <w:rPr>
          <w:rFonts w:ascii="Times New Roman" w:cs="Times New Roman" w:eastAsia="Times New Roman" w:hAnsi="Times New Roman"/>
          <w:sz w:val="20"/>
          <w:szCs w:val="20"/>
          <w:color w:val="auto"/>
        </w:rPr>
        <w:t>6.3</w:t>
      </w:r>
      <w:r>
        <w:rPr>
          <w:sz w:val="20"/>
          <w:szCs w:val="20"/>
          <w:color w:val="auto"/>
        </w:rPr>
        <w:tab/>
      </w:r>
      <w:r>
        <w:rPr>
          <w:rFonts w:ascii="Times New Roman" w:cs="Times New Roman" w:eastAsia="Times New Roman" w:hAnsi="Times New Roman"/>
          <w:sz w:val="20"/>
          <w:szCs w:val="20"/>
          <w:color w:val="auto"/>
        </w:rPr>
        <w:t>The Colleague acknowledges that they remain bound by any Employment Agreement or any other agreement entered into by the Colleague with the Restricted Group and this Non-U.S. RCA shall be in addition to, and not in place of any such agreements. The Colleague further acknowledges that in the event of any breach by the Colleague of any provision contained in such agreements or this Non-U.S. RCA, the Company and/or any Subsidiary, including for avoidance of doubt Employer, may, in their discretion, enforce any term and condition of those agreements and/or this Non-U.S. RCA.</w:t>
      </w:r>
    </w:p>
    <w:p>
      <w:pPr>
        <w:spacing w:after="0" w:line="156" w:lineRule="exact"/>
        <w:rPr>
          <w:sz w:val="20"/>
          <w:szCs w:val="20"/>
          <w:color w:val="auto"/>
        </w:rPr>
      </w:pPr>
    </w:p>
    <w:p>
      <w:pPr>
        <w:ind w:left="1140" w:right="440" w:hanging="837"/>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6.4</w:t>
      </w:r>
      <w:r>
        <w:rPr>
          <w:sz w:val="20"/>
          <w:szCs w:val="20"/>
          <w:color w:val="auto"/>
        </w:rPr>
        <w:tab/>
      </w:r>
      <w:r>
        <w:rPr>
          <w:rFonts w:ascii="Times New Roman" w:cs="Times New Roman" w:eastAsia="Times New Roman" w:hAnsi="Times New Roman"/>
          <w:sz w:val="20"/>
          <w:szCs w:val="20"/>
          <w:color w:val="auto"/>
        </w:rPr>
        <w:t>The Colleague acknowledges that any Awards, separately and/or together, constitute adequate consideration to support the covenants and promises made by the Colleague within this Non-U.S. RCA.</w:t>
      </w:r>
    </w:p>
    <w:p>
      <w:pPr>
        <w:spacing w:after="0" w:line="161"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20"/>
          <w:szCs w:val="20"/>
          <w:u w:val="single" w:color="auto"/>
          <w:color w:val="auto"/>
        </w:rPr>
        <w:t>Section 14</w:t>
      </w:r>
      <w:r>
        <w:rPr>
          <w:sz w:val="20"/>
          <w:szCs w:val="20"/>
          <w:color w:val="auto"/>
        </w:rPr>
        <w:tab/>
      </w:r>
      <w:r>
        <w:rPr>
          <w:rFonts w:ascii="Times New Roman" w:cs="Times New Roman" w:eastAsia="Times New Roman" w:hAnsi="Times New Roman"/>
          <w:sz w:val="19"/>
          <w:szCs w:val="19"/>
          <w:color w:val="auto"/>
        </w:rPr>
        <w:t>– 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670560</wp:posOffset>
            </wp:positionH>
            <wp:positionV relativeFrom="paragraph">
              <wp:posOffset>-10795</wp:posOffset>
            </wp:positionV>
            <wp:extent cx="850265"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850265" cy="8255"/>
                    </a:xfrm>
                    <a:prstGeom prst="rect">
                      <a:avLst/>
                    </a:prstGeom>
                    <a:noFill/>
                  </pic:spPr>
                </pic:pic>
              </a:graphicData>
            </a:graphic>
          </wp:anchor>
        </w:drawing>
      </w:r>
    </w:p>
    <w:p>
      <w:pPr>
        <w:spacing w:after="0" w:line="195"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7.1</w:t>
      </w:r>
      <w:r>
        <w:rPr>
          <w:sz w:val="20"/>
          <w:szCs w:val="20"/>
          <w:color w:val="auto"/>
        </w:rPr>
        <w:tab/>
      </w:r>
      <w:r>
        <w:rPr>
          <w:rFonts w:ascii="Times New Roman" w:cs="Times New Roman" w:eastAsia="Times New Roman" w:hAnsi="Times New Roman"/>
          <w:sz w:val="19"/>
          <w:szCs w:val="19"/>
          <w:color w:val="auto"/>
        </w:rPr>
        <w:t>This Non-U.S. RCA may not be modified except by written agreement signed by both parties hereto.</w:t>
      </w:r>
    </w:p>
    <w:p>
      <w:pPr>
        <w:spacing w:after="0" w:line="188" w:lineRule="exact"/>
        <w:rPr>
          <w:sz w:val="20"/>
          <w:szCs w:val="20"/>
          <w:color w:val="auto"/>
        </w:rPr>
      </w:pPr>
    </w:p>
    <w:p>
      <w:pPr>
        <w:ind w:left="1140" w:right="40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7.2</w:t>
      </w:r>
      <w:r>
        <w:rPr>
          <w:sz w:val="20"/>
          <w:szCs w:val="20"/>
          <w:color w:val="auto"/>
        </w:rPr>
        <w:tab/>
      </w:r>
      <w:r>
        <w:rPr>
          <w:rFonts w:ascii="Times New Roman" w:cs="Times New Roman" w:eastAsia="Times New Roman" w:hAnsi="Times New Roman"/>
          <w:sz w:val="20"/>
          <w:szCs w:val="20"/>
          <w:color w:val="auto"/>
        </w:rPr>
        <w:t>The rights of the Restricted Group under this Non-U.S. RCA shall inure to the benefit of any and all of its/their successors, assigns, parent companies, sister companies, subsidiaries and other affiliated corporations.</w:t>
      </w:r>
    </w:p>
    <w:p>
      <w:pPr>
        <w:spacing w:after="0" w:line="134" w:lineRule="exact"/>
        <w:rPr>
          <w:sz w:val="20"/>
          <w:szCs w:val="20"/>
          <w:color w:val="auto"/>
        </w:rPr>
      </w:pPr>
    </w:p>
    <w:p>
      <w:pPr>
        <w:ind w:left="1140" w:right="36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7.3</w:t>
      </w:r>
      <w:r>
        <w:rPr>
          <w:sz w:val="20"/>
          <w:szCs w:val="20"/>
          <w:color w:val="auto"/>
        </w:rPr>
        <w:tab/>
      </w:r>
      <w:r>
        <w:rPr>
          <w:rFonts w:ascii="Times New Roman" w:cs="Times New Roman" w:eastAsia="Times New Roman" w:hAnsi="Times New Roman"/>
          <w:sz w:val="20"/>
          <w:szCs w:val="20"/>
          <w:color w:val="auto"/>
        </w:rPr>
        <w:t>The waiver by either party of any breach of this Non-U.S. RCA shall not operate or be construed as a waiver of that party’s rights on any subsequent breach.</w:t>
      </w:r>
    </w:p>
    <w:p>
      <w:pPr>
        <w:spacing w:after="0" w:line="134" w:lineRule="exact"/>
        <w:rPr>
          <w:sz w:val="20"/>
          <w:szCs w:val="20"/>
          <w:color w:val="auto"/>
        </w:rPr>
      </w:pPr>
    </w:p>
    <w:p>
      <w:pPr>
        <w:jc w:val="both"/>
        <w:ind w:left="1140" w:right="60" w:hanging="748"/>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7.4</w:t>
      </w:r>
      <w:r>
        <w:rPr>
          <w:sz w:val="20"/>
          <w:szCs w:val="20"/>
          <w:color w:val="auto"/>
        </w:rPr>
        <w:tab/>
      </w:r>
      <w:r>
        <w:rPr>
          <w:rFonts w:ascii="Times New Roman" w:cs="Times New Roman" w:eastAsia="Times New Roman" w:hAnsi="Times New Roman"/>
          <w:sz w:val="20"/>
          <w:szCs w:val="20"/>
          <w:color w:val="auto"/>
        </w:rPr>
        <w:t>The Colleague acknowledges and agrees that the Colleague shall be obliged to draw the provisions of Section 3 to the attention of any third party who may, at any time before or after the termination of the Colleague’s employment with Employer, offer to employ or engage them and for or with whom the Colleague intends to work within the Relevant Period.</w:t>
      </w:r>
    </w:p>
    <w:p>
      <w:pPr>
        <w:spacing w:after="0" w:line="149" w:lineRule="exact"/>
        <w:rPr>
          <w:sz w:val="20"/>
          <w:szCs w:val="20"/>
          <w:color w:val="auto"/>
        </w:rPr>
      </w:pPr>
    </w:p>
    <w:p>
      <w:pPr>
        <w:ind w:left="1140" w:right="140" w:hanging="748"/>
        <w:spacing w:after="0" w:line="268" w:lineRule="auto"/>
        <w:tabs>
          <w:tab w:leader="none" w:pos="1120" w:val="left"/>
        </w:tabs>
        <w:rPr>
          <w:sz w:val="20"/>
          <w:szCs w:val="20"/>
          <w:color w:val="auto"/>
        </w:rPr>
      </w:pPr>
      <w:r>
        <w:rPr>
          <w:rFonts w:ascii="Times New Roman" w:cs="Times New Roman" w:eastAsia="Times New Roman" w:hAnsi="Times New Roman"/>
          <w:sz w:val="20"/>
          <w:szCs w:val="20"/>
          <w:color w:val="auto"/>
        </w:rPr>
        <w:t>7.5</w:t>
      </w:r>
      <w:r>
        <w:rPr>
          <w:sz w:val="20"/>
          <w:szCs w:val="20"/>
          <w:color w:val="auto"/>
        </w:rPr>
        <w:tab/>
      </w:r>
      <w:r>
        <w:rPr>
          <w:rFonts w:ascii="Times New Roman" w:cs="Times New Roman" w:eastAsia="Times New Roman" w:hAnsi="Times New Roman"/>
          <w:sz w:val="20"/>
          <w:szCs w:val="20"/>
          <w:color w:val="auto"/>
        </w:rPr>
        <w:t>The various section headings contained in this Non-U.S. RCA are for the purpose of convenience only and are not intended to define or limit the contents of such sections.</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7" w:right="339" w:bottom="1440" w:gutter="0" w:footer="0" w:header="0"/>
        </w:sectPr>
      </w:pPr>
    </w:p>
    <w:bookmarkStart w:id="130" w:name="page131"/>
    <w:bookmarkEnd w:id="130"/>
    <w:p>
      <w:pPr>
        <w:ind w:left="1140" w:right="140" w:hanging="748"/>
        <w:spacing w:after="0" w:line="253" w:lineRule="auto"/>
        <w:tabs>
          <w:tab w:leader="none" w:pos="1120" w:val="left"/>
        </w:tabs>
        <w:rPr>
          <w:sz w:val="20"/>
          <w:szCs w:val="20"/>
          <w:color w:val="auto"/>
        </w:rPr>
      </w:pPr>
      <w:r>
        <w:rPr>
          <w:rFonts w:ascii="Times New Roman" w:cs="Times New Roman" w:eastAsia="Times New Roman" w:hAnsi="Times New Roman"/>
          <w:sz w:val="20"/>
          <w:szCs w:val="20"/>
          <w:color w:val="auto"/>
        </w:rPr>
        <w:t>7.6</w:t>
      </w:r>
      <w:r>
        <w:rPr>
          <w:sz w:val="20"/>
          <w:szCs w:val="20"/>
          <w:color w:val="auto"/>
        </w:rPr>
        <w:tab/>
      </w:r>
      <w:r>
        <w:rPr>
          <w:rFonts w:ascii="Times New Roman" w:cs="Times New Roman" w:eastAsia="Times New Roman" w:hAnsi="Times New Roman"/>
          <w:sz w:val="20"/>
          <w:szCs w:val="20"/>
          <w:color w:val="auto"/>
        </w:rPr>
        <w:t>This Non-U.S. RCA may be executed in one or more counterparts, each of which shall constitute an original and all of which taken together shall constitute one and the same document. This Non-U.S. RCA will be binding, notwithstanding that either party’s signature is displayed only on a facsimile or electronic copy of the signature page.</w:t>
      </w:r>
    </w:p>
    <w:p>
      <w:pPr>
        <w:spacing w:after="0" w:line="149"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7.7</w:t>
      </w:r>
      <w:r>
        <w:rPr>
          <w:sz w:val="20"/>
          <w:szCs w:val="20"/>
          <w:color w:val="auto"/>
        </w:rPr>
        <w:tab/>
      </w:r>
      <w:r>
        <w:rPr>
          <w:rFonts w:ascii="Times New Roman" w:cs="Times New Roman" w:eastAsia="Times New Roman" w:hAnsi="Times New Roman"/>
          <w:sz w:val="19"/>
          <w:szCs w:val="19"/>
          <w:color w:val="auto"/>
        </w:rPr>
        <w:t>Any provisions which by their nature survive termination of this Non-U.S. RCA, including the obligations set forth in Sections</w:t>
      </w:r>
    </w:p>
    <w:p>
      <w:pPr>
        <w:spacing w:after="0" w:line="2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20"/>
          <w:szCs w:val="20"/>
          <w:color w:val="auto"/>
        </w:rPr>
        <w:t>3 and 4 shall survive termination of this Non-U.S. RCA.</w:t>
      </w:r>
    </w:p>
    <w:p>
      <w:pPr>
        <w:spacing w:after="0" w:line="166" w:lineRule="exact"/>
        <w:rPr>
          <w:sz w:val="20"/>
          <w:szCs w:val="20"/>
          <w:color w:val="auto"/>
        </w:rPr>
      </w:pPr>
    </w:p>
    <w:p>
      <w:pPr>
        <w:ind w:left="380"/>
        <w:spacing w:after="0"/>
        <w:tabs>
          <w:tab w:leader="none" w:pos="1120" w:val="left"/>
        </w:tabs>
        <w:rPr>
          <w:sz w:val="20"/>
          <w:szCs w:val="20"/>
          <w:color w:val="auto"/>
        </w:rPr>
      </w:pPr>
      <w:r>
        <w:rPr>
          <w:rFonts w:ascii="Times New Roman" w:cs="Times New Roman" w:eastAsia="Times New Roman" w:hAnsi="Times New Roman"/>
          <w:sz w:val="20"/>
          <w:szCs w:val="20"/>
          <w:color w:val="auto"/>
        </w:rPr>
        <w:t>7.8</w:t>
      </w:r>
      <w:r>
        <w:rPr>
          <w:sz w:val="20"/>
          <w:szCs w:val="20"/>
          <w:color w:val="auto"/>
        </w:rPr>
        <w:tab/>
      </w:r>
      <w:r>
        <w:rPr>
          <w:rFonts w:ascii="Times New Roman" w:cs="Times New Roman" w:eastAsia="Times New Roman" w:hAnsi="Times New Roman"/>
          <w:sz w:val="19"/>
          <w:szCs w:val="19"/>
          <w:color w:val="auto"/>
        </w:rPr>
        <w:t>The Colleague understands that they have the right to consult with an attorney prior to signing this Non-U.S. RCA.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By the Colleague’s execution or electronic acceptance of this RCA in the manner specified in the Colleague’s online account with the Company’s designated broker/stock plan administrator, the Colleague and the Company have agreed to the terms and conditions of this RCA in connection with the Colleague’s Award.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Signed for and on behalf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Willis Towers Watson Public Limited Company by: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w:t>
            </w:r>
          </w:p>
        </w:tc>
        <w:tc>
          <w:tcPr>
            <w:tcW w:w="274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auto"/>
              </w:rPr>
              <w:t>Kristy Banas</w:t>
            </w:r>
          </w:p>
        </w:tc>
        <w:tc>
          <w:tcPr>
            <w:tcW w:w="0" w:type="dxa"/>
            <w:vAlign w:val="bottom"/>
          </w:tcPr>
          <w:p>
            <w:pPr>
              <w:spacing w:after="0"/>
              <w:rPr>
                <w:sz w:val="1"/>
                <w:szCs w:val="1"/>
                <w:color w:val="auto"/>
              </w:rPr>
            </w:pPr>
          </w:p>
        </w:tc>
      </w:tr>
      <w:tr>
        <w:trPr>
          <w:trHeight w:val="20"/>
        </w:trPr>
        <w:tc>
          <w:tcPr>
            <w:tcW w:w="1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7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600" w:type="dxa"/>
            <w:vAlign w:val="bottom"/>
            <w:gridSpan w:val="2"/>
          </w:tcPr>
          <w:p>
            <w:pPr>
              <w:spacing w:after="0" w:line="227" w:lineRule="exact"/>
              <w:rPr>
                <w:sz w:val="20"/>
                <w:szCs w:val="20"/>
                <w:color w:val="auto"/>
              </w:rPr>
            </w:pPr>
            <w:r>
              <w:rPr>
                <w:rFonts w:ascii="Times New Roman" w:cs="Times New Roman" w:eastAsia="Times New Roman" w:hAnsi="Times New Roman"/>
                <w:sz w:val="20"/>
                <w:szCs w:val="20"/>
                <w:color w:val="auto"/>
              </w:rPr>
              <w:t>Name:</w:t>
            </w:r>
          </w:p>
        </w:tc>
        <w:tc>
          <w:tcPr>
            <w:tcW w:w="2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60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Title:</w:t>
            </w:r>
          </w:p>
        </w:tc>
        <w:tc>
          <w:tcPr>
            <w:tcW w:w="274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7"/>
              </w:rPr>
              <w:t>Chief Human Resources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Colleague</w:t>
      </w:r>
      <w:r>
        <w:rPr>
          <w:rFonts w:ascii="Times New Roman" w:cs="Times New Roman" w:eastAsia="Times New Roman" w:hAnsi="Times New Roman"/>
          <w:sz w:val="20"/>
          <w:szCs w:val="20"/>
          <w:color w:val="auto"/>
        </w:rPr>
        <w:t>:</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Signature: ______Electronic Signature_____________________</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Print Name: _______ </w:t>
      </w:r>
      <w:r>
        <w:rPr>
          <w:rFonts w:ascii="Times New Roman" w:cs="Times New Roman" w:eastAsia="Times New Roman" w:hAnsi="Times New Roman"/>
          <w:sz w:val="21"/>
          <w:szCs w:val="21"/>
          <w:color w:val="auto"/>
        </w:rPr>
        <w:t>Colleague</w:t>
      </w:r>
      <w:r>
        <w:rPr>
          <w:rFonts w:ascii="Times New Roman" w:cs="Times New Roman" w:eastAsia="Times New Roman" w:hAnsi="Times New Roman"/>
          <w:sz w:val="20"/>
          <w:szCs w:val="20"/>
          <w:color w:val="auto"/>
        </w:rPr>
        <w:t xml:space="preserve"> Name_____________________</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Acceptance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8" w:right="39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SCHEDULE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0"/>
          <w:szCs w:val="20"/>
          <w:color w:val="auto"/>
        </w:rPr>
        <w:t>[INTENTIONALLY OMITTED]</w:t>
      </w:r>
    </w:p>
    <w:p>
      <w:pPr>
        <w:spacing w:after="0" w:line="26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2"/>
          <w:szCs w:val="22"/>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469265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07" w:right="339" w:bottom="1440" w:gutter="0" w:footer="0" w:header="0"/>
        </w:sectPr>
      </w:pPr>
    </w:p>
    <w:bookmarkStart w:id="132" w:name="page133"/>
    <w:bookmarkEnd w:id="132"/>
    <w:p>
      <w:pPr>
        <w:ind w:left="9960"/>
        <w:spacing w:after="0"/>
        <w:rPr>
          <w:sz w:val="20"/>
          <w:szCs w:val="20"/>
          <w:color w:val="auto"/>
        </w:rPr>
      </w:pPr>
      <w:r>
        <w:rPr>
          <w:rFonts w:ascii="Times New Roman" w:cs="Times New Roman" w:eastAsia="Times New Roman" w:hAnsi="Times New Roman"/>
          <w:sz w:val="19"/>
          <w:szCs w:val="19"/>
          <w:b w:val="1"/>
          <w:bCs w:val="1"/>
          <w:u w:val="single" w:color="auto"/>
          <w:color w:val="auto"/>
        </w:rPr>
        <w:t>SCHEDULE D</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Willis Towers Watson</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7030A0"/>
        </w:rPr>
        <w:t>Global Employee Personal Information Protection Notice</w:t>
      </w:r>
    </w:p>
    <w:p>
      <w:pPr>
        <w:spacing w:after="0" w:line="20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u w:val="single" w:color="auto"/>
          <w:color w:val="auto"/>
        </w:rPr>
        <w:t>Last Updated</w:t>
      </w:r>
      <w:r>
        <w:rPr>
          <w:rFonts w:ascii="Times New Roman" w:cs="Times New Roman" w:eastAsia="Times New Roman" w:hAnsi="Times New Roman"/>
          <w:sz w:val="20"/>
          <w:szCs w:val="20"/>
          <w:b w:val="1"/>
          <w:bCs w:val="1"/>
          <w:color w:val="auto"/>
        </w:rPr>
        <w:t>: September 2023</w:t>
      </w:r>
    </w:p>
    <w:p>
      <w:pPr>
        <w:spacing w:after="0" w:line="228" w:lineRule="exact"/>
        <w:rPr>
          <w:sz w:val="20"/>
          <w:szCs w:val="20"/>
          <w:color w:val="auto"/>
        </w:rPr>
      </w:pPr>
    </w:p>
    <w:p>
      <w:pPr>
        <w:ind w:left="740" w:hanging="732"/>
        <w:spacing w:after="0"/>
        <w:tabs>
          <w:tab w:leader="none" w:pos="740" w:val="left"/>
        </w:tabs>
        <w:numPr>
          <w:ilvl w:val="0"/>
          <w:numId w:val="78"/>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Introduction</w:t>
      </w:r>
    </w:p>
    <w:p>
      <w:pPr>
        <w:spacing w:after="0" w:line="192"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Willis Towers Watson operates as a global business through its affiliated entities (together “the Willis Towers Watson Group”). The Willis Towers Watson Group values the trust of its employees worldwide and is committed to protecting their personal information.</w:t>
      </w:r>
    </w:p>
    <w:p>
      <w:pPr>
        <w:spacing w:after="0" w:line="13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Willis Towers Watson Group operates in many different countries. Some of these countries have laws related to the collection, use, transfer and disclosure of the personal information of individuals, including our employees. The purpose of this Global Employee Personal Information Protection Notice (the “Notice”) is to give you information about what personal information the Willis Towers Watson Group collects, uses, transfers and discloses, and why.</w:t>
      </w:r>
    </w:p>
    <w:p>
      <w:pPr>
        <w:spacing w:after="0" w:line="15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Willis Towers Watson Group entity responsible for collecting and processing your personal data is the entity that employs you. The Willis Towers Watson Group may also engage with outside entities to collect information consistent with this notice. You can check which entity employs you by checking your contract of employment or by asking your usual HR contact. In this Notice, the term "we" or "us" refers to that entity. The information that we collect about you as an employee allows us to administer your benefits and helps to support routine Human Resources and operational processes, contingency planning, and internal talent searches.</w:t>
      </w:r>
    </w:p>
    <w:p>
      <w:pPr>
        <w:spacing w:after="0" w:line="152" w:lineRule="exact"/>
        <w:rPr>
          <w:sz w:val="20"/>
          <w:szCs w:val="20"/>
          <w:color w:val="auto"/>
        </w:rPr>
      </w:pPr>
    </w:p>
    <w:p>
      <w:pPr>
        <w:ind w:left="760" w:hanging="752"/>
        <w:spacing w:after="0"/>
        <w:tabs>
          <w:tab w:leader="none" w:pos="760" w:val="left"/>
        </w:tabs>
        <w:numPr>
          <w:ilvl w:val="0"/>
          <w:numId w:val="79"/>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What Personal Information about you that we collect, and how we collect Your Personal Information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the course of your employment, we may have collected or will collect information about you and your working relationship with us, your spouse, domestic/civil partner and/or dependents (“Dependents”). We refer to such information as “Personal Information” (also known as Personal Data in the Cayman Islands). For more specific information regarding what Personal Information about you, we may collect, use, transfer and disclose, and the purposes for which it may be collected, used, transferred and disclosed, please see Annex 1 to this Notice. Local employee handbooks, office manuals, works council agreements and notices provided in your local office or on the Willis Towers Watson intranet site may provide additional details or information.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Sources of Personal Information</w:t>
      </w:r>
    </w:p>
    <w:p>
      <w:pPr>
        <w:spacing w:after="0" w:line="25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We normally collect your Personal Information directly from you, for example when you apply for a job with us, when you commence your role, and from time to time throughout your employment when we ask you to provide information. We may be required as a consequence of our relationship with you as your employer, or by law, to collect certain Personal Information about you. Failure to provide this information may prevent or delay the fulfilment of our obligations as an employer. We will inform you at the time your information is collected whether certain information is compulsory and the consequences of the failure to provide such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also collect certain Personal Information about you from other sources, including:</w:t>
      </w:r>
    </w:p>
    <w:p>
      <w:pPr>
        <w:spacing w:after="0" w:line="345"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469265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3" w:name="page134"/>
    <w:bookmarkEnd w:id="133"/>
    <w:p>
      <w:pPr>
        <w:spacing w:after="0" w:line="228" w:lineRule="exact"/>
        <w:rPr>
          <w:sz w:val="20"/>
          <w:szCs w:val="20"/>
          <w:color w:val="auto"/>
        </w:rPr>
      </w:pPr>
    </w:p>
    <w:p>
      <w:pPr>
        <w:ind w:left="1480" w:hanging="739"/>
        <w:spacing w:after="0" w:line="268" w:lineRule="auto"/>
        <w:tabs>
          <w:tab w:leader="none" w:pos="14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background check information from employment screening agencies or publicly available registers (as allowed by law), or references obtained during recruitment;</w:t>
      </w:r>
    </w:p>
    <w:p>
      <w:pPr>
        <w:spacing w:after="0" w:line="201" w:lineRule="exact"/>
        <w:rPr>
          <w:rFonts w:ascii="Times New Roman" w:cs="Times New Roman" w:eastAsia="Times New Roman" w:hAnsi="Times New Roman"/>
          <w:sz w:val="20"/>
          <w:szCs w:val="20"/>
          <w:color w:val="auto"/>
        </w:rPr>
      </w:pPr>
    </w:p>
    <w:p>
      <w:pPr>
        <w:ind w:left="1480" w:hanging="739"/>
        <w:spacing w:after="0"/>
        <w:tabs>
          <w:tab w:leader="none" w:pos="14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professional profiles on websites or social media (e.g. LinkedIn); and</w:t>
      </w:r>
    </w:p>
    <w:p>
      <w:pPr>
        <w:spacing w:after="0" w:line="268"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1"/>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about your performance or conduct from other employees, clients, or service providers you work with who may provide feedback about you or participate in performance evaluations or reviews.</w:t>
      </w:r>
    </w:p>
    <w:p>
      <w:pPr>
        <w:spacing w:after="0" w:line="129" w:lineRule="exact"/>
        <w:rPr>
          <w:rFonts w:ascii="Times New Roman" w:cs="Times New Roman" w:eastAsia="Times New Roman" w:hAnsi="Times New Roman"/>
          <w:sz w:val="20"/>
          <w:szCs w:val="20"/>
          <w:color w:val="auto"/>
        </w:rPr>
      </w:pPr>
    </w:p>
    <w:p>
      <w:pPr>
        <w:ind w:left="740" w:hanging="732"/>
        <w:spacing w:after="0"/>
        <w:tabs>
          <w:tab w:leader="none" w:pos="740" w:val="left"/>
        </w:tabs>
        <w:numPr>
          <w:ilvl w:val="0"/>
          <w:numId w:val="81"/>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The Legal Bases and purposes for which we use, transfer, and disclose Your Personal Information</w:t>
      </w:r>
    </w:p>
    <w:p>
      <w:pPr>
        <w:spacing w:after="0" w:line="259"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In the EU, data protection laws and other laws, for example the Cayman Islands Data Protection Act (“DPA”) require that we only process personal information subject to one or more valid legal bases. In such cases our legal basis will be one of the following:</w:t>
      </w:r>
    </w:p>
    <w:p>
      <w:pPr>
        <w:spacing w:after="0" w:line="201" w:lineRule="exact"/>
        <w:rPr>
          <w:sz w:val="20"/>
          <w:szCs w:val="20"/>
          <w:color w:val="auto"/>
        </w:rPr>
      </w:pPr>
    </w:p>
    <w:p>
      <w:pPr>
        <w:ind w:left="1480" w:hanging="739"/>
        <w:spacing w:after="0"/>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fulfil our contractual obligations to you in connection with your employment contract with us;</w:t>
      </w:r>
    </w:p>
    <w:p>
      <w:pPr>
        <w:spacing w:after="0" w:line="188"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for example obtaining proof of your identity to enable us to meet our anti-money laundering obligations, or obtaining proof of your right to work status to enable us to meet relevant obligations;</w:t>
      </w:r>
    </w:p>
    <w:p>
      <w:pPr>
        <w:spacing w:after="0" w:line="201"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comply with our legal obligations to you, for example health and safety obligations that we must comply with as your employer or to a third party (e.g. the taxation authorities);</w:t>
      </w:r>
    </w:p>
    <w:p>
      <w:pPr>
        <w:spacing w:after="0" w:line="201" w:lineRule="exact"/>
        <w:rPr>
          <w:rFonts w:ascii="Times New Roman" w:cs="Times New Roman" w:eastAsia="Times New Roman" w:hAnsi="Times New Roman"/>
          <w:sz w:val="20"/>
          <w:szCs w:val="20"/>
          <w:color w:val="auto"/>
        </w:rPr>
      </w:pPr>
    </w:p>
    <w:p>
      <w:pPr>
        <w:jc w:val="both"/>
        <w:ind w:left="1480" w:hanging="739"/>
        <w:spacing w:after="0" w:line="246"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meet our legitimate interests, for example to manage our employees effectively, to protect us against theft or other crime, to allow you access to our technology and HR resources, and to conduct analytics that allows us to manage our workforce efficiently and plan recruitment activities. When we process personal information to meet our legitimate interests, we put in place robust safeguards to ensure that your privacy is protected and to ensure that our legitimate interests are not overridden by your interests or fundamental rights and freedoms;</w:t>
      </w:r>
    </w:p>
    <w:p>
      <w:pPr>
        <w:spacing w:after="0" w:line="237" w:lineRule="exact"/>
        <w:rPr>
          <w:rFonts w:ascii="Times New Roman" w:cs="Times New Roman" w:eastAsia="Times New Roman" w:hAnsi="Times New Roman"/>
          <w:sz w:val="20"/>
          <w:szCs w:val="20"/>
          <w:color w:val="auto"/>
        </w:rPr>
      </w:pPr>
    </w:p>
    <w:p>
      <w:pPr>
        <w:ind w:left="1480" w:right="20" w:hanging="739"/>
        <w:spacing w:after="0" w:line="268"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protect your or another person's vital interests, for example by providing your health information to a doctor in a medical emergency; or</w:t>
      </w:r>
    </w:p>
    <w:p>
      <w:pPr>
        <w:spacing w:after="0" w:line="201" w:lineRule="exact"/>
        <w:rPr>
          <w:rFonts w:ascii="Times New Roman" w:cs="Times New Roman" w:eastAsia="Times New Roman" w:hAnsi="Times New Roman"/>
          <w:sz w:val="20"/>
          <w:szCs w:val="20"/>
          <w:color w:val="auto"/>
        </w:rPr>
      </w:pPr>
    </w:p>
    <w:p>
      <w:pPr>
        <w:jc w:val="both"/>
        <w:ind w:left="1480" w:hanging="739"/>
        <w:spacing w:after="0" w:line="253" w:lineRule="auto"/>
        <w:tabs>
          <w:tab w:leader="none" w:pos="148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processing is necessary for medical purposes and is undertaken by (a) a health professional; or (2) a person who, in the circumstances, owes a duty of confidentiality equivalent to that which would arise if that person were a health professional.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14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may obtain your explicit consent to collect and use certain types of Personal Information when we are required to do so by law (for example, when we process some categories of sensitive personal information or, where required by law, execute a processing which is classified as “profiling”). If we ask for your consent to process your personal information, you may withdraw your consent at any time by contacting privacy@willistowerswatson.com.</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20"/>
          <w:szCs w:val="20"/>
          <w:color w:val="auto"/>
        </w:rPr>
        <w:t>The purposes for which we use your personal information are explained in more detail in Annex 1 to this Notice.</w:t>
      </w:r>
    </w:p>
    <w:p>
      <w:pPr>
        <w:spacing w:after="0" w:line="184" w:lineRule="exact"/>
        <w:rPr>
          <w:sz w:val="20"/>
          <w:szCs w:val="20"/>
          <w:color w:val="auto"/>
        </w:rPr>
      </w:pPr>
    </w:p>
    <w:p>
      <w:pPr>
        <w:ind w:left="740" w:hanging="732"/>
        <w:spacing w:after="0"/>
        <w:tabs>
          <w:tab w:leader="none" w:pos="740" w:val="left"/>
        </w:tabs>
        <w:numPr>
          <w:ilvl w:val="0"/>
          <w:numId w:val="83"/>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Monitoring tools, profiling and automated decision-making</w:t>
      </w:r>
    </w:p>
    <w:p>
      <w:pPr>
        <w:spacing w:after="0" w:line="192"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Some of the technology we use to protect company confidential information and ensure compliance with company policies monitors employee IT usage and employee communications and may automatically filter, record or block the sending of communications, or flag certain communications for further review, subject to meeting local legal requirements. For further information on this, please contact privacy@willistowerswatson.com. Subject to restrictions under local laws, we may also use technology (including third party solutions) to process your Personal Information in a manner that constitutes "profiling". This involves the use of software that is able to evaluate your personal aspects and predict risks or outcomes. We do this to assist in workforce management, for example we may use software to ensure our workforce is managed and utilised efficiently, to predict risks in staff retention, to detect problems in the workplace, and/or to ensure that employees are being compensated fairly.</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may use this type of technology to assist our decision-making, where required by law, we do not make important decisions about employees (e.g. as to their compensation, dismissal or promotion) without a member of management and/or the HR team assessing all the circumstances.</w:t>
      </w:r>
    </w:p>
    <w:p>
      <w:pPr>
        <w:spacing w:after="0" w:line="145" w:lineRule="exact"/>
        <w:rPr>
          <w:sz w:val="20"/>
          <w:szCs w:val="20"/>
          <w:color w:val="auto"/>
        </w:rPr>
      </w:pPr>
    </w:p>
    <w:p>
      <w:pPr>
        <w:ind w:left="740" w:hanging="732"/>
        <w:spacing w:after="0"/>
        <w:tabs>
          <w:tab w:leader="none" w:pos="740" w:val="left"/>
        </w:tabs>
        <w:numPr>
          <w:ilvl w:val="0"/>
          <w:numId w:val="84"/>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Transfer of Personal Information</w:t>
      </w:r>
    </w:p>
    <w:p>
      <w:pPr>
        <w:spacing w:after="0" w:line="19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Due to the global nature of Willis Towers Watson Group operations, we may disclose Personal Information to personnel and departments in other entities which are part of the Willis Towers Watson Group to fulfil the purposes described in this Notice. This may include transferring Personal Information to other countries (including countries other than where you are based that have a different data protection regime than is found in the country where you are based). If you are located in the European Economic Area (the “EEA”), the UK or Switzerland this may include countries outside of the EEA, UK or Switzerland. If you are located in the Cayman Islands, this may include the United States, the European Union, India, and Bermuda. If you are located in Quebec, this may include other Canadian provinces, the United States, the European Union, India or other countries. Some of these countries are recognized by the European Commission or other regulators as providing an adequate level of protection according to EEA standards (the full list of these countries is available here), while others are not. With regard to transfers to other countries that do not provide an adequate level of protection according to EEA standards, we have put in place adequate measures, such as standard contractual clauses adopted by the European Commission, to protect your information. You may obtain more information about these measures and the Willis Towers Watson Group's Global Privacy Program by contacting privacy@willistowerswatson.com.</w:t>
      </w:r>
    </w:p>
    <w:p>
      <w:pPr>
        <w:spacing w:after="0" w:line="16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Access to Personal Information within the Willis Towers Watson Group will be limited to those who have a need to know the information for the purposes described in Annex 1 to this Notice, and may include your managers and their designees, personnel in the international management, HR, IT, Compliance, Legal, Finance and Accounting and Internal Audit to the extent that it is legally necessary.</w:t>
      </w:r>
    </w:p>
    <w:p>
      <w:pPr>
        <w:spacing w:after="0" w:line="14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All personnel within the Willis Towers Watson Group will generally have access to your business contact information such as name, position, telephone number, postal address, email address and photograph.</w:t>
      </w:r>
    </w:p>
    <w:p>
      <w:pPr>
        <w:spacing w:after="0" w:line="13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From time to time, we and other entities within the Willis Towers Watson Group may need to make Personal Information available to other unaffiliated third parties. For a list of the categories of unaffiliated third parties, please see Annex 1 to this Notice. Some of the unaffiliated third parties will be located outside of your home jurisdiction, including in the United States and other jurisdictions that may not provide an adequate level of protection according to EEA standards. Third party service providers and professional advisors are required to protect the confidentiality and security of Personal Information, and only use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5" w:name="page136"/>
    <w:bookmarkEnd w:id="135"/>
    <w:p>
      <w:pPr>
        <w:spacing w:after="0"/>
        <w:rPr>
          <w:sz w:val="20"/>
          <w:szCs w:val="20"/>
          <w:color w:val="auto"/>
        </w:rPr>
      </w:pPr>
      <w:r>
        <w:rPr>
          <w:rFonts w:ascii="Times New Roman" w:cs="Times New Roman" w:eastAsia="Times New Roman" w:hAnsi="Times New Roman"/>
          <w:sz w:val="19"/>
          <w:szCs w:val="19"/>
          <w:color w:val="auto"/>
        </w:rPr>
        <w:t>Personal Information for the provision of services to Willis Towers Watson Group, and in compliance with applicable law.</w:t>
      </w:r>
    </w:p>
    <w:p>
      <w:pPr>
        <w:sectPr>
          <w:pgSz w:w="11900" w:h="16838" w:orient="portrait"/>
          <w:cols w:equalWidth="0" w:num="1">
            <w:col w:w="10139"/>
          </w:cols>
          <w:pgMar w:left="320" w:top="1411"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638175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1" w:right="1440" w:bottom="1440" w:gutter="0" w:footer="0" w:header="0"/>
          <w:type w:val="continuous"/>
        </w:sectPr>
      </w:pPr>
    </w:p>
    <w:bookmarkStart w:id="136" w:name="page137"/>
    <w:bookmarkEnd w:id="136"/>
    <w:p>
      <w:pPr>
        <w:spacing w:after="0" w:line="386" w:lineRule="exact"/>
        <w:rPr>
          <w:sz w:val="20"/>
          <w:szCs w:val="20"/>
          <w:color w:val="auto"/>
        </w:rPr>
      </w:pPr>
    </w:p>
    <w:p>
      <w:pPr>
        <w:ind w:left="740" w:hanging="732"/>
        <w:spacing w:after="0"/>
        <w:tabs>
          <w:tab w:leader="none" w:pos="740" w:val="left"/>
        </w:tabs>
        <w:numPr>
          <w:ilvl w:val="0"/>
          <w:numId w:val="85"/>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Security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Willis Towers Watson Group will take appropriate measures to protect Personal Information consistent with applicable privacy and data security laws and regulations, including requiring service providers to use appropriate measures to protect the confidentiality and security of Personal Information.</w:t>
      </w:r>
    </w:p>
    <w:p>
      <w:pPr>
        <w:spacing w:after="0" w:line="145" w:lineRule="exact"/>
        <w:rPr>
          <w:sz w:val="20"/>
          <w:szCs w:val="20"/>
          <w:color w:val="auto"/>
        </w:rPr>
      </w:pPr>
    </w:p>
    <w:p>
      <w:pPr>
        <w:ind w:left="740" w:hanging="732"/>
        <w:spacing w:after="0"/>
        <w:tabs>
          <w:tab w:leader="none" w:pos="740" w:val="left"/>
        </w:tabs>
        <w:numPr>
          <w:ilvl w:val="0"/>
          <w:numId w:val="86"/>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Data Retention</w:t>
      </w:r>
    </w:p>
    <w:p>
      <w:pPr>
        <w:spacing w:after="0" w:line="19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The Willis Towers Watson Group will keep your personal information for as long as you remain employed by us, and for a period of 10 years thereafter. We will only retain your personal information after this time if we are required to do so to comply with the law, or if there are outstanding or, where allowed by law, reasonably anticipated claims or complaints that will reasonably require your personal information to be retained. For additional details, please review our Records Management Policy.</w:t>
      </w:r>
    </w:p>
    <w:p>
      <w:pPr>
        <w:spacing w:after="0" w:line="15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there is any information that we are unable, for technical reasons, to delete entirely from our systems, we will put in place appropriate measures to prevent any further processing or use of the data.</w:t>
      </w:r>
    </w:p>
    <w:p>
      <w:pPr>
        <w:spacing w:after="0" w:line="130" w:lineRule="exact"/>
        <w:rPr>
          <w:sz w:val="20"/>
          <w:szCs w:val="20"/>
          <w:color w:val="auto"/>
        </w:rPr>
      </w:pPr>
    </w:p>
    <w:p>
      <w:pPr>
        <w:ind w:left="740" w:hanging="732"/>
        <w:spacing w:after="0"/>
        <w:tabs>
          <w:tab w:leader="none" w:pos="740" w:val="left"/>
        </w:tabs>
        <w:numPr>
          <w:ilvl w:val="0"/>
          <w:numId w:val="87"/>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Access and correction requests, questions, and complaints</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have certain rights regarding your Personal Information, subject to local law, which may include the right to:</w:t>
      </w:r>
    </w:p>
    <w:p>
      <w:pPr>
        <w:spacing w:after="0" w:line="188" w:lineRule="exact"/>
        <w:rPr>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your Personal Information;</w:t>
      </w:r>
    </w:p>
    <w:p>
      <w:pPr>
        <w:spacing w:after="0" w:line="2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rectify the information we hold about you;</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erase your Personal Information;</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 our use of your Personal Information;</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object to our use of your Personal Information;</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your Personal Information in a usable electronic format and transmit it to a third party (right to data portability);</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withdraw your consent to any processing based on consent at any time;</w:t>
      </w:r>
    </w:p>
    <w:p>
      <w:pPr>
        <w:ind w:left="760" w:hanging="378"/>
        <w:spacing w:after="0" w:line="239" w:lineRule="auto"/>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lodge a complaint with your local data protection authority if you believe that we have not been able to assist with your complaint or concern (and the right to seek compensation pertaining to DPA);</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be informed about the collection and use of Personal Information; and</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stop direct marketing.</w:t>
      </w:r>
    </w:p>
    <w:p>
      <w:pPr>
        <w:ind w:left="760" w:hanging="378"/>
        <w:spacing w:after="0"/>
        <w:tabs>
          <w:tab w:leader="none" w:pos="76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 to restrict automated decision making (</w:t>
      </w:r>
      <w:r>
        <w:rPr>
          <w:rFonts w:ascii="Times New Roman" w:cs="Times New Roman" w:eastAsia="Times New Roman" w:hAnsi="Times New Roman"/>
          <w:sz w:val="20"/>
          <w:szCs w:val="20"/>
          <w:i w:val="1"/>
          <w:iCs w:val="1"/>
          <w:color w:val="auto"/>
        </w:rPr>
        <w:t>see DPA</w:t>
      </w:r>
      <w:r>
        <w:rPr>
          <w:rFonts w:ascii="Times New Roman" w:cs="Times New Roman" w:eastAsia="Times New Roman" w:hAnsi="Times New Roman"/>
          <w:sz w:val="20"/>
          <w:szCs w:val="20"/>
          <w:color w:val="auto"/>
        </w:rPr>
        <w:t>).</w:t>
      </w:r>
    </w:p>
    <w:p>
      <w:pPr>
        <w:spacing w:after="0" w:line="23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If you have any questions about this Notice or if you would like to discuss or exercise your rights, please contact Human Resources or email privacy@willistowerswatson.com.</w:t>
      </w:r>
    </w:p>
    <w:p>
      <w:pPr>
        <w:spacing w:after="0" w:line="13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you wish to file a complaint about the way your information is processed, we encourage you to first contact your local Human Resources Representative, who will take all reasonable efforts to solve the issue. You have the right at all times to lodge a complaint with a supervisory authority responsible for your country or region.</w:t>
      </w:r>
    </w:p>
    <w:p>
      <w:pPr>
        <w:spacing w:after="0" w:line="145" w:lineRule="exact"/>
        <w:rPr>
          <w:sz w:val="20"/>
          <w:szCs w:val="20"/>
          <w:color w:val="auto"/>
        </w:rPr>
      </w:pPr>
    </w:p>
    <w:p>
      <w:pPr>
        <w:ind w:left="740" w:hanging="732"/>
        <w:spacing w:after="0"/>
        <w:tabs>
          <w:tab w:leader="none" w:pos="740" w:val="left"/>
        </w:tabs>
        <w:numPr>
          <w:ilvl w:val="0"/>
          <w:numId w:val="89"/>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Employee’s Obligations</w:t>
      </w:r>
    </w:p>
    <w:p>
      <w:pPr>
        <w:spacing w:after="0" w:line="192"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Please keep Personal Information up to date and inform us of any significant changes to Personal Information. You agree to inform your Dependents whose Personal Information you provide to us about</w:t>
      </w:r>
    </w:p>
    <w:p>
      <w:pPr>
        <w:spacing w:after="0" w:line="1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7" w:name="page138"/>
    <w:bookmarkEnd w:id="137"/>
    <w:p>
      <w:pPr>
        <w:ind w:right="20"/>
        <w:spacing w:after="0" w:line="268" w:lineRule="auto"/>
        <w:rPr>
          <w:sz w:val="20"/>
          <w:szCs w:val="20"/>
          <w:color w:val="auto"/>
        </w:rPr>
      </w:pPr>
      <w:r>
        <w:rPr>
          <w:rFonts w:ascii="Times New Roman" w:cs="Times New Roman" w:eastAsia="Times New Roman" w:hAnsi="Times New Roman"/>
          <w:sz w:val="20"/>
          <w:szCs w:val="20"/>
          <w:color w:val="auto"/>
        </w:rPr>
        <w:t>the content of this Notice and to explain the use (including transfer and disclosure) of that Personal Information by us as set out in this Notice.</w:t>
      </w:r>
    </w:p>
    <w:p>
      <w:pPr>
        <w:spacing w:after="0" w:line="130" w:lineRule="exact"/>
        <w:rPr>
          <w:sz w:val="20"/>
          <w:szCs w:val="20"/>
          <w:color w:val="auto"/>
        </w:rPr>
      </w:pPr>
    </w:p>
    <w:p>
      <w:pPr>
        <w:ind w:left="740" w:hanging="732"/>
        <w:spacing w:after="0"/>
        <w:tabs>
          <w:tab w:leader="none" w:pos="740" w:val="left"/>
        </w:tabs>
        <w:numPr>
          <w:ilvl w:val="0"/>
          <w:numId w:val="90"/>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Changes to the Policy</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may modify or update this Notice from time to time.</w:t>
      </w:r>
    </w:p>
    <w:p>
      <w:pPr>
        <w:spacing w:after="0" w:line="2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If we change this Notice, we will notify you of the changes. Where changes to this Notice will have a fundamental impact on the nature of the processing or otherwise have a substantial impact on you, we will give you sufficient advance notice so that you have the opportunity to exercise your rights (e.g. to object to the processing).</w:t>
      </w:r>
    </w:p>
    <w:p>
      <w:pPr>
        <w:spacing w:after="0" w:line="145" w:lineRule="exact"/>
        <w:rPr>
          <w:sz w:val="20"/>
          <w:szCs w:val="20"/>
          <w:color w:val="auto"/>
        </w:rPr>
      </w:pPr>
    </w:p>
    <w:p>
      <w:pPr>
        <w:ind w:left="740" w:hanging="732"/>
        <w:spacing w:after="0"/>
        <w:tabs>
          <w:tab w:leader="none" w:pos="740" w:val="left"/>
        </w:tabs>
        <w:numPr>
          <w:ilvl w:val="0"/>
          <w:numId w:val="91"/>
        </w:numPr>
        <w:rPr>
          <w:rFonts w:ascii="Times New Roman" w:cs="Times New Roman" w:eastAsia="Times New Roman" w:hAnsi="Times New Roman"/>
          <w:sz w:val="20"/>
          <w:szCs w:val="20"/>
          <w:b w:val="1"/>
          <w:bCs w:val="1"/>
          <w:color w:val="7030A0"/>
        </w:rPr>
      </w:pPr>
      <w:r>
        <w:rPr>
          <w:rFonts w:ascii="Times New Roman" w:cs="Times New Roman" w:eastAsia="Times New Roman" w:hAnsi="Times New Roman"/>
          <w:sz w:val="20"/>
          <w:szCs w:val="20"/>
          <w:b w:val="1"/>
          <w:bCs w:val="1"/>
          <w:color w:val="7030A0"/>
        </w:rPr>
        <w:t>Contact</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Willis Towers Watson entity that employs you is the controller, business or responsible party responsible for processing your Personal Information in accordance with this Notice. Please contact your local Human Resources representative for further information on this entity and the appropriate means to contact them.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questions or comments about this Notice, please contact Human Resources or email privacy@willistowerswatson.com.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some countries, there is a legal requirement to provide a named individual and their contact details. These are:</w:t>
      </w: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95"/>
        </w:trPr>
        <w:tc>
          <w:tcPr>
            <w:tcW w:w="1380" w:type="dxa"/>
            <w:vAlign w:val="bottom"/>
            <w:tcBorders>
              <w:top w:val="single" w:sz="8" w:color="auto"/>
              <w:left w:val="single" w:sz="8" w:color="auto"/>
              <w:bottom w:val="single" w:sz="8" w:color="auto"/>
              <w:right w:val="single" w:sz="8" w:color="auto"/>
            </w:tcBorders>
            <w:shd w:val="clear" w:color="auto" w:fill="D9EEFF"/>
          </w:tcPr>
          <w:p>
            <w:pPr>
              <w:ind w:left="340"/>
              <w:spacing w:after="0"/>
              <w:rPr>
                <w:sz w:val="20"/>
                <w:szCs w:val="20"/>
                <w:color w:val="auto"/>
              </w:rPr>
            </w:pPr>
            <w:r>
              <w:rPr>
                <w:rFonts w:ascii="Times New Roman" w:cs="Times New Roman" w:eastAsia="Times New Roman" w:hAnsi="Times New Roman"/>
                <w:sz w:val="20"/>
                <w:szCs w:val="20"/>
                <w:color w:val="auto"/>
              </w:rPr>
              <w:t>Country</w:t>
            </w:r>
          </w:p>
        </w:tc>
        <w:tc>
          <w:tcPr>
            <w:tcW w:w="2640" w:type="dxa"/>
            <w:vAlign w:val="bottom"/>
            <w:tcBorders>
              <w:top w:val="single" w:sz="8" w:color="auto"/>
              <w:bottom w:val="single" w:sz="8" w:color="auto"/>
              <w:right w:val="single" w:sz="8" w:color="auto"/>
            </w:tcBorders>
            <w:shd w:val="clear" w:color="auto" w:fill="D9EEFF"/>
          </w:tcPr>
          <w:p>
            <w:pPr>
              <w:ind w:left="1040"/>
              <w:spacing w:after="0"/>
              <w:rPr>
                <w:sz w:val="20"/>
                <w:szCs w:val="20"/>
                <w:color w:val="auto"/>
              </w:rPr>
            </w:pPr>
            <w:r>
              <w:rPr>
                <w:rFonts w:ascii="Times New Roman" w:cs="Times New Roman" w:eastAsia="Times New Roman" w:hAnsi="Times New Roman"/>
                <w:sz w:val="20"/>
                <w:szCs w:val="20"/>
                <w:color w:val="auto"/>
              </w:rPr>
              <w:t>Name</w:t>
            </w:r>
          </w:p>
        </w:tc>
        <w:tc>
          <w:tcPr>
            <w:tcW w:w="280" w:type="dxa"/>
            <w:vAlign w:val="bottom"/>
            <w:tcBorders>
              <w:top w:val="single" w:sz="8" w:color="auto"/>
              <w:bottom w:val="single" w:sz="8" w:color="auto"/>
            </w:tcBorders>
            <w:shd w:val="clear" w:color="auto" w:fill="D9EEFF"/>
          </w:tcPr>
          <w:p>
            <w:pPr>
              <w:spacing w:after="0"/>
              <w:rPr>
                <w:sz w:val="24"/>
                <w:szCs w:val="24"/>
                <w:color w:val="auto"/>
              </w:rPr>
            </w:pPr>
          </w:p>
        </w:tc>
        <w:tc>
          <w:tcPr>
            <w:tcW w:w="6480" w:type="dxa"/>
            <w:vAlign w:val="bottom"/>
            <w:tcBorders>
              <w:top w:val="single" w:sz="8" w:color="auto"/>
              <w:bottom w:val="single" w:sz="8" w:color="auto"/>
              <w:right w:val="single" w:sz="8" w:color="auto"/>
            </w:tcBorders>
            <w:shd w:val="clear" w:color="auto" w:fill="D9EEFF"/>
          </w:tcPr>
          <w:p>
            <w:pPr>
              <w:ind w:left="2500"/>
              <w:spacing w:after="0"/>
              <w:rPr>
                <w:sz w:val="20"/>
                <w:szCs w:val="20"/>
                <w:color w:val="auto"/>
              </w:rPr>
            </w:pPr>
            <w:r>
              <w:rPr>
                <w:rFonts w:ascii="Times New Roman" w:cs="Times New Roman" w:eastAsia="Times New Roman" w:hAnsi="Times New Roman"/>
                <w:sz w:val="20"/>
                <w:szCs w:val="20"/>
                <w:color w:val="auto"/>
              </w:rPr>
              <w:t>Contact details</w:t>
            </w:r>
          </w:p>
        </w:tc>
      </w:tr>
      <w:tr>
        <w:trPr>
          <w:trHeight w:val="197"/>
        </w:trPr>
        <w:tc>
          <w:tcPr>
            <w:tcW w:w="1380" w:type="dxa"/>
            <w:vAlign w:val="bottom"/>
            <w:tcBorders>
              <w:top w:val="single" w:sz="8" w:color="auto"/>
              <w:left w:val="single" w:sz="8" w:color="auto"/>
              <w:right w:val="single" w:sz="8" w:color="auto"/>
            </w:tcBorders>
            <w:shd w:val="clear" w:color="auto" w:fill="D9EEFF"/>
          </w:tcPr>
          <w:p>
            <w:pPr>
              <w:ind w:left="120"/>
              <w:spacing w:after="0" w:line="197" w:lineRule="exact"/>
              <w:rPr>
                <w:sz w:val="20"/>
                <w:szCs w:val="20"/>
                <w:color w:val="auto"/>
              </w:rPr>
            </w:pPr>
            <w:r>
              <w:rPr>
                <w:rFonts w:ascii="Times New Roman" w:cs="Times New Roman" w:eastAsia="Times New Roman" w:hAnsi="Times New Roman"/>
                <w:sz w:val="20"/>
                <w:szCs w:val="20"/>
                <w:color w:val="auto"/>
              </w:rPr>
              <w:t>Canada</w:t>
            </w:r>
          </w:p>
        </w:tc>
        <w:tc>
          <w:tcPr>
            <w:tcW w:w="2640" w:type="dxa"/>
            <w:vAlign w:val="bottom"/>
            <w:tcBorders>
              <w:top w:val="single" w:sz="8" w:color="D9EEFF"/>
              <w:right w:val="single" w:sz="8" w:color="auto"/>
            </w:tcBorders>
            <w:shd w:val="clear" w:color="auto" w:fill="D9EEFF"/>
          </w:tcPr>
          <w:p>
            <w:pPr>
              <w:spacing w:after="0"/>
              <w:rPr>
                <w:sz w:val="17"/>
                <w:szCs w:val="17"/>
                <w:color w:val="auto"/>
              </w:rPr>
            </w:pPr>
          </w:p>
        </w:tc>
        <w:tc>
          <w:tcPr>
            <w:tcW w:w="6760" w:type="dxa"/>
            <w:vAlign w:val="bottom"/>
            <w:tcBorders>
              <w:top w:val="single" w:sz="8" w:color="D9EEFF"/>
              <w:right w:val="single" w:sz="8" w:color="auto"/>
            </w:tcBorders>
            <w:gridSpan w:val="2"/>
            <w:shd w:val="clear" w:color="auto" w:fill="D9EEFF"/>
          </w:tcPr>
          <w:p>
            <w:pPr>
              <w:ind w:left="80"/>
              <w:spacing w:after="0" w:line="197" w:lineRule="exact"/>
              <w:rPr>
                <w:sz w:val="20"/>
                <w:szCs w:val="20"/>
                <w:color w:val="auto"/>
              </w:rPr>
            </w:pPr>
            <w:r>
              <w:rPr>
                <w:rFonts w:ascii="Times New Roman" w:cs="Times New Roman" w:eastAsia="Times New Roman" w:hAnsi="Times New Roman"/>
                <w:sz w:val="20"/>
                <w:szCs w:val="20"/>
                <w:color w:val="auto"/>
              </w:rPr>
              <w:t>Attention of the Privacy Officer:</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Towers Watson Canada Inc. and/or Willis Canada Inc.</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130 King St W, Exchange Tower, Suite 1500</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P.O. Box 424</w:t>
            </w:r>
          </w:p>
        </w:tc>
      </w:tr>
      <w:tr>
        <w:trPr>
          <w:trHeight w:val="258"/>
        </w:trPr>
        <w:tc>
          <w:tcPr>
            <w:tcW w:w="1380" w:type="dxa"/>
            <w:vAlign w:val="bottom"/>
            <w:tcBorders>
              <w:left w:val="single" w:sz="8" w:color="auto"/>
              <w:right w:val="single" w:sz="8" w:color="auto"/>
            </w:tcBorders>
            <w:shd w:val="clear" w:color="auto" w:fill="D9EEFF"/>
          </w:tcPr>
          <w:p>
            <w:pPr>
              <w:spacing w:after="0"/>
              <w:rPr>
                <w:sz w:val="22"/>
                <w:szCs w:val="22"/>
                <w:color w:val="auto"/>
              </w:rPr>
            </w:pPr>
          </w:p>
        </w:tc>
        <w:tc>
          <w:tcPr>
            <w:tcW w:w="2640" w:type="dxa"/>
            <w:vAlign w:val="bottom"/>
            <w:tcBorders>
              <w:right w:val="single" w:sz="8" w:color="auto"/>
            </w:tcBorders>
            <w:shd w:val="clear" w:color="auto" w:fill="D9EEFF"/>
          </w:tcPr>
          <w:p>
            <w:pPr>
              <w:spacing w:after="0"/>
              <w:rPr>
                <w:sz w:val="22"/>
                <w:szCs w:val="22"/>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Toronto, ON M5X 1E3</w:t>
            </w:r>
          </w:p>
        </w:tc>
      </w:tr>
      <w:tr>
        <w:trPr>
          <w:trHeight w:val="430"/>
        </w:trPr>
        <w:tc>
          <w:tcPr>
            <w:tcW w:w="1380" w:type="dxa"/>
            <w:vAlign w:val="bottom"/>
            <w:tcBorders>
              <w:left w:val="single" w:sz="8" w:color="auto"/>
              <w:right w:val="single" w:sz="8" w:color="auto"/>
            </w:tcBorders>
            <w:shd w:val="clear" w:color="auto" w:fill="D9EEFF"/>
          </w:tcPr>
          <w:p>
            <w:pPr>
              <w:spacing w:after="0"/>
              <w:rPr>
                <w:sz w:val="24"/>
                <w:szCs w:val="24"/>
                <w:color w:val="auto"/>
              </w:rPr>
            </w:pPr>
          </w:p>
        </w:tc>
        <w:tc>
          <w:tcPr>
            <w:tcW w:w="2640" w:type="dxa"/>
            <w:vAlign w:val="bottom"/>
            <w:tcBorders>
              <w:right w:val="single" w:sz="8" w:color="auto"/>
            </w:tcBorders>
            <w:shd w:val="clear" w:color="auto" w:fill="D9EEFF"/>
          </w:tcPr>
          <w:p>
            <w:pPr>
              <w:spacing w:after="0"/>
              <w:rPr>
                <w:sz w:val="24"/>
                <w:szCs w:val="24"/>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Email: privacy@willistowerswatson.com</w:t>
            </w:r>
          </w:p>
        </w:tc>
      </w:tr>
      <w:tr>
        <w:trPr>
          <w:trHeight w:val="262"/>
        </w:trPr>
        <w:tc>
          <w:tcPr>
            <w:tcW w:w="1380" w:type="dxa"/>
            <w:vAlign w:val="bottom"/>
            <w:tcBorders>
              <w:left w:val="single" w:sz="8" w:color="auto"/>
              <w:bottom w:val="single" w:sz="8" w:color="auto"/>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6760" w:type="dxa"/>
            <w:vAlign w:val="bottom"/>
            <w:tcBorders>
              <w:bottom w:val="single" w:sz="8" w:color="auto"/>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Phone: 416.960.2700</w:t>
            </w:r>
          </w:p>
        </w:tc>
      </w:tr>
      <w:tr>
        <w:trPr>
          <w:trHeight w:val="217"/>
        </w:trPr>
        <w:tc>
          <w:tcPr>
            <w:tcW w:w="1380" w:type="dxa"/>
            <w:vAlign w:val="bottom"/>
            <w:tcBorders>
              <w:left w:val="single" w:sz="8" w:color="auto"/>
              <w:right w:val="single" w:sz="8" w:color="auto"/>
            </w:tcBorders>
            <w:shd w:val="clear" w:color="auto" w:fill="D9EEFF"/>
          </w:tcPr>
          <w:p>
            <w:pPr>
              <w:ind w:left="120"/>
              <w:spacing w:after="0" w:line="217" w:lineRule="exact"/>
              <w:rPr>
                <w:sz w:val="20"/>
                <w:szCs w:val="20"/>
                <w:color w:val="auto"/>
              </w:rPr>
            </w:pPr>
            <w:r>
              <w:rPr>
                <w:rFonts w:ascii="Times New Roman" w:cs="Times New Roman" w:eastAsia="Times New Roman" w:hAnsi="Times New Roman"/>
                <w:sz w:val="20"/>
                <w:szCs w:val="20"/>
                <w:color w:val="auto"/>
              </w:rPr>
              <w:t>Nigeria</w:t>
            </w:r>
          </w:p>
        </w:tc>
        <w:tc>
          <w:tcPr>
            <w:tcW w:w="2640" w:type="dxa"/>
            <w:vAlign w:val="bottom"/>
            <w:tcBorders>
              <w:right w:val="single" w:sz="8" w:color="auto"/>
            </w:tcBorders>
            <w:shd w:val="clear" w:color="auto" w:fill="D9EEFF"/>
          </w:tcPr>
          <w:p>
            <w:pPr>
              <w:ind w:left="40"/>
              <w:spacing w:after="0" w:line="217" w:lineRule="exact"/>
              <w:rPr>
                <w:sz w:val="20"/>
                <w:szCs w:val="20"/>
                <w:color w:val="auto"/>
              </w:rPr>
            </w:pPr>
            <w:r>
              <w:rPr>
                <w:rFonts w:ascii="Times New Roman" w:cs="Times New Roman" w:eastAsia="Times New Roman" w:hAnsi="Times New Roman"/>
                <w:sz w:val="20"/>
                <w:szCs w:val="20"/>
                <w:color w:val="auto"/>
              </w:rPr>
              <w:t>Adewunmi Akinmodiro</w:t>
            </w:r>
          </w:p>
        </w:tc>
        <w:tc>
          <w:tcPr>
            <w:tcW w:w="6760" w:type="dxa"/>
            <w:vAlign w:val="bottom"/>
            <w:tcBorders>
              <w:right w:val="single" w:sz="8" w:color="auto"/>
            </w:tcBorders>
            <w:gridSpan w:val="2"/>
            <w:shd w:val="clear" w:color="auto" w:fill="D9EEFF"/>
          </w:tcPr>
          <w:p>
            <w:pPr>
              <w:ind w:left="80"/>
              <w:spacing w:after="0" w:line="217" w:lineRule="exact"/>
              <w:rPr>
                <w:sz w:val="20"/>
                <w:szCs w:val="20"/>
                <w:color w:val="auto"/>
              </w:rPr>
            </w:pPr>
            <w:r>
              <w:rPr>
                <w:rFonts w:ascii="Times New Roman" w:cs="Times New Roman" w:eastAsia="Times New Roman" w:hAnsi="Times New Roman"/>
                <w:sz w:val="20"/>
                <w:szCs w:val="20"/>
                <w:b w:val="1"/>
                <w:bCs w:val="1"/>
                <w:color w:val="auto"/>
              </w:rPr>
              <w:t>Adewunmi.Akinmodiro@willistowerswatson.com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Willis Towers Watson Nigeria Limited</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6760" w:type="dxa"/>
            <w:vAlign w:val="bottom"/>
            <w:tcBorders>
              <w:right w:val="single" w:sz="8" w:color="auto"/>
            </w:tcBorders>
            <w:gridSpan w:val="2"/>
            <w:shd w:val="clear" w:color="auto" w:fill="D9EEFF"/>
          </w:tcPr>
          <w:p>
            <w:pPr>
              <w:ind w:left="140"/>
              <w:spacing w:after="0"/>
              <w:rPr>
                <w:sz w:val="20"/>
                <w:szCs w:val="20"/>
                <w:color w:val="auto"/>
              </w:rPr>
            </w:pPr>
            <w:r>
              <w:rPr>
                <w:rFonts w:ascii="Times New Roman" w:cs="Times New Roman" w:eastAsia="Times New Roman" w:hAnsi="Times New Roman"/>
                <w:sz w:val="20"/>
                <w:szCs w:val="20"/>
                <w:color w:val="auto"/>
              </w:rPr>
              <w:t>6th Floor, Africa RE Building. Plot 1679 Karimu Kotun Street, Victoria Island</w:t>
            </w:r>
          </w:p>
        </w:tc>
      </w:tr>
      <w:tr>
        <w:trPr>
          <w:trHeight w:val="258"/>
        </w:trPr>
        <w:tc>
          <w:tcPr>
            <w:tcW w:w="1380" w:type="dxa"/>
            <w:vAlign w:val="bottom"/>
            <w:tcBorders>
              <w:left w:val="single" w:sz="8" w:color="auto"/>
              <w:right w:val="single" w:sz="8" w:color="auto"/>
            </w:tcBorders>
            <w:shd w:val="clear" w:color="auto" w:fill="D9EEFF"/>
          </w:tcPr>
          <w:p>
            <w:pPr>
              <w:spacing w:after="0"/>
              <w:rPr>
                <w:sz w:val="22"/>
                <w:szCs w:val="22"/>
                <w:color w:val="auto"/>
              </w:rPr>
            </w:pPr>
          </w:p>
        </w:tc>
        <w:tc>
          <w:tcPr>
            <w:tcW w:w="2640" w:type="dxa"/>
            <w:vAlign w:val="bottom"/>
            <w:tcBorders>
              <w:right w:val="single" w:sz="8" w:color="auto"/>
            </w:tcBorders>
            <w:shd w:val="clear" w:color="auto" w:fill="D9EEFF"/>
          </w:tcPr>
          <w:p>
            <w:pPr>
              <w:spacing w:after="0"/>
              <w:rPr>
                <w:sz w:val="22"/>
                <w:szCs w:val="22"/>
                <w:color w:val="auto"/>
              </w:rPr>
            </w:pPr>
          </w:p>
        </w:tc>
        <w:tc>
          <w:tcPr>
            <w:tcW w:w="67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Lagos, Nigeria.</w:t>
            </w:r>
          </w:p>
        </w:tc>
      </w:tr>
      <w:tr>
        <w:trPr>
          <w:trHeight w:val="237"/>
        </w:trPr>
        <w:tc>
          <w:tcPr>
            <w:tcW w:w="1380" w:type="dxa"/>
            <w:vAlign w:val="bottom"/>
            <w:tcBorders>
              <w:left w:val="single" w:sz="8" w:color="auto"/>
              <w:bottom w:val="single" w:sz="8" w:color="auto"/>
              <w:right w:val="single" w:sz="8" w:color="auto"/>
            </w:tcBorders>
            <w:shd w:val="clear" w:color="auto" w:fill="D9EEFF"/>
          </w:tcPr>
          <w:p>
            <w:pPr>
              <w:spacing w:after="0"/>
              <w:rPr>
                <w:sz w:val="20"/>
                <w:szCs w:val="20"/>
                <w:color w:val="auto"/>
              </w:rPr>
            </w:pPr>
          </w:p>
        </w:tc>
        <w:tc>
          <w:tcPr>
            <w:tcW w:w="2640" w:type="dxa"/>
            <w:vAlign w:val="bottom"/>
            <w:tcBorders>
              <w:bottom w:val="single" w:sz="8" w:color="auto"/>
              <w:right w:val="single" w:sz="8" w:color="auto"/>
            </w:tcBorders>
            <w:shd w:val="clear" w:color="auto" w:fill="D9EEFF"/>
          </w:tcPr>
          <w:p>
            <w:pPr>
              <w:spacing w:after="0"/>
              <w:rPr>
                <w:sz w:val="20"/>
                <w:szCs w:val="20"/>
                <w:color w:val="auto"/>
              </w:rPr>
            </w:pPr>
          </w:p>
        </w:tc>
        <w:tc>
          <w:tcPr>
            <w:tcW w:w="280" w:type="dxa"/>
            <w:vAlign w:val="bottom"/>
            <w:tcBorders>
              <w:bottom w:val="single" w:sz="8" w:color="auto"/>
            </w:tcBorders>
            <w:shd w:val="clear" w:color="auto" w:fill="D9EEFF"/>
          </w:tcPr>
          <w:p>
            <w:pPr>
              <w:spacing w:after="0"/>
              <w:rPr>
                <w:sz w:val="20"/>
                <w:szCs w:val="20"/>
                <w:color w:val="auto"/>
              </w:rPr>
            </w:pPr>
          </w:p>
        </w:tc>
        <w:tc>
          <w:tcPr>
            <w:tcW w:w="6480" w:type="dxa"/>
            <w:vAlign w:val="bottom"/>
            <w:tcBorders>
              <w:bottom w:val="single" w:sz="8" w:color="auto"/>
              <w:right w:val="single" w:sz="8" w:color="auto"/>
            </w:tcBorders>
            <w:shd w:val="clear" w:color="auto" w:fill="D9EEFF"/>
          </w:tcPr>
          <w:p>
            <w:pPr>
              <w:spacing w:after="0"/>
              <w:rPr>
                <w:sz w:val="20"/>
                <w:szCs w:val="20"/>
                <w:color w:val="auto"/>
              </w:rPr>
            </w:pPr>
          </w:p>
        </w:tc>
      </w:tr>
      <w:tr>
        <w:trPr>
          <w:trHeight w:val="213"/>
        </w:trPr>
        <w:tc>
          <w:tcPr>
            <w:tcW w:w="1380" w:type="dxa"/>
            <w:vAlign w:val="bottom"/>
            <w:tcBorders>
              <w:left w:val="single" w:sz="8" w:color="auto"/>
              <w:right w:val="single" w:sz="8" w:color="auto"/>
            </w:tcBorders>
            <w:shd w:val="clear" w:color="auto" w:fill="D9EEFF"/>
          </w:tcPr>
          <w:p>
            <w:pPr>
              <w:ind w:left="120"/>
              <w:spacing w:after="0" w:line="213" w:lineRule="exact"/>
              <w:rPr>
                <w:sz w:val="20"/>
                <w:szCs w:val="20"/>
                <w:color w:val="auto"/>
              </w:rPr>
            </w:pPr>
            <w:r>
              <w:rPr>
                <w:rFonts w:ascii="Times New Roman" w:cs="Times New Roman" w:eastAsia="Times New Roman" w:hAnsi="Times New Roman"/>
                <w:sz w:val="20"/>
                <w:szCs w:val="20"/>
                <w:color w:val="auto"/>
              </w:rPr>
              <w:t>South Africa</w:t>
            </w:r>
          </w:p>
        </w:tc>
        <w:tc>
          <w:tcPr>
            <w:tcW w:w="2640" w:type="dxa"/>
            <w:vAlign w:val="bottom"/>
            <w:tcBorders>
              <w:right w:val="single" w:sz="8" w:color="auto"/>
            </w:tcBorders>
            <w:shd w:val="clear" w:color="auto" w:fill="D9EEFF"/>
          </w:tcPr>
          <w:p>
            <w:pPr>
              <w:ind w:left="40"/>
              <w:spacing w:after="0" w:line="213" w:lineRule="exact"/>
              <w:rPr>
                <w:sz w:val="20"/>
                <w:szCs w:val="20"/>
                <w:color w:val="auto"/>
              </w:rPr>
            </w:pPr>
            <w:r>
              <w:rPr>
                <w:rFonts w:ascii="Times New Roman" w:cs="Times New Roman" w:eastAsia="Times New Roman" w:hAnsi="Times New Roman"/>
                <w:sz w:val="20"/>
                <w:szCs w:val="20"/>
                <w:color w:val="auto"/>
              </w:rPr>
              <w:t>André Wild</w:t>
            </w:r>
          </w:p>
        </w:tc>
        <w:tc>
          <w:tcPr>
            <w:tcW w:w="28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1.</w:t>
            </w:r>
          </w:p>
        </w:tc>
        <w:tc>
          <w:tcPr>
            <w:tcW w:w="6480" w:type="dxa"/>
            <w:vAlign w:val="bottom"/>
            <w:tcBorders>
              <w:right w:val="single" w:sz="8" w:color="auto"/>
            </w:tcBorders>
            <w:shd w:val="clear" w:color="auto" w:fill="D9EEFF"/>
          </w:tcPr>
          <w:p>
            <w:pPr>
              <w:ind w:left="20"/>
              <w:spacing w:after="0" w:line="213" w:lineRule="exact"/>
              <w:rPr>
                <w:sz w:val="20"/>
                <w:szCs w:val="20"/>
                <w:color w:val="auto"/>
              </w:rPr>
            </w:pPr>
            <w:r>
              <w:rPr>
                <w:rFonts w:ascii="Times New Roman" w:cs="Times New Roman" w:eastAsia="Times New Roman" w:hAnsi="Times New Roman"/>
                <w:sz w:val="20"/>
                <w:szCs w:val="20"/>
                <w:color w:val="auto"/>
              </w:rPr>
              <w:t>Andre.Wild@willistowerswatson.com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2.</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Towers Watson (Pty) Ltd</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spacing w:after="0"/>
              <w:rPr>
                <w:sz w:val="19"/>
                <w:szCs w:val="19"/>
                <w:color w:val="auto"/>
              </w:rPr>
            </w:pP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3.</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Level 4, MontClare Place, 23 Main Road, Claremont, Cape Town, 7708</w:t>
            </w:r>
          </w:p>
        </w:tc>
      </w:tr>
      <w:tr>
        <w:trPr>
          <w:trHeight w:val="262"/>
        </w:trPr>
        <w:tc>
          <w:tcPr>
            <w:tcW w:w="1380" w:type="dxa"/>
            <w:vAlign w:val="bottom"/>
            <w:tcBorders>
              <w:left w:val="single" w:sz="8" w:color="auto"/>
              <w:bottom w:val="single" w:sz="8" w:color="D9EEFF"/>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280" w:type="dxa"/>
            <w:vAlign w:val="bottom"/>
            <w:tcBorders>
              <w:bottom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4.</w:t>
            </w:r>
          </w:p>
        </w:tc>
        <w:tc>
          <w:tcPr>
            <w:tcW w:w="6480" w:type="dxa"/>
            <w:vAlign w:val="bottom"/>
            <w:tcBorders>
              <w:bottom w:val="single" w:sz="8" w:color="auto"/>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Private Bag X30, Rondebosch, 7701</w:t>
            </w:r>
          </w:p>
        </w:tc>
      </w:tr>
      <w:tr>
        <w:trPr>
          <w:trHeight w:val="217"/>
        </w:trPr>
        <w:tc>
          <w:tcPr>
            <w:tcW w:w="1380" w:type="dxa"/>
            <w:vAlign w:val="bottom"/>
            <w:tcBorders>
              <w:left w:val="single" w:sz="8" w:color="auto"/>
              <w:right w:val="single" w:sz="8" w:color="auto"/>
            </w:tcBorders>
            <w:shd w:val="clear" w:color="auto" w:fill="D9EEFF"/>
          </w:tcPr>
          <w:p>
            <w:pPr>
              <w:spacing w:after="0"/>
              <w:rPr>
                <w:sz w:val="18"/>
                <w:szCs w:val="18"/>
                <w:color w:val="auto"/>
              </w:rPr>
            </w:pPr>
          </w:p>
        </w:tc>
        <w:tc>
          <w:tcPr>
            <w:tcW w:w="2640" w:type="dxa"/>
            <w:vAlign w:val="bottom"/>
            <w:tcBorders>
              <w:right w:val="single" w:sz="8" w:color="auto"/>
            </w:tcBorders>
            <w:shd w:val="clear" w:color="auto" w:fill="D9EEFF"/>
          </w:tcPr>
          <w:p>
            <w:pPr>
              <w:ind w:left="40"/>
              <w:spacing w:after="0" w:line="217" w:lineRule="exact"/>
              <w:rPr>
                <w:sz w:val="20"/>
                <w:szCs w:val="20"/>
                <w:color w:val="auto"/>
              </w:rPr>
            </w:pPr>
            <w:r>
              <w:rPr>
                <w:rFonts w:ascii="Times New Roman" w:cs="Times New Roman" w:eastAsia="Times New Roman" w:hAnsi="Times New Roman"/>
                <w:sz w:val="20"/>
                <w:szCs w:val="20"/>
                <w:color w:val="auto"/>
              </w:rPr>
              <w:t>5 Pasha Karodia</w:t>
            </w:r>
          </w:p>
        </w:tc>
        <w:tc>
          <w:tcPr>
            <w:tcW w:w="280" w:type="dxa"/>
            <w:vAlign w:val="bottom"/>
            <w:shd w:val="clear" w:color="auto" w:fill="D9EEFF"/>
          </w:tcPr>
          <w:p>
            <w:pPr>
              <w:ind w:left="80"/>
              <w:spacing w:after="0" w:line="217" w:lineRule="exact"/>
              <w:rPr>
                <w:sz w:val="20"/>
                <w:szCs w:val="20"/>
                <w:color w:val="auto"/>
              </w:rPr>
            </w:pPr>
            <w:r>
              <w:rPr>
                <w:rFonts w:ascii="Times New Roman" w:cs="Times New Roman" w:eastAsia="Times New Roman" w:hAnsi="Times New Roman"/>
                <w:sz w:val="20"/>
                <w:szCs w:val="20"/>
                <w:color w:val="auto"/>
              </w:rPr>
              <w:t>6.</w:t>
            </w:r>
          </w:p>
        </w:tc>
        <w:tc>
          <w:tcPr>
            <w:tcW w:w="6480" w:type="dxa"/>
            <w:vAlign w:val="bottom"/>
            <w:tcBorders>
              <w:right w:val="single" w:sz="8" w:color="auto"/>
            </w:tcBorders>
            <w:shd w:val="clear" w:color="auto" w:fill="D9EEFF"/>
          </w:tcPr>
          <w:p>
            <w:pPr>
              <w:ind w:left="20"/>
              <w:spacing w:after="0" w:line="217" w:lineRule="exact"/>
              <w:rPr>
                <w:sz w:val="20"/>
                <w:szCs w:val="20"/>
                <w:color w:val="auto"/>
              </w:rPr>
            </w:pPr>
            <w:r>
              <w:rPr>
                <w:rFonts w:ascii="Times New Roman" w:cs="Times New Roman" w:eastAsia="Times New Roman" w:hAnsi="Times New Roman"/>
                <w:sz w:val="20"/>
                <w:szCs w:val="20"/>
                <w:color w:val="auto"/>
              </w:rPr>
              <w:t>Pasha.Karodia@willistowerswatson.com</w:t>
            </w:r>
          </w:p>
        </w:tc>
      </w:tr>
      <w:tr>
        <w:trPr>
          <w:trHeight w:val="229"/>
        </w:trPr>
        <w:tc>
          <w:tcPr>
            <w:tcW w:w="1380" w:type="dxa"/>
            <w:vAlign w:val="bottom"/>
            <w:tcBorders>
              <w:left w:val="single" w:sz="8" w:color="auto"/>
              <w:right w:val="single" w:sz="8" w:color="auto"/>
            </w:tcBorders>
            <w:shd w:val="clear" w:color="auto" w:fill="D9EEFF"/>
          </w:tcPr>
          <w:p>
            <w:pPr>
              <w:spacing w:after="0"/>
              <w:rPr>
                <w:sz w:val="19"/>
                <w:szCs w:val="19"/>
                <w:color w:val="auto"/>
              </w:rPr>
            </w:pPr>
          </w:p>
        </w:tc>
        <w:tc>
          <w:tcPr>
            <w:tcW w:w="2640" w:type="dxa"/>
            <w:vAlign w:val="bottom"/>
            <w:tcBorders>
              <w:right w:val="single" w:sz="8" w:color="auto"/>
            </w:tcBorders>
            <w:shd w:val="clear" w:color="auto" w:fill="D9EEFF"/>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7.</w:t>
            </w:r>
          </w:p>
        </w:tc>
        <w:tc>
          <w:tcPr>
            <w:tcW w:w="6480" w:type="dxa"/>
            <w:vAlign w:val="bottom"/>
            <w:tcBorders>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Willis South Africa (Pty) Ltd</w:t>
            </w:r>
          </w:p>
        </w:tc>
      </w:tr>
      <w:tr>
        <w:trPr>
          <w:trHeight w:val="262"/>
        </w:trPr>
        <w:tc>
          <w:tcPr>
            <w:tcW w:w="1380" w:type="dxa"/>
            <w:vAlign w:val="bottom"/>
            <w:tcBorders>
              <w:left w:val="single" w:sz="8" w:color="auto"/>
              <w:bottom w:val="single" w:sz="8" w:color="auto"/>
              <w:right w:val="single" w:sz="8" w:color="auto"/>
            </w:tcBorders>
            <w:shd w:val="clear" w:color="auto" w:fill="D9EEFF"/>
          </w:tcPr>
          <w:p>
            <w:pPr>
              <w:spacing w:after="0"/>
              <w:rPr>
                <w:sz w:val="22"/>
                <w:szCs w:val="22"/>
                <w:color w:val="auto"/>
              </w:rPr>
            </w:pPr>
          </w:p>
        </w:tc>
        <w:tc>
          <w:tcPr>
            <w:tcW w:w="2640" w:type="dxa"/>
            <w:vAlign w:val="bottom"/>
            <w:tcBorders>
              <w:bottom w:val="single" w:sz="8" w:color="auto"/>
              <w:right w:val="single" w:sz="8" w:color="auto"/>
            </w:tcBorders>
            <w:shd w:val="clear" w:color="auto" w:fill="D9EEFF"/>
          </w:tcPr>
          <w:p>
            <w:pPr>
              <w:spacing w:after="0"/>
              <w:rPr>
                <w:sz w:val="22"/>
                <w:szCs w:val="22"/>
                <w:color w:val="auto"/>
              </w:rPr>
            </w:pPr>
          </w:p>
        </w:tc>
        <w:tc>
          <w:tcPr>
            <w:tcW w:w="280" w:type="dxa"/>
            <w:vAlign w:val="bottom"/>
            <w:tcBorders>
              <w:bottom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8.</w:t>
            </w:r>
          </w:p>
        </w:tc>
        <w:tc>
          <w:tcPr>
            <w:tcW w:w="6480" w:type="dxa"/>
            <w:vAlign w:val="bottom"/>
            <w:tcBorders>
              <w:bottom w:val="single" w:sz="8" w:color="auto"/>
              <w:right w:val="single" w:sz="8" w:color="auto"/>
            </w:tcBorders>
            <w:shd w:val="clear" w:color="auto" w:fill="D9EEFF"/>
          </w:tcPr>
          <w:p>
            <w:pPr>
              <w:ind w:left="20"/>
              <w:spacing w:after="0"/>
              <w:rPr>
                <w:sz w:val="20"/>
                <w:szCs w:val="20"/>
                <w:color w:val="auto"/>
              </w:rPr>
            </w:pPr>
            <w:r>
              <w:rPr>
                <w:rFonts w:ascii="Times New Roman" w:cs="Times New Roman" w:eastAsia="Times New Roman" w:hAnsi="Times New Roman"/>
                <w:sz w:val="20"/>
                <w:szCs w:val="20"/>
                <w:color w:val="auto"/>
              </w:rPr>
              <w:t>Illovo Edge, 1 Harries Road, Illovo, Johannesburg 2196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8" w:name="page139"/>
    <w:bookmarkEnd w:id="138"/>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B116F"/>
        </w:rPr>
        <w:t>ANNEX 1</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Categories of Personal Information Collected About Employees</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Generally, we may collect the below categories of personal information about Employees: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Name, Contact Info and other Identifiers</w:t>
      </w:r>
      <w:r>
        <w:rPr>
          <w:rFonts w:ascii="Times New Roman" w:cs="Times New Roman" w:eastAsia="Times New Roman" w:hAnsi="Times New Roman"/>
          <w:sz w:val="20"/>
          <w:szCs w:val="20"/>
          <w:color w:val="000000"/>
        </w:rPr>
        <w:t>: identifiers including, but not limited to</w:t>
      </w:r>
      <w:r>
        <w:rPr>
          <w:rFonts w:ascii="Times New Roman" w:cs="Times New Roman" w:eastAsia="Times New Roman" w:hAnsi="Times New Roman"/>
          <w:sz w:val="20"/>
          <w:szCs w:val="20"/>
          <w:i w:val="1"/>
          <w:iCs w:val="1"/>
          <w:color w:val="000000"/>
        </w:rPr>
        <w:t>:</w:t>
      </w:r>
    </w:p>
    <w:p>
      <w:pPr>
        <w:spacing w:after="0" w:line="192" w:lineRule="exact"/>
        <w:rPr>
          <w:sz w:val="20"/>
          <w:szCs w:val="20"/>
          <w:color w:val="auto"/>
        </w:rPr>
      </w:pPr>
    </w:p>
    <w:p>
      <w:pPr>
        <w:jc w:val="both"/>
        <w:ind w:left="760" w:hanging="378"/>
        <w:spacing w:after="0" w:line="249" w:lineRule="auto"/>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Details: Name, alias, employee identification number, work and home contact details (email, phone numbers, physical address), language(s) spoken, gender, date of birth, nationality, place of birth, state identification card, national identification number, passport number, social security number, driver’s license, marital/civil partnership status, domestic partners, dependants, disability status, emergency contact information, health, insurance and benefits details, vehicle data, IP address, and photograph.</w:t>
      </w:r>
    </w:p>
    <w:p>
      <w:pPr>
        <w:spacing w:after="0" w:line="151"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Documentation Required under Immigration Laws: Citizenship, passport data, details of residency or work permit.</w:t>
      </w:r>
    </w:p>
    <w:p>
      <w:pPr>
        <w:spacing w:after="0" w:line="188"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System and Application Access Data: Information required to access company systems and applications such as System ID, LAN ID, email account, instant messaging account, mainframe ID, employee ID, manager employee ID, system credentials, employee status, branch state, country code, previous company details, previous branch details, and previous department details.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Protected Classifications</w:t>
      </w:r>
      <w:r>
        <w:rPr>
          <w:rFonts w:ascii="Times New Roman" w:cs="Times New Roman" w:eastAsia="Times New Roman" w:hAnsi="Times New Roman"/>
          <w:sz w:val="20"/>
          <w:szCs w:val="20"/>
          <w:color w:val="000000"/>
        </w:rPr>
        <w:t>: characteristics of protected classifications under California or federal law including, but not limited to:</w:t>
      </w:r>
    </w:p>
    <w:p>
      <w:pPr>
        <w:spacing w:after="0" w:line="192" w:lineRule="exact"/>
        <w:rPr>
          <w:sz w:val="20"/>
          <w:szCs w:val="20"/>
          <w:color w:val="auto"/>
        </w:rPr>
      </w:pPr>
    </w:p>
    <w:p>
      <w:pPr>
        <w:ind w:left="760" w:hanging="378"/>
        <w:spacing w:after="0"/>
        <w:tabs>
          <w:tab w:leader="none" w:pos="7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Citizenship information, as well as residency and work permit details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Medical information and disability information</w:t>
      </w:r>
    </w:p>
    <w:p>
      <w:pPr>
        <w:spacing w:after="0" w:line="188"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we collect as part of our diversity and inclusion efforts including, but not limited to, race, ethnicity, color, sex, gender, sexual orientation, age, religion, national origin, disability, and citizenship status. These data are collected only if we are authorised by local regulations to do so and subject to implementing appropriate safeguards as required by applicable law</w:t>
      </w:r>
    </w:p>
    <w:p>
      <w:pPr>
        <w:spacing w:after="0" w:line="14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b w:val="1"/>
          <w:bCs w:val="1"/>
          <w:color w:val="7030A0"/>
        </w:rPr>
        <w:t>Usage Data</w:t>
      </w:r>
      <w:r>
        <w:rPr>
          <w:rFonts w:ascii="Times New Roman" w:cs="Times New Roman" w:eastAsia="Times New Roman" w:hAnsi="Times New Roman"/>
          <w:sz w:val="20"/>
          <w:szCs w:val="20"/>
          <w:color w:val="000000"/>
        </w:rPr>
        <w:t>: internet or other electronic network activity information including, but not limited to, browsing history, search history, and</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 xml:space="preserve">information regarding a resident’s interaction with an internet website, application, or advertisement. </w:t>
      </w:r>
      <w:r>
        <w:rPr>
          <w:rFonts w:ascii="Times New Roman" w:cs="Times New Roman" w:eastAsia="Times New Roman" w:hAnsi="Times New Roman"/>
          <w:sz w:val="20"/>
          <w:szCs w:val="20"/>
          <w:i w:val="1"/>
          <w:iCs w:val="1"/>
          <w:color w:val="000000"/>
        </w:rPr>
        <w:t>This includes:</w:t>
      </w:r>
    </w:p>
    <w:p>
      <w:pPr>
        <w:spacing w:after="0" w:line="130" w:lineRule="exact"/>
        <w:rPr>
          <w:sz w:val="20"/>
          <w:szCs w:val="20"/>
          <w:color w:val="auto"/>
        </w:rPr>
      </w:pPr>
    </w:p>
    <w:p>
      <w:pPr>
        <w:ind w:left="760" w:hanging="378"/>
        <w:spacing w:after="0" w:line="268" w:lineRule="auto"/>
        <w:tabs>
          <w:tab w:leader="none" w:pos="7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Access logs and usage details regarding activities on Willis Towers Watson network, systems and devices, including but not limited to website and browsing history.</w:t>
      </w:r>
    </w:p>
    <w:p>
      <w:pPr>
        <w:spacing w:after="0" w:line="133"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Physical access logs and call logs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Electronic content produced using Willis Towers Watson systems</w:t>
      </w:r>
    </w:p>
    <w:p>
      <w:pPr>
        <w:spacing w:after="0" w:line="18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7030A0"/>
        </w:rPr>
        <w:t xml:space="preserve">Biometric information: </w:t>
      </w:r>
      <w:r>
        <w:rPr>
          <w:rFonts w:ascii="Times New Roman" w:cs="Times New Roman" w:eastAsia="Times New Roman" w:hAnsi="Times New Roman"/>
          <w:sz w:val="20"/>
          <w:szCs w:val="20"/>
          <w:color w:val="000000"/>
        </w:rPr>
        <w:t>an individual’s physiological, biological or behavioral characteristics including information pertaining to an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individual's deoxyribonucleic acid (DNA), that is used or intended to be used, singly or in combination with each other or with other identifying data, which is used to establish individual identity, for the purposes of uniquely identifying someone. These data are collected only if we are</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608330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20"/>
          <w:szCs w:val="20"/>
          <w:color w:val="auto"/>
        </w:rPr>
        <w:t>authorised by local regulations to do so and subject to implementing appropriate safeguards as required by applicable law.</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Geolocation Data</w:t>
      </w:r>
      <w:r>
        <w:rPr>
          <w:rFonts w:ascii="Times New Roman" w:cs="Times New Roman" w:eastAsia="Times New Roman" w:hAnsi="Times New Roman"/>
          <w:sz w:val="20"/>
          <w:szCs w:val="20"/>
          <w:color w:val="000000"/>
        </w:rPr>
        <w:t>: precise geographic location information about a particular Willis Towers Watson device.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Audio, Video and other Electronic Data</w:t>
      </w:r>
      <w:r>
        <w:rPr>
          <w:rFonts w:ascii="Times New Roman" w:cs="Times New Roman" w:eastAsia="Times New Roman" w:hAnsi="Times New Roman"/>
          <w:sz w:val="20"/>
          <w:szCs w:val="20"/>
          <w:color w:val="000000"/>
        </w:rPr>
        <w:t>: audio, electronic, visual, thermal, olfactory, or similar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i w:val="1"/>
          <w:iCs w:val="1"/>
          <w:color w:val="000000"/>
        </w:rPr>
        <w:t>This includes:</w:t>
      </w:r>
    </w:p>
    <w:p>
      <w:pPr>
        <w:spacing w:after="0" w:line="192" w:lineRule="exact"/>
        <w:rPr>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CCTV footage and photographs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Call recordings and other audio recording (e.g., recorded meetings and webinars)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Employment History</w:t>
      </w:r>
      <w:r>
        <w:rPr>
          <w:rFonts w:ascii="Times New Roman" w:cs="Times New Roman" w:eastAsia="Times New Roman" w:hAnsi="Times New Roman"/>
          <w:sz w:val="20"/>
          <w:szCs w:val="20"/>
          <w:color w:val="000000"/>
        </w:rPr>
        <w:t>: professional or employment-related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i w:val="1"/>
          <w:iCs w:val="1"/>
          <w:color w:val="000000"/>
        </w:rPr>
        <w:t>This includes, but is not limited to:</w:t>
      </w:r>
    </w:p>
    <w:p>
      <w:pPr>
        <w:spacing w:after="0" w:line="192" w:lineRule="exact"/>
        <w:rPr>
          <w:sz w:val="20"/>
          <w:szCs w:val="20"/>
          <w:color w:val="auto"/>
        </w:rPr>
      </w:pPr>
    </w:p>
    <w:p>
      <w:pPr>
        <w:jc w:val="both"/>
        <w:ind w:left="760" w:hanging="378"/>
        <w:spacing w:after="0" w:line="249" w:lineRule="auto"/>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and Payroll: Base salary, bonus, benefits, compensation type, salary step within assigned grade, details on stock options, stock grants and other awards, currency, pay frequency, effective date of current compensation, salary reviews, banking details, working time records (including vacation and other absence records, leave status, hours worked and department standard hours), pay data and termination date.</w:t>
      </w:r>
    </w:p>
    <w:p>
      <w:pPr>
        <w:spacing w:after="0" w:line="151"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Position: Description of current position, job title, corporate status, management category, job code, salary plan, pay grade or level, job function(s) and subfunction(s), company name and code (legal employer entity), branch/unit/department, location, employment status and type, full-time/part-time, terms of employment, employment contract, work history, hire/re-hire and termination date(s) and reason, length of service, retirement eligibility, promotions and disciplinary records, date of transfers, and reporting manager(s) information.</w:t>
      </w:r>
    </w:p>
    <w:p>
      <w:pPr>
        <w:spacing w:after="0" w:line="156" w:lineRule="exact"/>
        <w:rPr>
          <w:rFonts w:ascii="Times New Roman" w:cs="Times New Roman" w:eastAsia="Times New Roman" w:hAnsi="Times New Roman"/>
          <w:sz w:val="20"/>
          <w:szCs w:val="20"/>
          <w:color w:val="auto"/>
        </w:rPr>
      </w:pPr>
    </w:p>
    <w:p>
      <w:pPr>
        <w:jc w:val="both"/>
        <w:ind w:left="760" w:hanging="378"/>
        <w:spacing w:after="0" w:line="266" w:lineRule="auto"/>
        <w:tabs>
          <w:tab w:leader="none" w:pos="760" w:val="left"/>
        </w:tabs>
        <w:numPr>
          <w:ilvl w:val="0"/>
          <w:numId w:val="9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Talent Acquisition and Talent Management Information: Professional qualifications, language and other relevant skills, certification, certification expiration dates), information necessary to complete a background check and/or licensure application, details on performance management ratings, development programs planned and attended, e-learning programs, performance and development reviews, willingness to relocate, driver’s license information, and information used to populate employee biographies.</w:t>
      </w:r>
    </w:p>
    <w:p>
      <w:pPr>
        <w:spacing w:after="0" w:line="137" w:lineRule="exact"/>
        <w:rPr>
          <w:rFonts w:ascii="Times New Roman" w:cs="Times New Roman" w:eastAsia="Times New Roman" w:hAnsi="Times New Roman"/>
          <w:sz w:val="19"/>
          <w:szCs w:val="19"/>
          <w:color w:val="auto"/>
        </w:rPr>
      </w:pPr>
    </w:p>
    <w:p>
      <w:pPr>
        <w:ind w:left="760" w:hanging="378"/>
        <w:spacing w:after="0"/>
        <w:tabs>
          <w:tab w:leader="none" w:pos="76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Management Records: Details of any shares of common stock or directorships.</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20"/>
          <w:szCs w:val="20"/>
          <w:b w:val="1"/>
          <w:bCs w:val="1"/>
          <w:color w:val="7030A0"/>
        </w:rPr>
        <w:t>Education Information</w:t>
      </w:r>
      <w:r>
        <w:rPr>
          <w:rFonts w:ascii="Times New Roman" w:cs="Times New Roman" w:eastAsia="Times New Roman" w:hAnsi="Times New Roman"/>
          <w:sz w:val="20"/>
          <w:szCs w:val="20"/>
          <w:color w:val="000000"/>
        </w:rPr>
        <w:t>: information about education history or background that is not publicly available personally identifiable information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 xml:space="preserve">as defined in the federal Family Educational Rights and Privacy Act (20 U.S.C. section 1232g, 34 C.F.R. Part 99). </w:t>
      </w:r>
      <w:r>
        <w:rPr>
          <w:rFonts w:ascii="Times New Roman" w:cs="Times New Roman" w:eastAsia="Times New Roman" w:hAnsi="Times New Roman"/>
          <w:sz w:val="20"/>
          <w:szCs w:val="20"/>
          <w:i w:val="1"/>
          <w:iCs w:val="1"/>
          <w:color w:val="000000"/>
        </w:rPr>
        <w:t>This includes, but is not</w:t>
      </w:r>
      <w:r>
        <w:rPr>
          <w:rFonts w:ascii="Times New Roman" w:cs="Times New Roman" w:eastAsia="Times New Roman" w:hAnsi="Times New Roman"/>
          <w:sz w:val="20"/>
          <w:szCs w:val="20"/>
          <w:color w:val="000000"/>
        </w:rPr>
        <w:t xml:space="preserve"> </w:t>
      </w:r>
      <w:r>
        <w:rPr>
          <w:rFonts w:ascii="Times New Roman" w:cs="Times New Roman" w:eastAsia="Times New Roman" w:hAnsi="Times New Roman"/>
          <w:sz w:val="20"/>
          <w:szCs w:val="20"/>
          <w:i w:val="1"/>
          <w:iCs w:val="1"/>
          <w:color w:val="000000"/>
        </w:rPr>
        <w:t>limited to:</w:t>
      </w:r>
    </w:p>
    <w:p>
      <w:pPr>
        <w:spacing w:after="0" w:line="147" w:lineRule="exact"/>
        <w:rPr>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Degrees, certificates or other training completed, schools attended and relevant dates.</w:t>
      </w:r>
    </w:p>
    <w:p>
      <w:pPr>
        <w:spacing w:after="0" w:line="188" w:lineRule="exact"/>
        <w:rPr>
          <w:rFonts w:ascii="Times New Roman" w:cs="Times New Roman" w:eastAsia="Times New Roman" w:hAnsi="Times New Roman"/>
          <w:sz w:val="20"/>
          <w:szCs w:val="20"/>
          <w:color w:val="auto"/>
        </w:rPr>
      </w:pPr>
    </w:p>
    <w:p>
      <w:pPr>
        <w:ind w:left="760" w:hanging="378"/>
        <w:spacing w:after="0"/>
        <w:tabs>
          <w:tab w:leader="none" w:pos="76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Details contained in letters of application and resume/CV (previous employment background.</w:t>
      </w:r>
    </w:p>
    <w:p>
      <w:pPr>
        <w:spacing w:after="0" w:line="184"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20"/>
          <w:szCs w:val="20"/>
          <w:b w:val="1"/>
          <w:bCs w:val="1"/>
          <w:color w:val="7030A0"/>
        </w:rPr>
        <w:t>Profiles and Inferences</w:t>
      </w:r>
      <w:r>
        <w:rPr>
          <w:rFonts w:ascii="Times New Roman" w:cs="Times New Roman" w:eastAsia="Times New Roman" w:hAnsi="Times New Roman"/>
          <w:sz w:val="20"/>
          <w:szCs w:val="20"/>
          <w:color w:val="000000"/>
        </w:rPr>
        <w:t>: inferences drawn from any of the information identified above to create a profile about a resident reflecting the</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resident’s preferences, characteristics, psychological trends, predispositions, behaviour, attitudes, intelligence, abilities, and aptitudes.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0" w:name="page141"/>
    <w:bookmarkEnd w:id="140"/>
    <w:p>
      <w:pPr>
        <w:jc w:val="both"/>
        <w:spacing w:after="0" w:line="272" w:lineRule="auto"/>
        <w:rPr>
          <w:sz w:val="20"/>
          <w:szCs w:val="20"/>
          <w:color w:val="auto"/>
        </w:rPr>
      </w:pPr>
      <w:r>
        <w:rPr>
          <w:rFonts w:ascii="Times New Roman" w:cs="Times New Roman" w:eastAsia="Times New Roman" w:hAnsi="Times New Roman"/>
          <w:sz w:val="20"/>
          <w:szCs w:val="20"/>
          <w:b w:val="1"/>
          <w:bCs w:val="1"/>
          <w:color w:val="7030A0"/>
        </w:rPr>
        <w:t>Logins and Account Access Information</w:t>
      </w:r>
      <w:r>
        <w:rPr>
          <w:rFonts w:ascii="Times New Roman" w:cs="Times New Roman" w:eastAsia="Times New Roman" w:hAnsi="Times New Roman"/>
          <w:sz w:val="20"/>
          <w:szCs w:val="20"/>
          <w:color w:val="000000"/>
        </w:rPr>
        <w:t>: information which reveals a consumer’s account login, financial account, debit or credit card in</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combination with any required security or access code, password or credential allowing access.</w:t>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What About Sensitive Information?</w:t>
      </w:r>
    </w:p>
    <w:p>
      <w:pPr>
        <w:spacing w:after="0" w:line="19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also collect certain types of information that is considered sensitive data (or special categories of data) under applicable law; we will only collect such information when permitted by local law, such as health/medical information, place of birth, trade union membership information, religion, and race or ethnicity. We collect this information for specific purposes, such as health/medical information in order to accommodate a disability or illness and to provide benefits; religion or church affiliation in countries such as Germany where required for statutory tax deductions; and diversity-related Personal Information (such as gender, race or ethnicity) in order to comply with legal obligations and internal policies relating to diversity and anti-discrimination.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Please be assured that, as explained in the following section, we will only use such sensitive information for the following purposes and as provided by law.</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The Purposes for which we may collect, use, transfer and disclose Personal Information</w:t>
      </w:r>
      <w:r>
        <w:rPr>
          <w:rFonts w:ascii="Times New Roman" w:cs="Times New Roman" w:eastAsia="Times New Roman" w:hAnsi="Times New Roman"/>
          <w:sz w:val="20"/>
          <w:szCs w:val="20"/>
          <w:b w:val="1"/>
          <w:bCs w:val="1"/>
          <w:color w:val="000000"/>
        </w:rPr>
        <w:t>:</w:t>
      </w:r>
    </w:p>
    <w:p>
      <w:pPr>
        <w:spacing w:after="0" w:line="192" w:lineRule="exact"/>
        <w:rPr>
          <w:sz w:val="20"/>
          <w:szCs w:val="20"/>
          <w:color w:val="auto"/>
        </w:rPr>
      </w:pPr>
    </w:p>
    <w:p>
      <w:pPr>
        <w:jc w:val="both"/>
        <w:ind w:left="760" w:hanging="378"/>
        <w:spacing w:after="0" w:line="243" w:lineRule="auto"/>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Managing Workforce</w:t>
      </w:r>
      <w:r>
        <w:rPr>
          <w:rFonts w:ascii="Times New Roman" w:cs="Times New Roman" w:eastAsia="Times New Roman" w:hAnsi="Times New Roman"/>
          <w:sz w:val="20"/>
          <w:szCs w:val="20"/>
          <w:color w:val="auto"/>
        </w:rPr>
        <w:t>: Managing work activities and personnel generally, including recruitment, appraisals, performance management, promotions and succession planning, rehiring, administering salary, and payment administration and reviews, wages and other awards such as stock options, stock grants and bonuses, healthcare, pensions and savings plans, training, leave, managing sickness leave, promotions, transfers, secondments, honoring other contractual benefits, providing employment references, loans, performing workforce analysis and planning, performing employee surveys, performing background checks, managing disciplinary matters, grievances and terminations, reviewing employment decisions, making business travel arrangements, managing business expenses and reimbursements, planning and monitoring of training requirements and career development activities and skills, and creating and maintaining one or more internal employee directories.</w:t>
      </w:r>
    </w:p>
    <w:p>
      <w:pPr>
        <w:spacing w:after="0" w:line="15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Communications and Emergencies</w:t>
      </w:r>
      <w:r>
        <w:rPr>
          <w:rFonts w:ascii="Times New Roman" w:cs="Times New Roman" w:eastAsia="Times New Roman" w:hAnsi="Times New Roman"/>
          <w:sz w:val="20"/>
          <w:szCs w:val="20"/>
          <w:color w:val="auto"/>
        </w:rPr>
        <w:t>: Facilitating communication with you, ensuring business continuity, providing references, protecting the health and safety of employees and others, safeguarding IT infrastructure, office equipment and other property, facilitating communication with you and/or your nominated contacts in an emergency.</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46" w:lineRule="auto"/>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Operations</w:t>
      </w:r>
      <w:r>
        <w:rPr>
          <w:rFonts w:ascii="Times New Roman" w:cs="Times New Roman" w:eastAsia="Times New Roman" w:hAnsi="Times New Roman"/>
          <w:sz w:val="20"/>
          <w:szCs w:val="20"/>
          <w:color w:val="auto"/>
        </w:rPr>
        <w:t>: Operating and managing the IT and communications systems, ensuring the security of Company systems, networks and information, managing product and service development, improving products and services, managing company assets, allocating company assets and human resources, strategic planning, project management, business continuity, compilation of audit trails and other reporting tools, maintaining records relating to business activities, budgeting, financial management and reporting, communications, managing mergers, acquisitions, sales, re-organizations or disposals and integration with purchaser.</w:t>
      </w:r>
    </w:p>
    <w:p>
      <w:pPr>
        <w:spacing w:after="0" w:line="156"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Compliance</w:t>
      </w:r>
      <w:r>
        <w:rPr>
          <w:rFonts w:ascii="Times New Roman" w:cs="Times New Roman" w:eastAsia="Times New Roman" w:hAnsi="Times New Roman"/>
          <w:sz w:val="20"/>
          <w:szCs w:val="20"/>
          <w:color w:val="auto"/>
        </w:rPr>
        <w:t>: Complying with legal and other requirements, such as income tax and national insurance deductions, record-keeping and reporting obligations, conducting audits, reporting corporate governance, compliance with government inspections and other requests from</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1" w:name="page142"/>
    <w:bookmarkEnd w:id="141"/>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government or other public authorities, responding to legal process such as subpoenas, pursuing legal rights and remedies, for the purpose of observing our legal obligations, which include preventing business transactions with restricted parties and complying with relevant global trade control laws, defending litigation and managing any internal complaints or claims, conducting investigations and complying with internal policies and procedures.</w:t>
      </w:r>
    </w:p>
    <w:p>
      <w:pPr>
        <w:spacing w:after="0" w:line="151" w:lineRule="exact"/>
        <w:rPr>
          <w:sz w:val="20"/>
          <w:szCs w:val="20"/>
          <w:color w:val="auto"/>
        </w:rPr>
      </w:pPr>
    </w:p>
    <w:p>
      <w:pPr>
        <w:jc w:val="both"/>
        <w:ind w:left="760" w:hanging="378"/>
        <w:spacing w:after="0" w:line="253"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Monitoring</w:t>
      </w:r>
      <w:r>
        <w:rPr>
          <w:rFonts w:ascii="Times New Roman" w:cs="Times New Roman" w:eastAsia="Times New Roman" w:hAnsi="Times New Roman"/>
          <w:sz w:val="20"/>
          <w:szCs w:val="20"/>
          <w:color w:val="auto"/>
        </w:rPr>
        <w:t>: Monitoring compliance with internal policies and Code of Business Conduct, monitoring activity in public places by CCTV and monitoring of telephone, email, Internet, instant messaging and other company resources as detailed in our policies and permitted by local law, regulation and any applicable works council agreements.</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Complying with record keeping requirements</w:t>
      </w:r>
      <w:r>
        <w:rPr>
          <w:rFonts w:ascii="Times New Roman" w:cs="Times New Roman" w:eastAsia="Times New Roman" w:hAnsi="Times New Roman"/>
          <w:sz w:val="20"/>
          <w:szCs w:val="20"/>
          <w:color w:val="auto"/>
        </w:rPr>
        <w:t>: Complying with record keeping requirements, including retention requirements mandated by statute or governmental regulatory agencies in the geographies where we do business, as defined in our agreements, or per client instructions.</w:t>
      </w:r>
    </w:p>
    <w:p>
      <w:pPr>
        <w:spacing w:after="0" w:line="374" w:lineRule="exact"/>
        <w:rPr>
          <w:sz w:val="20"/>
          <w:szCs w:val="20"/>
          <w:color w:val="auto"/>
        </w:rPr>
      </w:pPr>
    </w:p>
    <w:p>
      <w:pPr>
        <w:jc w:val="both"/>
        <w:ind w:left="380"/>
        <w:spacing w:after="0" w:line="245" w:lineRule="auto"/>
        <w:rPr>
          <w:sz w:val="20"/>
          <w:szCs w:val="20"/>
          <w:color w:val="auto"/>
        </w:rPr>
      </w:pPr>
      <w:r>
        <w:rPr>
          <w:rFonts w:ascii="Times New Roman" w:cs="Times New Roman" w:eastAsia="Times New Roman" w:hAnsi="Times New Roman"/>
          <w:sz w:val="20"/>
          <w:szCs w:val="20"/>
          <w:b w:val="1"/>
          <w:bCs w:val="1"/>
          <w:color w:val="7030A0"/>
        </w:rPr>
        <w:t>Aggregate and de-identified information</w:t>
      </w:r>
      <w:r>
        <w:rPr>
          <w:rFonts w:ascii="Times New Roman" w:cs="Times New Roman" w:eastAsia="Times New Roman" w:hAnsi="Times New Roman"/>
          <w:sz w:val="20"/>
          <w:szCs w:val="20"/>
          <w:color w:val="000000"/>
        </w:rPr>
        <w:t>. To the extent permitted by law, we may de-identify personal information and create</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anonymous and aggregated data sets and reports in order to assess, improve, and develop our business, products, and services, prepare benchmarking reports on our industry, and for other research, marketing and analytics purposes. When we de-identify personal information, we have implemented reasonable measures as required by law to ensure that the de-identified data cannot be associated with any individual or client. We will only maintain and use such data in a de-identified manner and do not attempt to re-identify the data, except as permitted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The categories of unaffiliated third parties with whom Willis Towers Watson may share Personal Information:</w:t>
      </w:r>
    </w:p>
    <w:p>
      <w:pPr>
        <w:spacing w:after="0" w:line="192" w:lineRule="exact"/>
        <w:rPr>
          <w:sz w:val="20"/>
          <w:szCs w:val="20"/>
          <w:color w:val="auto"/>
        </w:rPr>
      </w:pPr>
    </w:p>
    <w:p>
      <w:pPr>
        <w:ind w:left="760" w:hanging="378"/>
        <w:spacing w:after="0" w:line="268" w:lineRule="auto"/>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Professional Advisors</w:t>
      </w:r>
      <w:r>
        <w:rPr>
          <w:rFonts w:ascii="Times New Roman" w:cs="Times New Roman" w:eastAsia="Times New Roman" w:hAnsi="Times New Roman"/>
          <w:sz w:val="20"/>
          <w:szCs w:val="20"/>
          <w:color w:val="auto"/>
        </w:rPr>
        <w:t>: Accountants, auditors, lawyers, insurers, bankers, and other outside professional advisors in all of the countries in which the Willis Towers Watson Group operates.</w:t>
      </w:r>
    </w:p>
    <w:p>
      <w:pPr>
        <w:spacing w:after="0" w:line="133"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Service Providers</w:t>
      </w:r>
      <w:r>
        <w:rPr>
          <w:rFonts w:ascii="Times New Roman" w:cs="Times New Roman" w:eastAsia="Times New Roman" w:hAnsi="Times New Roman"/>
          <w:sz w:val="20"/>
          <w:szCs w:val="20"/>
          <w:color w:val="auto"/>
        </w:rPr>
        <w:t>: Companies that provide products and services to the Willis Towers Watson Group such as recruitment, onboarding, payroll, pension scheme, benefits providers; human resources services, performance management, training, expense management, IT systems suppliers and support; third parties assisting with equity compensation programs, credit card companies, medical or health practitioners, trade bodies and associations, and other service providers.</w:t>
      </w:r>
    </w:p>
    <w:p>
      <w:pPr>
        <w:spacing w:after="0" w:line="151"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Public and Governmental Authorities</w:t>
      </w:r>
      <w:r>
        <w:rPr>
          <w:rFonts w:ascii="Times New Roman" w:cs="Times New Roman" w:eastAsia="Times New Roman" w:hAnsi="Times New Roman"/>
          <w:sz w:val="20"/>
          <w:szCs w:val="20"/>
          <w:color w:val="auto"/>
        </w:rPr>
        <w:t>: Entities that regulate or have jurisdiction over companies in the Willis Towers Watson Group such as regulatory authorities, law enforcement, public bodies, and judicial bodies (who may be located in other countries around the world).</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53" w:lineRule="auto"/>
        <w:tabs>
          <w:tab w:leader="none" w:pos="760" w:val="left"/>
        </w:tabs>
        <w:numPr>
          <w:ilvl w:val="0"/>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A third party in connection with any proposed or actual reorganization, merger, sale, joint venture, assignment, transfer or other disposition of all or any portion of the Willis Towers Watson Group's business, assets or stock (including in connection with any bankruptcy or similar proceedings).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2" w:name="page143"/>
    <w:bookmarkEnd w:id="142"/>
    <w:p>
      <w:pPr>
        <w:jc w:val="center"/>
        <w:spacing w:after="0"/>
        <w:rPr>
          <w:sz w:val="20"/>
          <w:szCs w:val="20"/>
          <w:color w:val="auto"/>
        </w:rPr>
      </w:pPr>
      <w:r>
        <w:rPr>
          <w:rFonts w:ascii="Times New Roman" w:cs="Times New Roman" w:eastAsia="Times New Roman" w:hAnsi="Times New Roman"/>
          <w:sz w:val="19"/>
          <w:szCs w:val="19"/>
          <w:b w:val="1"/>
          <w:bCs w:val="1"/>
          <w:u w:val="single" w:color="auto"/>
          <w:color w:val="4B116F"/>
        </w:rPr>
        <w:t>ANNEX 2 – Processing of Personal Information Related to Internal Investigations</w:t>
      </w:r>
    </w:p>
    <w:p>
      <w:pPr>
        <w:spacing w:after="0" w:line="19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An internal investigation may arise for a variety of reasons, such as when the Legal or Compliance teams receive a report related to colleague actions or omissions that could constitute abuse, harassment, discrimination, wrongdoing, or violations of law or Willis Towers Watson policy. During an internal investigation, Willis Towers Watson may collect and process your Personal Information in accordance with the Global Employee Personal Information Protection Notice generally and also the provisions of this Annex 2.</w:t>
      </w:r>
    </w:p>
    <w:p>
      <w:pPr>
        <w:spacing w:after="0" w:line="18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9"/>
          <w:szCs w:val="19"/>
          <w:color w:val="auto"/>
        </w:rPr>
        <w:t>In an internal investigation, your Personal Information will be processed for the purposes of conducting the investigation. In addition, it may be processed for purposes of Willis Towers Watson ensuring compliance with its ethical and legal responsibilities, and for Willis Towers Watson to act based on the findings of the investigation. The lawful basis for this processing is the legitimate interest of Willis Towers Watson to investigate, detect, minimize, mitigate, and address any alleged or actual unethical or unlawful actions within the framework of Willis Towers Watson’s internal policies and procedures, including Willis Towers Watson’s Code of Conduct, which are designed to ensure the ethical and lawful management and operation of our business, consistent with applicable laws.</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9"/>
          <w:szCs w:val="19"/>
          <w:color w:val="auto"/>
        </w:rPr>
        <w:t>Personal Information obtained during an internal investigation will be accessible only to those authorized WTW colleagues involved with the investigation. It may also be shared with third parties engaged by Willis Towers Watson who are assisting with the investigation such as legal counsel. Under appropriate circumstances, Personal Information obtained during an investigation may also be shared with legal authorities and/or the courts.</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Personal Information related to the investigation will be maintained for as long as necessary for the purposes set forth above and in accordance with our Records Management Policy. For example, if you are interviewed, the Personal Data related to your interview will be retained, archived, and ultimately deleted in accordance with the Willis Towers Watson Records Management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43" w:name="page144"/>
    <w:bookmarkEnd w:id="143"/>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4B116F"/>
        </w:rPr>
        <w:t>ANNEX 3 – Information for California Residents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In this section, we provide information for California residents as required under California privacy laws, including the California Consumer Privacy Act (CCPA), which requires that we provide California residents certain specific information about how we handle their personal information, whether collected online or offline. This section does not address or apply to our handling of:</w:t>
      </w:r>
    </w:p>
    <w:p>
      <w:pPr>
        <w:spacing w:after="0" w:line="190" w:lineRule="exact"/>
        <w:rPr>
          <w:sz w:val="20"/>
          <w:szCs w:val="20"/>
          <w:color w:val="auto"/>
        </w:rPr>
      </w:pPr>
    </w:p>
    <w:p>
      <w:pPr>
        <w:ind w:left="480" w:hanging="383"/>
        <w:spacing w:after="0"/>
        <w:tabs>
          <w:tab w:leader="none" w:pos="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publicly available information made lawfully available by state or federal governments</w:t>
      </w:r>
    </w:p>
    <w:p>
      <w:pPr>
        <w:spacing w:after="0" w:line="21" w:lineRule="exact"/>
        <w:rPr>
          <w:rFonts w:ascii="Times New Roman" w:cs="Times New Roman" w:eastAsia="Times New Roman" w:hAnsi="Times New Roman"/>
          <w:sz w:val="20"/>
          <w:szCs w:val="20"/>
          <w:color w:val="auto"/>
        </w:rPr>
      </w:pPr>
    </w:p>
    <w:p>
      <w:pPr>
        <w:jc w:val="both"/>
        <w:ind w:left="480" w:hanging="383"/>
        <w:spacing w:after="0" w:line="239" w:lineRule="auto"/>
        <w:tabs>
          <w:tab w:leader="none" w:pos="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that is subject to an exemption under Section 1798.145(c) – (f) of the CCPA (such as protected health information that is subject to HIPAA or the California Medical Information Act, and non-public information subject to the Gramm Leach Bliley Act or the California Financial Information Privacy Act)</w:t>
      </w:r>
    </w:p>
    <w:p>
      <w:pPr>
        <w:ind w:left="480" w:hanging="383"/>
        <w:spacing w:after="0"/>
        <w:tabs>
          <w:tab w:leader="none" w:pos="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we collect about job applicants or independent contractors at Willis Towers Watson</w:t>
      </w:r>
    </w:p>
    <w:p>
      <w:pPr>
        <w:jc w:val="both"/>
        <w:ind w:left="480" w:hanging="383"/>
        <w:spacing w:after="0" w:line="241" w:lineRule="auto"/>
        <w:tabs>
          <w:tab w:leader="none" w:pos="480"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personal information about individuals acting for or on behalf of another company, to the extent the information relates to our transactions with such company, products or services that we receive from or provide to such company, or associated communications or transactions (except that such individuals have the right to opt-out of any sale of their personal information and to not be subject to any discrimination for exercising such right)</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b w:val="1"/>
          <w:bCs w:val="1"/>
          <w:color w:val="7030A0"/>
        </w:rPr>
        <w:t>Categories of personal information we collect, disclose, sell, or share</w:t>
      </w:r>
      <w:r>
        <w:rPr>
          <w:rFonts w:ascii="Times New Roman" w:cs="Times New Roman" w:eastAsia="Times New Roman" w:hAnsi="Times New Roman"/>
          <w:sz w:val="20"/>
          <w:szCs w:val="20"/>
          <w:color w:val="000000"/>
        </w:rPr>
        <w:t>. Our collection, use and disclosure of personal information about a</w:t>
      </w:r>
      <w:r>
        <w:rPr>
          <w:rFonts w:ascii="Times New Roman" w:cs="Times New Roman" w:eastAsia="Times New Roman" w:hAnsi="Times New Roman"/>
          <w:sz w:val="20"/>
          <w:szCs w:val="20"/>
          <w:b w:val="1"/>
          <w:bCs w:val="1"/>
          <w:color w:val="7030A0"/>
        </w:rPr>
        <w:t xml:space="preserve"> </w:t>
      </w:r>
      <w:r>
        <w:rPr>
          <w:rFonts w:ascii="Times New Roman" w:cs="Times New Roman" w:eastAsia="Times New Roman" w:hAnsi="Times New Roman"/>
          <w:sz w:val="20"/>
          <w:szCs w:val="20"/>
          <w:color w:val="000000"/>
        </w:rPr>
        <w:t>California resident will vary depending upon the circumstances and nature of our interactions or relationship with such resident. Annex 1 sets out generally the categories of personal information (as defined by the CCPA) about California residents that we collect, sell, and disclose to others for a business purpose. We collect these categories of personal information from the sources, and for the purposes described above in the main body of this privacy notice and in Annex 1. In addition, we also collect some of this information by observing your actions on our systems and websites. We process personal data belonging to individuals 16 years or younger.</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CCPA defines a “sale” as disclosing or making available to a third party Personal Information in exchange for monetary or other valuable consideration, and it defines “share” in pertinent part as disclosing personal information to a third party for cross-context behavioral advertising. We do not “sell,” or “share” personal data which is subject to this Privacy Notice.</w:t>
      </w:r>
    </w:p>
    <w:p>
      <w:pPr>
        <w:spacing w:after="0" w:line="14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4B116F"/>
        </w:rPr>
        <w:t>Rights of California residents</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California law grants California residents certain rights and imposes restrictions on particular business</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practices as set forth below.</w:t>
      </w:r>
    </w:p>
    <w:p>
      <w:pPr>
        <w:spacing w:after="0" w:line="126" w:lineRule="exact"/>
        <w:rPr>
          <w:sz w:val="20"/>
          <w:szCs w:val="20"/>
          <w:color w:val="auto"/>
        </w:rPr>
      </w:pPr>
    </w:p>
    <w:p>
      <w:pPr>
        <w:ind w:left="760" w:hanging="378"/>
        <w:spacing w:after="0" w:line="272"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Do-Not-Sell</w:t>
      </w:r>
      <w:r>
        <w:rPr>
          <w:rFonts w:ascii="Times New Roman" w:cs="Times New Roman" w:eastAsia="Times New Roman" w:hAnsi="Times New Roman"/>
          <w:sz w:val="20"/>
          <w:szCs w:val="20"/>
          <w:color w:val="auto"/>
        </w:rPr>
        <w:t>: California residents have the right to opt-out of our sale of their personal information. We do not “sell”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subject to this notice.</w:t>
      </w:r>
    </w:p>
    <w:p>
      <w:pPr>
        <w:spacing w:after="0" w:line="125" w:lineRule="exact"/>
        <w:rPr>
          <w:rFonts w:ascii="Times New Roman" w:cs="Times New Roman" w:eastAsia="Times New Roman" w:hAnsi="Times New Roman"/>
          <w:sz w:val="20"/>
          <w:szCs w:val="20"/>
          <w:color w:val="auto"/>
        </w:rPr>
      </w:pPr>
    </w:p>
    <w:p>
      <w:pPr>
        <w:ind w:left="760" w:hanging="378"/>
        <w:spacing w:after="0" w:line="272"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Initial Notice</w:t>
      </w:r>
      <w:r>
        <w:rPr>
          <w:rFonts w:ascii="Times New Roman" w:cs="Times New Roman" w:eastAsia="Times New Roman" w:hAnsi="Times New Roman"/>
          <w:sz w:val="20"/>
          <w:szCs w:val="20"/>
          <w:color w:val="auto"/>
        </w:rPr>
        <w:t>: We are required to notify California residents, at or before the point of collection of their personal information,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categories of personal information collected and the purposes for which such information is used.</w:t>
      </w:r>
    </w:p>
    <w:p>
      <w:pPr>
        <w:spacing w:after="0" w:line="125" w:lineRule="exact"/>
        <w:rPr>
          <w:rFonts w:ascii="Times New Roman" w:cs="Times New Roman" w:eastAsia="Times New Roman" w:hAnsi="Times New Roman"/>
          <w:sz w:val="20"/>
          <w:szCs w:val="20"/>
          <w:color w:val="auto"/>
        </w:rPr>
      </w:pPr>
    </w:p>
    <w:p>
      <w:pPr>
        <w:jc w:val="both"/>
        <w:ind w:left="760" w:hanging="378"/>
        <w:spacing w:after="0" w:line="250" w:lineRule="auto"/>
        <w:tabs>
          <w:tab w:leader="none" w:pos="760" w:val="left"/>
        </w:tabs>
        <w:numPr>
          <w:ilvl w:val="0"/>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Delete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California residents have the right to request deletion of their personal information that we have collected about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them and to have such personal information deleted, except where an exemption applies. We will respond to verifiable requests received from California residents as required by law. The instructions for submitting a verifiable Request to Delete are described in the “Submitting Requests” section below.</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4" w:name="page145"/>
    <w:bookmarkEnd w:id="144"/>
    <w:p>
      <w:pPr>
        <w:jc w:val="both"/>
        <w:ind w:left="380" w:hanging="378"/>
        <w:spacing w:after="0" w:line="245" w:lineRule="auto"/>
        <w:tabs>
          <w:tab w:leader="none" w:pos="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Limit the Use of Sensitive Personal Information: </w:t>
      </w:r>
      <w:r>
        <w:rPr>
          <w:rFonts w:ascii="Times New Roman" w:cs="Times New Roman" w:eastAsia="Times New Roman" w:hAnsi="Times New Roman"/>
          <w:sz w:val="20"/>
          <w:szCs w:val="20"/>
          <w:color w:val="auto"/>
        </w:rPr>
        <w:t>California residents have the right in certain instances to request that we limit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use and sharing of their sensitive personal information. The CCPA defines “sensitive personal information” to include, among other things, your: social security, driver’s license, state identification card, or passport numbers; account log-in, financial account, debit card, or credit card numbers in combination with any required security or access code, password, or credentials allowing access to an account; racial or ethnic origin, religious or philosophical beliefs, or union membership; genetic data; and biometric information (including physiological, biological, or behavioral characteristics).</w:t>
      </w:r>
    </w:p>
    <w:p>
      <w:pPr>
        <w:spacing w:after="0" w:line="155" w:lineRule="exact"/>
        <w:rPr>
          <w:rFonts w:ascii="Times New Roman" w:cs="Times New Roman" w:eastAsia="Times New Roman" w:hAnsi="Times New Roman"/>
          <w:sz w:val="20"/>
          <w:szCs w:val="20"/>
          <w:color w:val="auto"/>
        </w:rPr>
      </w:pPr>
    </w:p>
    <w:p>
      <w:pPr>
        <w:jc w:val="both"/>
        <w:ind w:left="380" w:hanging="378"/>
        <w:spacing w:after="0" w:line="247" w:lineRule="auto"/>
        <w:tabs>
          <w:tab w:leader="none" w:pos="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Know</w:t>
      </w:r>
      <w:r>
        <w:rPr>
          <w:rFonts w:ascii="Times New Roman" w:cs="Times New Roman" w:eastAsia="Times New Roman" w:hAnsi="Times New Roman"/>
          <w:sz w:val="20"/>
          <w:szCs w:val="20"/>
          <w:color w:val="auto"/>
        </w:rPr>
        <w:t>: California residents have the right to request and, subject to certain exemptions, receive a copy of the specific</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pieces of personal information that we have collected, used, disclosed and sold about them and to have this delivered, free of charge, either (a) by mail or (b) electronically in a portable and, to the extent technically feasible, readily useable format that allows the individual to transmit this information to another entity without hindrance. California residents also have the right to request that we provide them certain information about how we have handled their personal information, including the:</w:t>
      </w:r>
    </w:p>
    <w:p>
      <w:pPr>
        <w:spacing w:after="0" w:line="155" w:lineRule="exact"/>
        <w:rPr>
          <w:rFonts w:ascii="Times New Roman" w:cs="Times New Roman" w:eastAsia="Times New Roman" w:hAnsi="Times New Roman"/>
          <w:sz w:val="20"/>
          <w:szCs w:val="20"/>
          <w:color w:val="auto"/>
        </w:rPr>
      </w:pPr>
    </w:p>
    <w:p>
      <w:pPr>
        <w:ind w:left="380" w:right="6480"/>
        <w:spacing w:after="0" w:line="250"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collected; o categories of sources of personal information;</w:t>
      </w:r>
    </w:p>
    <w:p>
      <w:pPr>
        <w:spacing w:after="0" w:line="1" w:lineRule="exact"/>
        <w:rPr>
          <w:rFonts w:ascii="Times New Roman" w:cs="Times New Roman" w:eastAsia="Times New Roman" w:hAnsi="Times New Roman"/>
          <w:sz w:val="20"/>
          <w:szCs w:val="20"/>
          <w:color w:val="auto"/>
        </w:rPr>
      </w:pPr>
    </w:p>
    <w:p>
      <w:pPr>
        <w:ind w:left="380" w:right="2960"/>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business and/or commercial purposes for collecting and selling their personal information; o categories of third parties with whom we have shared their personal information;</w:t>
      </w:r>
    </w:p>
    <w:p>
      <w:pPr>
        <w:ind w:left="760" w:hanging="374"/>
        <w:spacing w:after="0" w:line="239"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that we have sold in the preceding 12 months, and for each category identified, the categories of third parties to which we sold that particular category of information; and</w:t>
      </w:r>
    </w:p>
    <w:p>
      <w:pPr>
        <w:ind w:left="760" w:hanging="374"/>
        <w:spacing w:after="0" w:line="245"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 categories of personal information disclosed for a business purpose in the preceding 12 months, and for each category identified, the categories of third parties to which we disclosed that particular category of personal information.</w:t>
      </w:r>
    </w:p>
    <w:p>
      <w:pPr>
        <w:spacing w:after="0" w:line="196" w:lineRule="exact"/>
        <w:rPr>
          <w:rFonts w:ascii="Times New Roman" w:cs="Times New Roman" w:eastAsia="Times New Roman" w:hAnsi="Times New Roman"/>
          <w:sz w:val="20"/>
          <w:szCs w:val="20"/>
          <w:color w:val="auto"/>
        </w:rPr>
      </w:pPr>
    </w:p>
    <w:p>
      <w:pPr>
        <w:jc w:val="both"/>
        <w:ind w:left="380"/>
        <w:spacing w:after="0" w:line="253"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California residents may make a Request to Know up to twice every 12 months. We will respond to verifiable requests received from California residents as required by law. The instructions for submitting a verifiable Request to Know are described in the “Submitting Requests” section below.</w:t>
      </w:r>
    </w:p>
    <w:p>
      <w:pPr>
        <w:spacing w:after="0" w:line="145" w:lineRule="exact"/>
        <w:rPr>
          <w:rFonts w:ascii="Times New Roman" w:cs="Times New Roman" w:eastAsia="Times New Roman" w:hAnsi="Times New Roman"/>
          <w:sz w:val="20"/>
          <w:szCs w:val="20"/>
          <w:color w:val="auto"/>
        </w:rPr>
      </w:pPr>
    </w:p>
    <w:p>
      <w:pPr>
        <w:ind w:left="380" w:hanging="378"/>
        <w:spacing w:after="0"/>
        <w:tabs>
          <w:tab w:leader="none" w:pos="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Request to Correct</w:t>
      </w:r>
      <w:r>
        <w:rPr>
          <w:rFonts w:ascii="Times New Roman" w:cs="Times New Roman" w:eastAsia="Times New Roman" w:hAnsi="Times New Roman"/>
          <w:sz w:val="20"/>
          <w:szCs w:val="20"/>
          <w:color w:val="auto"/>
        </w:rPr>
        <w:t>: California residents have the right to request that we correct inaccurate personal information that we maintain.</w:t>
      </w:r>
    </w:p>
    <w:p>
      <w:pPr>
        <w:spacing w:after="0" w:line="188" w:lineRule="exact"/>
        <w:rPr>
          <w:rFonts w:ascii="Times New Roman" w:cs="Times New Roman" w:eastAsia="Times New Roman" w:hAnsi="Times New Roman"/>
          <w:sz w:val="20"/>
          <w:szCs w:val="20"/>
          <w:color w:val="auto"/>
        </w:rPr>
      </w:pPr>
    </w:p>
    <w:p>
      <w:pPr>
        <w:jc w:val="both"/>
        <w:ind w:left="380" w:hanging="378"/>
        <w:spacing w:after="0" w:line="250" w:lineRule="auto"/>
        <w:tabs>
          <w:tab w:leader="none" w:pos="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Right to Non-Discrimination</w:t>
      </w:r>
      <w:r>
        <w:rPr>
          <w:rFonts w:ascii="Times New Roman" w:cs="Times New Roman" w:eastAsia="Times New Roman" w:hAnsi="Times New Roman"/>
          <w:sz w:val="20"/>
          <w:szCs w:val="20"/>
          <w:color w:val="auto"/>
        </w:rPr>
        <w:t>: The CCPA prohibits discrimination against California residents for exercising their rights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CCPA. Discrimination may exist where a business denies or provides a different level or quality of goods or services, or charges (or suggests that it will charge) different prices, rates, or penalties on residents who exercise their CCPA rights, unless doing so is reasonably related to the value provided to the business by the residents’ data.</w:t>
      </w:r>
    </w:p>
    <w:p>
      <w:pPr>
        <w:spacing w:after="0" w:line="147" w:lineRule="exact"/>
        <w:rPr>
          <w:rFonts w:ascii="Times New Roman" w:cs="Times New Roman" w:eastAsia="Times New Roman" w:hAnsi="Times New Roman"/>
          <w:sz w:val="20"/>
          <w:szCs w:val="20"/>
          <w:color w:val="auto"/>
        </w:rPr>
      </w:pPr>
    </w:p>
    <w:p>
      <w:pPr>
        <w:jc w:val="both"/>
        <w:ind w:left="380" w:hanging="378"/>
        <w:spacing w:after="0" w:line="247" w:lineRule="auto"/>
        <w:tabs>
          <w:tab w:leader="none" w:pos="380"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Financial Incentives</w:t>
      </w:r>
      <w:r>
        <w:rPr>
          <w:rFonts w:ascii="Times New Roman" w:cs="Times New Roman" w:eastAsia="Times New Roman" w:hAnsi="Times New Roman"/>
          <w:sz w:val="20"/>
          <w:szCs w:val="20"/>
          <w:color w:val="auto"/>
        </w:rPr>
        <w:t>: A business may offer financial incentives for the collection, sale or deletion of California residents’ personal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information, where the incentive is not unjust, unreasonable, coercive or usurious, and is made available in compliance with applicable transparency, informed consent, and opt-out requirements. California residents have the right to be notified of any financial incentives offers and their material terms, the right to opt-out of such incentives at any time, and may not be included in such incentives without their prior informed opt-in consent. We do not offer any such incentives at this time.</w:t>
      </w:r>
    </w:p>
    <w:p>
      <w:pPr>
        <w:spacing w:after="0" w:line="151"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623570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1407" w:right="339" w:bottom="1440" w:gutter="0" w:footer="0" w:header="0"/>
        </w:sectPr>
      </w:pPr>
    </w:p>
    <w:bookmarkStart w:id="145" w:name="page146"/>
    <w:bookmarkEnd w:id="145"/>
    <w:p>
      <w:pPr>
        <w:ind w:left="760" w:hanging="378"/>
        <w:spacing w:after="0" w:line="272" w:lineRule="auto"/>
        <w:tabs>
          <w:tab w:leader="none" w:pos="760"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Submitting Requests</w:t>
      </w:r>
      <w:r>
        <w:rPr>
          <w:rFonts w:ascii="Times New Roman" w:cs="Times New Roman" w:eastAsia="Times New Roman" w:hAnsi="Times New Roman"/>
          <w:sz w:val="20"/>
          <w:szCs w:val="20"/>
          <w:color w:val="auto"/>
        </w:rPr>
        <w:t>. Do-Not-Sell (Opt-out) Requests, Requests to Know, Requests to Delete, Requests to Limit, and Requests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Correct may be submitted:</w:t>
      </w:r>
    </w:p>
    <w:p>
      <w:pPr>
        <w:spacing w:after="0" w:line="130" w:lineRule="exact"/>
        <w:rPr>
          <w:sz w:val="20"/>
          <w:szCs w:val="20"/>
          <w:color w:val="auto"/>
        </w:rPr>
      </w:pPr>
    </w:p>
    <w:p>
      <w:pPr>
        <w:ind w:left="1500" w:hanging="369"/>
        <w:spacing w:after="0"/>
        <w:tabs>
          <w:tab w:leader="none" w:pos="15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contacting us at 1-800-889-9288 (toll free)</w:t>
      </w:r>
    </w:p>
    <w:p>
      <w:pPr>
        <w:spacing w:after="0" w:line="21" w:lineRule="exact"/>
        <w:rPr>
          <w:rFonts w:ascii="Times New Roman" w:cs="Times New Roman" w:eastAsia="Times New Roman" w:hAnsi="Times New Roman"/>
          <w:sz w:val="20"/>
          <w:szCs w:val="20"/>
          <w:color w:val="auto"/>
        </w:rPr>
      </w:pPr>
    </w:p>
    <w:p>
      <w:pPr>
        <w:ind w:left="1500" w:hanging="369"/>
        <w:spacing w:after="0"/>
        <w:tabs>
          <w:tab w:leader="none" w:pos="150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submitting a Consumer Request through this link</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will use the following process to verify Requests to Know and Requests to Delete: We will acknowledge receipt of your Consumer Request, verify it using processes required by law, then process and respond to your request as required by law. To verify such requests, we may ask you to provide the following information:</w:t>
      </w:r>
    </w:p>
    <w:p>
      <w:pPr>
        <w:spacing w:after="0" w:line="149" w:lineRule="exact"/>
        <w:rPr>
          <w:sz w:val="20"/>
          <w:szCs w:val="20"/>
          <w:color w:val="auto"/>
        </w:rPr>
      </w:pPr>
    </w:p>
    <w:p>
      <w:pPr>
        <w:jc w:val="both"/>
        <w:ind w:left="760" w:hanging="378"/>
        <w:spacing w:after="0" w:line="253" w:lineRule="auto"/>
        <w:tabs>
          <w:tab w:leader="none" w:pos="7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categories of personal information which we collect, we will verify your identity to a reasonable degree of certainty by matching at least two data points provided by you against information in our systems which are considered reasonably reliable for the purposes of verifying a consumer’s identity.</w:t>
      </w:r>
    </w:p>
    <w:p>
      <w:pPr>
        <w:spacing w:after="0" w:line="149" w:lineRule="exact"/>
        <w:rPr>
          <w:rFonts w:ascii="Times New Roman" w:cs="Times New Roman" w:eastAsia="Times New Roman" w:hAnsi="Times New Roman"/>
          <w:sz w:val="20"/>
          <w:szCs w:val="20"/>
          <w:color w:val="auto"/>
        </w:rPr>
      </w:pPr>
    </w:p>
    <w:p>
      <w:pPr>
        <w:jc w:val="both"/>
        <w:ind w:left="760" w:hanging="378"/>
        <w:spacing w:after="0" w:line="249" w:lineRule="auto"/>
        <w:tabs>
          <w:tab w:leader="none" w:pos="7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 Request to Know specific pieces of personal information or for Requests to Delete, we will verify your identity to a high degree of certainty by matching at least three pieces of personal information provided by you to personal information maintained in our systems and also by obtaining a signed declaration under penalty of perjury that the requestor is the consumer whose personal information is the subject of the request.</w:t>
      </w:r>
    </w:p>
    <w:p>
      <w:pPr>
        <w:spacing w:after="0" w:line="1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An authorized agent can make a request on a California resident’s behalf by providing a power of attorney valid under California law, or providing: (1) proof that the consumer authorized the agent to do so; (2) verification of their own identity with respect to a Right to Know categories, Right to Know specific pieces of personal information, or Requests to Delete which are outlined above; and (3) direct confirmation that the consumer provided the authorized agent permission to submit the request.</w:t>
      </w:r>
    </w:p>
    <w:p>
      <w:pPr>
        <w:spacing w:after="0" w:line="151"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20"/>
          <w:szCs w:val="20"/>
          <w:color w:val="auto"/>
        </w:rPr>
        <w:t>We will respond to verifiable requests received from California residents as required by law. For more information about our privacy practices, you may contact us as set forth above.</w:t>
      </w:r>
    </w:p>
    <w:p>
      <w:pPr>
        <w:spacing w:after="0" w:line="130"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0"/>
          <w:szCs w:val="20"/>
          <w:b w:val="1"/>
          <w:bCs w:val="1"/>
          <w:color w:val="4B116F"/>
        </w:rPr>
        <w:t>Consumer Requests Received in 2022</w:t>
      </w:r>
      <w:r>
        <w:rPr>
          <w:rFonts w:ascii="Times New Roman" w:cs="Times New Roman" w:eastAsia="Times New Roman" w:hAnsi="Times New Roman"/>
          <w:sz w:val="20"/>
          <w:szCs w:val="20"/>
          <w:b w:val="1"/>
          <w:bCs w:val="1"/>
          <w:color w:val="000000"/>
        </w:rPr>
        <w: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In calendar year 2022, we received and responded to consumer requests under the CCPA as set</w:t>
      </w:r>
      <w:r>
        <w:rPr>
          <w:rFonts w:ascii="Times New Roman" w:cs="Times New Roman" w:eastAsia="Times New Roman" w:hAnsi="Times New Roman"/>
          <w:sz w:val="20"/>
          <w:szCs w:val="20"/>
          <w:b w:val="1"/>
          <w:bCs w:val="1"/>
          <w:color w:val="4B116F"/>
        </w:rPr>
        <w:t xml:space="preserve"> </w:t>
      </w:r>
      <w:r>
        <w:rPr>
          <w:rFonts w:ascii="Times New Roman" w:cs="Times New Roman" w:eastAsia="Times New Roman" w:hAnsi="Times New Roman"/>
          <w:sz w:val="20"/>
          <w:szCs w:val="20"/>
          <w:color w:val="000000"/>
        </w:rPr>
        <w:t>forth in the table below:</w:t>
      </w:r>
    </w:p>
    <w:p>
      <w:pPr>
        <w:spacing w:after="0" w:line="130" w:lineRule="exact"/>
        <w:rPr>
          <w:sz w:val="20"/>
          <w:szCs w:val="20"/>
          <w:color w:val="auto"/>
        </w:rPr>
      </w:pPr>
    </w:p>
    <w:tbl>
      <w:tblPr>
        <w:tblLayout w:type="fixed"/>
        <w:tblInd w:w="10" w:type="dxa"/>
        <w:tblCellMar>
          <w:top w:w="0" w:type="dxa"/>
          <w:left w:w="0" w:type="dxa"/>
          <w:bottom w:w="0" w:type="dxa"/>
          <w:right w:w="0" w:type="dxa"/>
        </w:tblCellMar>
      </w:tblPr>
      <w:tr>
        <w:trPr>
          <w:trHeight w:val="233"/>
        </w:trPr>
        <w:tc>
          <w:tcPr>
            <w:tcW w:w="2240" w:type="dxa"/>
            <w:vAlign w:val="bottom"/>
            <w:tcBorders>
              <w:top w:val="single" w:sz="8" w:color="auto"/>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b w:val="1"/>
                <w:bCs w:val="1"/>
                <w:color w:val="auto"/>
              </w:rPr>
              <w:t>Request Type</w:t>
            </w:r>
          </w:p>
        </w:tc>
        <w:tc>
          <w:tcPr>
            <w:tcW w:w="2160" w:type="dxa"/>
            <w:vAlign w:val="bottom"/>
            <w:tcBorders>
              <w:top w:val="single" w:sz="8" w:color="auto"/>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b w:val="1"/>
                <w:bCs w:val="1"/>
                <w:color w:val="auto"/>
              </w:rPr>
              <w:t>Number  of  Requests</w:t>
            </w:r>
          </w:p>
        </w:tc>
        <w:tc>
          <w:tcPr>
            <w:tcW w:w="820" w:type="dxa"/>
            <w:vAlign w:val="bottom"/>
            <w:tcBorders>
              <w:top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1340" w:type="dxa"/>
            <w:vAlign w:val="bottom"/>
            <w:tcBorders>
              <w:top w:val="single" w:sz="8" w:color="auto"/>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of  Requests</w:t>
            </w:r>
          </w:p>
        </w:tc>
        <w:tc>
          <w:tcPr>
            <w:tcW w:w="2180" w:type="dxa"/>
            <w:vAlign w:val="bottom"/>
            <w:tcBorders>
              <w:top w:val="single" w:sz="8" w:color="auto"/>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b w:val="1"/>
                <w:bCs w:val="1"/>
                <w:color w:val="auto"/>
              </w:rPr>
              <w:t>Number  of  Requests</w:t>
            </w:r>
          </w:p>
        </w:tc>
        <w:tc>
          <w:tcPr>
            <w:tcW w:w="800" w:type="dxa"/>
            <w:vAlign w:val="bottom"/>
            <w:tcBorders>
              <w:top w:val="single" w:sz="8" w:color="auto"/>
            </w:tcBorders>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w w:val="98"/>
              </w:rPr>
              <w:t>Average</w:t>
            </w:r>
          </w:p>
        </w:tc>
        <w:tc>
          <w:tcPr>
            <w:tcW w:w="1360" w:type="dxa"/>
            <w:vAlign w:val="bottom"/>
            <w:tcBorders>
              <w:top w:val="single" w:sz="8" w:color="auto"/>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Response</w:t>
            </w:r>
          </w:p>
        </w:tc>
      </w:tr>
      <w:tr>
        <w:trPr>
          <w:trHeight w:val="229"/>
        </w:trPr>
        <w:tc>
          <w:tcPr>
            <w:tcW w:w="2240" w:type="dxa"/>
            <w:vAlign w:val="bottom"/>
            <w:tcBorders>
              <w:left w:val="single" w:sz="8" w:color="auto"/>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b w:val="1"/>
                <w:bCs w:val="1"/>
                <w:color w:val="auto"/>
              </w:rPr>
              <w:t>Received</w:t>
            </w: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With</w:t>
            </w:r>
          </w:p>
        </w:tc>
        <w:tc>
          <w:tcPr>
            <w:tcW w:w="1340" w:type="dxa"/>
            <w:vAlign w:val="bottom"/>
            <w:tcBorders>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Which   We</w:t>
            </w:r>
          </w:p>
        </w:tc>
        <w:tc>
          <w:tcPr>
            <w:tcW w:w="2180" w:type="dxa"/>
            <w:vAlign w:val="bottom"/>
            <w:tcBorders>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b w:val="1"/>
                <w:bCs w:val="1"/>
                <w:color w:val="auto"/>
              </w:rPr>
              <w:t>Denied*</w:t>
            </w: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Time</w:t>
            </w:r>
          </w:p>
        </w:tc>
        <w:tc>
          <w:tcPr>
            <w:tcW w:w="1360" w:type="dxa"/>
            <w:vAlign w:val="bottom"/>
            <w:tcBorders>
              <w:right w:val="single" w:sz="8" w:color="auto"/>
            </w:tcBorders>
            <w:shd w:val="clear" w:color="auto" w:fill="D9EEFF"/>
          </w:tcPr>
          <w:p>
            <w:pPr>
              <w:jc w:val="right"/>
              <w:ind w:right="21"/>
              <w:spacing w:after="0"/>
              <w:rPr>
                <w:sz w:val="20"/>
                <w:szCs w:val="20"/>
                <w:color w:val="auto"/>
              </w:rPr>
            </w:pPr>
            <w:r>
              <w:rPr>
                <w:rFonts w:ascii="Times New Roman" w:cs="Times New Roman" w:eastAsia="Times New Roman" w:hAnsi="Times New Roman"/>
                <w:sz w:val="20"/>
                <w:szCs w:val="20"/>
                <w:b w:val="1"/>
                <w:bCs w:val="1"/>
                <w:color w:val="auto"/>
              </w:rPr>
              <w:t>(Number   of</w:t>
            </w:r>
          </w:p>
        </w:tc>
      </w:tr>
      <w:tr>
        <w:trPr>
          <w:trHeight w:val="229"/>
        </w:trPr>
        <w:tc>
          <w:tcPr>
            <w:tcW w:w="2240" w:type="dxa"/>
            <w:vAlign w:val="bottom"/>
            <w:tcBorders>
              <w:left w:val="single" w:sz="8" w:color="auto"/>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shd w:val="clear" w:color="auto" w:fill="D9EEFF"/>
          </w:tcPr>
          <w:p>
            <w:pPr>
              <w:spacing w:after="0"/>
              <w:rPr>
                <w:sz w:val="19"/>
                <w:szCs w:val="19"/>
                <w:color w:val="auto"/>
              </w:rPr>
            </w:pPr>
          </w:p>
        </w:tc>
        <w:tc>
          <w:tcPr>
            <w:tcW w:w="2160" w:type="dxa"/>
            <w:vAlign w:val="bottom"/>
            <w:tcBorders>
              <w:right w:val="single" w:sz="8" w:color="auto"/>
            </w:tcBorders>
            <w:gridSpan w:val="2"/>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Complied (in whole or</w:t>
            </w:r>
          </w:p>
        </w:tc>
        <w:tc>
          <w:tcPr>
            <w:tcW w:w="2180" w:type="dxa"/>
            <w:vAlign w:val="bottom"/>
            <w:tcBorders>
              <w:right w:val="single" w:sz="8" w:color="auto"/>
            </w:tcBorders>
            <w:shd w:val="clear" w:color="auto" w:fill="D9EEFF"/>
          </w:tcPr>
          <w:p>
            <w:pPr>
              <w:spacing w:after="0"/>
              <w:rPr>
                <w:sz w:val="19"/>
                <w:szCs w:val="19"/>
                <w:color w:val="auto"/>
              </w:rPr>
            </w:pP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Days)</w:t>
            </w:r>
          </w:p>
        </w:tc>
        <w:tc>
          <w:tcPr>
            <w:tcW w:w="1360" w:type="dxa"/>
            <w:vAlign w:val="bottom"/>
            <w:tcBorders>
              <w:right w:val="single" w:sz="8" w:color="auto"/>
            </w:tcBorders>
            <w:shd w:val="clear" w:color="auto" w:fill="D9EEFF"/>
          </w:tcPr>
          <w:p>
            <w:pPr>
              <w:spacing w:after="0"/>
              <w:rPr>
                <w:sz w:val="19"/>
                <w:szCs w:val="19"/>
                <w:color w:val="auto"/>
              </w:rPr>
            </w:pPr>
          </w:p>
        </w:tc>
      </w:tr>
      <w:tr>
        <w:trPr>
          <w:trHeight w:val="262"/>
        </w:trPr>
        <w:tc>
          <w:tcPr>
            <w:tcW w:w="2240" w:type="dxa"/>
            <w:vAlign w:val="bottom"/>
            <w:tcBorders>
              <w:left w:val="single" w:sz="8" w:color="auto"/>
              <w:right w:val="single" w:sz="8" w:color="auto"/>
            </w:tcBorders>
            <w:shd w:val="clear" w:color="auto" w:fill="D9EEFF"/>
          </w:tcPr>
          <w:p>
            <w:pPr>
              <w:spacing w:after="0"/>
              <w:rPr>
                <w:sz w:val="22"/>
                <w:szCs w:val="22"/>
                <w:color w:val="auto"/>
              </w:rPr>
            </w:pPr>
          </w:p>
        </w:tc>
        <w:tc>
          <w:tcPr>
            <w:tcW w:w="2160" w:type="dxa"/>
            <w:vAlign w:val="bottom"/>
            <w:tcBorders>
              <w:right w:val="single" w:sz="8" w:color="auto"/>
            </w:tcBorders>
            <w:shd w:val="clear" w:color="auto" w:fill="D9EEFF"/>
          </w:tcPr>
          <w:p>
            <w:pPr>
              <w:spacing w:after="0"/>
              <w:rPr>
                <w:sz w:val="22"/>
                <w:szCs w:val="22"/>
                <w:color w:val="auto"/>
              </w:rPr>
            </w:pP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b w:val="1"/>
                <w:bCs w:val="1"/>
                <w:color w:val="auto"/>
              </w:rPr>
              <w:t>in part)</w:t>
            </w:r>
          </w:p>
        </w:tc>
        <w:tc>
          <w:tcPr>
            <w:tcW w:w="1340" w:type="dxa"/>
            <w:vAlign w:val="bottom"/>
            <w:tcBorders>
              <w:right w:val="single" w:sz="8" w:color="auto"/>
            </w:tcBorders>
            <w:shd w:val="clear" w:color="auto" w:fill="D9EEFF"/>
          </w:tcPr>
          <w:p>
            <w:pPr>
              <w:spacing w:after="0"/>
              <w:rPr>
                <w:sz w:val="22"/>
                <w:szCs w:val="22"/>
                <w:color w:val="auto"/>
              </w:rPr>
            </w:pPr>
          </w:p>
        </w:tc>
        <w:tc>
          <w:tcPr>
            <w:tcW w:w="2180" w:type="dxa"/>
            <w:vAlign w:val="bottom"/>
            <w:tcBorders>
              <w:right w:val="single" w:sz="8" w:color="auto"/>
            </w:tcBorders>
            <w:shd w:val="clear" w:color="auto" w:fill="D9EEFF"/>
          </w:tcPr>
          <w:p>
            <w:pPr>
              <w:spacing w:after="0"/>
              <w:rPr>
                <w:sz w:val="22"/>
                <w:szCs w:val="22"/>
                <w:color w:val="auto"/>
              </w:rPr>
            </w:pPr>
          </w:p>
        </w:tc>
        <w:tc>
          <w:tcPr>
            <w:tcW w:w="800" w:type="dxa"/>
            <w:vAlign w:val="bottom"/>
            <w:shd w:val="clear" w:color="auto" w:fill="D9EEFF"/>
          </w:tcPr>
          <w:p>
            <w:pPr>
              <w:spacing w:after="0"/>
              <w:rPr>
                <w:sz w:val="22"/>
                <w:szCs w:val="22"/>
                <w:color w:val="auto"/>
              </w:rPr>
            </w:pPr>
          </w:p>
        </w:tc>
        <w:tc>
          <w:tcPr>
            <w:tcW w:w="1360" w:type="dxa"/>
            <w:vAlign w:val="bottom"/>
            <w:tcBorders>
              <w:right w:val="single" w:sz="8" w:color="auto"/>
            </w:tcBorders>
            <w:shd w:val="clear" w:color="auto" w:fill="D9EEFF"/>
          </w:tcPr>
          <w:p>
            <w:pPr>
              <w:spacing w:after="0"/>
              <w:rPr>
                <w:sz w:val="22"/>
                <w:szCs w:val="22"/>
                <w:color w:val="auto"/>
              </w:rPr>
            </w:pPr>
          </w:p>
        </w:tc>
      </w:tr>
      <w:tr>
        <w:trPr>
          <w:trHeight w:val="218"/>
        </w:trPr>
        <w:tc>
          <w:tcPr>
            <w:tcW w:w="2240" w:type="dxa"/>
            <w:vAlign w:val="bottom"/>
            <w:tcBorders>
              <w:left w:val="single" w:sz="8" w:color="auto"/>
              <w:bottom w:val="single" w:sz="8" w:color="auto"/>
              <w:right w:val="single" w:sz="8" w:color="auto"/>
            </w:tcBorders>
            <w:shd w:val="clear" w:color="auto" w:fill="D9EEFF"/>
          </w:tcPr>
          <w:p>
            <w:pPr>
              <w:spacing w:after="0"/>
              <w:rPr>
                <w:sz w:val="18"/>
                <w:szCs w:val="18"/>
                <w:color w:val="auto"/>
              </w:rPr>
            </w:pPr>
          </w:p>
        </w:tc>
        <w:tc>
          <w:tcPr>
            <w:tcW w:w="2160" w:type="dxa"/>
            <w:vAlign w:val="bottom"/>
            <w:tcBorders>
              <w:bottom w:val="single" w:sz="8" w:color="auto"/>
              <w:right w:val="single" w:sz="8" w:color="auto"/>
            </w:tcBorders>
            <w:shd w:val="clear" w:color="auto" w:fill="D9EEFF"/>
          </w:tcPr>
          <w:p>
            <w:pPr>
              <w:spacing w:after="0"/>
              <w:rPr>
                <w:sz w:val="18"/>
                <w:szCs w:val="18"/>
                <w:color w:val="auto"/>
              </w:rPr>
            </w:pPr>
          </w:p>
        </w:tc>
        <w:tc>
          <w:tcPr>
            <w:tcW w:w="820" w:type="dxa"/>
            <w:vAlign w:val="bottom"/>
            <w:tcBorders>
              <w:bottom w:val="single" w:sz="8" w:color="auto"/>
            </w:tcBorders>
            <w:shd w:val="clear" w:color="auto" w:fill="D9EEFF"/>
          </w:tcPr>
          <w:p>
            <w:pPr>
              <w:spacing w:after="0"/>
              <w:rPr>
                <w:sz w:val="18"/>
                <w:szCs w:val="18"/>
                <w:color w:val="auto"/>
              </w:rPr>
            </w:pPr>
          </w:p>
        </w:tc>
        <w:tc>
          <w:tcPr>
            <w:tcW w:w="1340" w:type="dxa"/>
            <w:vAlign w:val="bottom"/>
            <w:tcBorders>
              <w:bottom w:val="single" w:sz="8" w:color="auto"/>
              <w:right w:val="single" w:sz="8" w:color="auto"/>
            </w:tcBorders>
            <w:shd w:val="clear" w:color="auto" w:fill="D9EEFF"/>
          </w:tcPr>
          <w:p>
            <w:pPr>
              <w:spacing w:after="0"/>
              <w:rPr>
                <w:sz w:val="18"/>
                <w:szCs w:val="18"/>
                <w:color w:val="auto"/>
              </w:rPr>
            </w:pPr>
          </w:p>
        </w:tc>
        <w:tc>
          <w:tcPr>
            <w:tcW w:w="2180" w:type="dxa"/>
            <w:vAlign w:val="bottom"/>
            <w:tcBorders>
              <w:bottom w:val="single" w:sz="8" w:color="auto"/>
              <w:right w:val="single" w:sz="8" w:color="auto"/>
            </w:tcBorders>
            <w:shd w:val="clear" w:color="auto" w:fill="D9EEFF"/>
          </w:tcPr>
          <w:p>
            <w:pPr>
              <w:spacing w:after="0"/>
              <w:rPr>
                <w:sz w:val="18"/>
                <w:szCs w:val="18"/>
                <w:color w:val="auto"/>
              </w:rPr>
            </w:pPr>
          </w:p>
        </w:tc>
        <w:tc>
          <w:tcPr>
            <w:tcW w:w="800" w:type="dxa"/>
            <w:vAlign w:val="bottom"/>
            <w:tcBorders>
              <w:bottom w:val="single" w:sz="8" w:color="auto"/>
            </w:tcBorders>
            <w:shd w:val="clear" w:color="auto" w:fill="D9EEFF"/>
          </w:tcPr>
          <w:p>
            <w:pPr>
              <w:spacing w:after="0"/>
              <w:rPr>
                <w:sz w:val="18"/>
                <w:szCs w:val="18"/>
                <w:color w:val="auto"/>
              </w:rPr>
            </w:pPr>
          </w:p>
        </w:tc>
        <w:tc>
          <w:tcPr>
            <w:tcW w:w="1360" w:type="dxa"/>
            <w:vAlign w:val="bottom"/>
            <w:tcBorders>
              <w:bottom w:val="single" w:sz="8" w:color="auto"/>
              <w:right w:val="single" w:sz="8" w:color="auto"/>
            </w:tcBorders>
            <w:shd w:val="clear" w:color="auto" w:fill="D9EEFF"/>
          </w:tcPr>
          <w:p>
            <w:pPr>
              <w:spacing w:after="0"/>
              <w:rPr>
                <w:sz w:val="18"/>
                <w:szCs w:val="18"/>
                <w:color w:val="auto"/>
              </w:rPr>
            </w:pPr>
          </w:p>
        </w:tc>
      </w:tr>
      <w:tr>
        <w:trPr>
          <w:trHeight w:val="238"/>
        </w:trPr>
        <w:tc>
          <w:tcPr>
            <w:tcW w:w="2240" w:type="dxa"/>
            <w:vAlign w:val="bottom"/>
            <w:tcBorders>
              <w:top w:val="single" w:sz="8" w:color="auto"/>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Requests to Know</w:t>
            </w:r>
          </w:p>
        </w:tc>
        <w:tc>
          <w:tcPr>
            <w:tcW w:w="2160" w:type="dxa"/>
            <w:vAlign w:val="bottom"/>
            <w:tcBorders>
              <w:top w:val="single" w:sz="8" w:color="D9EEFF"/>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color w:val="auto"/>
              </w:rPr>
              <w:t>1</w:t>
            </w:r>
          </w:p>
        </w:tc>
        <w:tc>
          <w:tcPr>
            <w:tcW w:w="820" w:type="dxa"/>
            <w:vAlign w:val="bottom"/>
            <w:tcBorders>
              <w:top w:val="single" w:sz="8" w:color="D9EEFF"/>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w:t>
            </w:r>
          </w:p>
        </w:tc>
        <w:tc>
          <w:tcPr>
            <w:tcW w:w="1340" w:type="dxa"/>
            <w:vAlign w:val="bottom"/>
            <w:tcBorders>
              <w:top w:val="single" w:sz="8" w:color="D9EEFF"/>
              <w:right w:val="single" w:sz="8" w:color="auto"/>
            </w:tcBorders>
            <w:shd w:val="clear" w:color="auto" w:fill="D9EEFF"/>
          </w:tcPr>
          <w:p>
            <w:pPr>
              <w:spacing w:after="0"/>
              <w:rPr>
                <w:sz w:val="20"/>
                <w:szCs w:val="20"/>
                <w:color w:val="auto"/>
              </w:rPr>
            </w:pPr>
          </w:p>
        </w:tc>
        <w:tc>
          <w:tcPr>
            <w:tcW w:w="2180" w:type="dxa"/>
            <w:vAlign w:val="bottom"/>
            <w:tcBorders>
              <w:top w:val="single" w:sz="8" w:color="D9EEFF"/>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color w:val="auto"/>
              </w:rPr>
              <w:t>0</w:t>
            </w:r>
          </w:p>
        </w:tc>
        <w:tc>
          <w:tcPr>
            <w:tcW w:w="800" w:type="dxa"/>
            <w:vAlign w:val="bottom"/>
            <w:tcBorders>
              <w:top w:val="single" w:sz="8" w:color="D9EEFF"/>
            </w:tcBorders>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33</w:t>
            </w:r>
          </w:p>
        </w:tc>
        <w:tc>
          <w:tcPr>
            <w:tcW w:w="1360" w:type="dxa"/>
            <w:vAlign w:val="bottom"/>
            <w:tcBorders>
              <w:top w:val="single" w:sz="8" w:color="D9EEFF"/>
              <w:right w:val="single" w:sz="8" w:color="auto"/>
            </w:tcBorders>
            <w:shd w:val="clear" w:color="auto" w:fill="D9EEFF"/>
          </w:tcPr>
          <w:p>
            <w:pPr>
              <w:spacing w:after="0"/>
              <w:rPr>
                <w:sz w:val="20"/>
                <w:szCs w:val="20"/>
                <w:color w:val="auto"/>
              </w:rPr>
            </w:pPr>
          </w:p>
        </w:tc>
      </w:tr>
      <w:tr>
        <w:trPr>
          <w:trHeight w:val="184"/>
        </w:trPr>
        <w:tc>
          <w:tcPr>
            <w:tcW w:w="2240" w:type="dxa"/>
            <w:vAlign w:val="bottom"/>
            <w:tcBorders>
              <w:left w:val="single" w:sz="8" w:color="auto"/>
              <w:bottom w:val="single" w:sz="8" w:color="auto"/>
              <w:right w:val="single" w:sz="8" w:color="auto"/>
            </w:tcBorders>
            <w:shd w:val="clear" w:color="auto" w:fill="D9EEFF"/>
          </w:tcPr>
          <w:p>
            <w:pPr>
              <w:spacing w:after="0"/>
              <w:rPr>
                <w:sz w:val="15"/>
                <w:szCs w:val="15"/>
                <w:color w:val="auto"/>
              </w:rPr>
            </w:pPr>
          </w:p>
        </w:tc>
        <w:tc>
          <w:tcPr>
            <w:tcW w:w="2160" w:type="dxa"/>
            <w:vAlign w:val="bottom"/>
            <w:tcBorders>
              <w:bottom w:val="single" w:sz="8" w:color="auto"/>
              <w:right w:val="single" w:sz="8" w:color="auto"/>
            </w:tcBorders>
            <w:shd w:val="clear" w:color="auto" w:fill="D9EEFF"/>
          </w:tcPr>
          <w:p>
            <w:pPr>
              <w:spacing w:after="0"/>
              <w:rPr>
                <w:sz w:val="15"/>
                <w:szCs w:val="15"/>
                <w:color w:val="auto"/>
              </w:rPr>
            </w:pPr>
          </w:p>
        </w:tc>
        <w:tc>
          <w:tcPr>
            <w:tcW w:w="820" w:type="dxa"/>
            <w:vAlign w:val="bottom"/>
            <w:tcBorders>
              <w:bottom w:val="single" w:sz="8" w:color="auto"/>
            </w:tcBorders>
            <w:shd w:val="clear" w:color="auto" w:fill="D9EEFF"/>
          </w:tcPr>
          <w:p>
            <w:pPr>
              <w:spacing w:after="0"/>
              <w:rPr>
                <w:sz w:val="15"/>
                <w:szCs w:val="15"/>
                <w:color w:val="auto"/>
              </w:rPr>
            </w:pPr>
          </w:p>
        </w:tc>
        <w:tc>
          <w:tcPr>
            <w:tcW w:w="1340" w:type="dxa"/>
            <w:vAlign w:val="bottom"/>
            <w:tcBorders>
              <w:bottom w:val="single" w:sz="8" w:color="auto"/>
              <w:right w:val="single" w:sz="8" w:color="auto"/>
            </w:tcBorders>
            <w:shd w:val="clear" w:color="auto" w:fill="D9EEFF"/>
          </w:tcPr>
          <w:p>
            <w:pPr>
              <w:spacing w:after="0"/>
              <w:rPr>
                <w:sz w:val="15"/>
                <w:szCs w:val="15"/>
                <w:color w:val="auto"/>
              </w:rPr>
            </w:pPr>
          </w:p>
        </w:tc>
        <w:tc>
          <w:tcPr>
            <w:tcW w:w="2180" w:type="dxa"/>
            <w:vAlign w:val="bottom"/>
            <w:tcBorders>
              <w:bottom w:val="single" w:sz="8" w:color="auto"/>
              <w:right w:val="single" w:sz="8" w:color="auto"/>
            </w:tcBorders>
            <w:shd w:val="clear" w:color="auto" w:fill="D9EEFF"/>
          </w:tcPr>
          <w:p>
            <w:pPr>
              <w:spacing w:after="0"/>
              <w:rPr>
                <w:sz w:val="15"/>
                <w:szCs w:val="15"/>
                <w:color w:val="auto"/>
              </w:rPr>
            </w:pPr>
          </w:p>
        </w:tc>
        <w:tc>
          <w:tcPr>
            <w:tcW w:w="800" w:type="dxa"/>
            <w:vAlign w:val="bottom"/>
            <w:tcBorders>
              <w:bottom w:val="single" w:sz="8" w:color="auto"/>
            </w:tcBorders>
            <w:shd w:val="clear" w:color="auto" w:fill="D9EEFF"/>
          </w:tcPr>
          <w:p>
            <w:pPr>
              <w:spacing w:after="0"/>
              <w:rPr>
                <w:sz w:val="15"/>
                <w:szCs w:val="15"/>
                <w:color w:val="auto"/>
              </w:rPr>
            </w:pPr>
          </w:p>
        </w:tc>
        <w:tc>
          <w:tcPr>
            <w:tcW w:w="1360" w:type="dxa"/>
            <w:vAlign w:val="bottom"/>
            <w:tcBorders>
              <w:bottom w:val="single" w:sz="8" w:color="auto"/>
              <w:right w:val="single" w:sz="8" w:color="auto"/>
            </w:tcBorders>
            <w:shd w:val="clear" w:color="auto" w:fill="D9EEFF"/>
          </w:tcPr>
          <w:p>
            <w:pPr>
              <w:spacing w:after="0"/>
              <w:rPr>
                <w:sz w:val="15"/>
                <w:szCs w:val="15"/>
                <w:color w:val="auto"/>
              </w:rPr>
            </w:pPr>
          </w:p>
        </w:tc>
      </w:tr>
      <w:tr>
        <w:trPr>
          <w:trHeight w:val="252"/>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Requests to Delete</w:t>
            </w:r>
          </w:p>
        </w:tc>
        <w:tc>
          <w:tcPr>
            <w:tcW w:w="2160" w:type="dxa"/>
            <w:vAlign w:val="bottom"/>
            <w:tcBorders>
              <w:right w:val="single" w:sz="8" w:color="auto"/>
            </w:tcBorders>
            <w:shd w:val="clear" w:color="auto" w:fill="D9EEFF"/>
          </w:tcPr>
          <w:p>
            <w:pPr>
              <w:ind w:left="60"/>
              <w:spacing w:after="0"/>
              <w:rPr>
                <w:sz w:val="20"/>
                <w:szCs w:val="20"/>
                <w:color w:val="auto"/>
              </w:rPr>
            </w:pPr>
            <w:r>
              <w:rPr>
                <w:rFonts w:ascii="Times New Roman" w:cs="Times New Roman" w:eastAsia="Times New Roman" w:hAnsi="Times New Roman"/>
                <w:sz w:val="20"/>
                <w:szCs w:val="20"/>
                <w:color w:val="auto"/>
              </w:rPr>
              <w:t>3</w:t>
            </w:r>
          </w:p>
        </w:tc>
        <w:tc>
          <w:tcPr>
            <w:tcW w:w="82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1</w:t>
            </w:r>
          </w:p>
        </w:tc>
        <w:tc>
          <w:tcPr>
            <w:tcW w:w="1340" w:type="dxa"/>
            <w:vAlign w:val="bottom"/>
            <w:tcBorders>
              <w:right w:val="single" w:sz="8" w:color="auto"/>
            </w:tcBorders>
            <w:shd w:val="clear" w:color="auto" w:fill="D9EEFF"/>
          </w:tcPr>
          <w:p>
            <w:pPr>
              <w:spacing w:after="0"/>
              <w:rPr>
                <w:sz w:val="21"/>
                <w:szCs w:val="21"/>
                <w:color w:val="auto"/>
              </w:rPr>
            </w:pPr>
          </w:p>
        </w:tc>
        <w:tc>
          <w:tcPr>
            <w:tcW w:w="2180" w:type="dxa"/>
            <w:vAlign w:val="bottom"/>
            <w:tcBorders>
              <w:right w:val="single" w:sz="8" w:color="auto"/>
            </w:tcBorders>
            <w:shd w:val="clear" w:color="auto" w:fill="D9EEFF"/>
          </w:tcPr>
          <w:p>
            <w:pPr>
              <w:ind w:left="100"/>
              <w:spacing w:after="0"/>
              <w:rPr>
                <w:sz w:val="20"/>
                <w:szCs w:val="20"/>
                <w:color w:val="auto"/>
              </w:rPr>
            </w:pPr>
            <w:r>
              <w:rPr>
                <w:rFonts w:ascii="Times New Roman" w:cs="Times New Roman" w:eastAsia="Times New Roman" w:hAnsi="Times New Roman"/>
                <w:sz w:val="20"/>
                <w:szCs w:val="20"/>
                <w:color w:val="auto"/>
              </w:rPr>
              <w:t>2</w:t>
            </w:r>
          </w:p>
        </w:tc>
        <w:tc>
          <w:tcPr>
            <w:tcW w:w="800" w:type="dxa"/>
            <w:vAlign w:val="bottom"/>
            <w:shd w:val="clear" w:color="auto" w:fill="D9EEFF"/>
          </w:tcPr>
          <w:p>
            <w:pPr>
              <w:ind w:left="80"/>
              <w:spacing w:after="0"/>
              <w:rPr>
                <w:sz w:val="20"/>
                <w:szCs w:val="20"/>
                <w:color w:val="auto"/>
              </w:rPr>
            </w:pPr>
            <w:r>
              <w:rPr>
                <w:rFonts w:ascii="Times New Roman" w:cs="Times New Roman" w:eastAsia="Times New Roman" w:hAnsi="Times New Roman"/>
                <w:sz w:val="20"/>
                <w:szCs w:val="20"/>
                <w:color w:val="auto"/>
              </w:rPr>
              <w:t>64</w:t>
            </w:r>
          </w:p>
        </w:tc>
        <w:tc>
          <w:tcPr>
            <w:tcW w:w="1360" w:type="dxa"/>
            <w:vAlign w:val="bottom"/>
            <w:tcBorders>
              <w:right w:val="single" w:sz="8" w:color="auto"/>
            </w:tcBorders>
            <w:shd w:val="clear" w:color="auto" w:fill="D9EEFF"/>
          </w:tcPr>
          <w:p>
            <w:pPr>
              <w:spacing w:after="0"/>
              <w:rPr>
                <w:sz w:val="21"/>
                <w:szCs w:val="21"/>
                <w:color w:val="auto"/>
              </w:rPr>
            </w:pPr>
          </w:p>
        </w:tc>
      </w:tr>
      <w:tr>
        <w:trPr>
          <w:trHeight w:val="187"/>
        </w:trPr>
        <w:tc>
          <w:tcPr>
            <w:tcW w:w="2240" w:type="dxa"/>
            <w:vAlign w:val="bottom"/>
            <w:tcBorders>
              <w:left w:val="single" w:sz="8" w:color="auto"/>
              <w:bottom w:val="single" w:sz="8" w:color="auto"/>
              <w:right w:val="single" w:sz="8" w:color="auto"/>
            </w:tcBorders>
            <w:shd w:val="clear" w:color="auto" w:fill="D9EEFF"/>
          </w:tcPr>
          <w:p>
            <w:pPr>
              <w:spacing w:after="0"/>
              <w:rPr>
                <w:sz w:val="16"/>
                <w:szCs w:val="16"/>
                <w:color w:val="auto"/>
              </w:rPr>
            </w:pPr>
          </w:p>
        </w:tc>
        <w:tc>
          <w:tcPr>
            <w:tcW w:w="2160" w:type="dxa"/>
            <w:vAlign w:val="bottom"/>
            <w:tcBorders>
              <w:bottom w:val="single" w:sz="8" w:color="auto"/>
              <w:right w:val="single" w:sz="8" w:color="auto"/>
            </w:tcBorders>
            <w:shd w:val="clear" w:color="auto" w:fill="D9EEFF"/>
          </w:tcPr>
          <w:p>
            <w:pPr>
              <w:spacing w:after="0"/>
              <w:rPr>
                <w:sz w:val="16"/>
                <w:szCs w:val="16"/>
                <w:color w:val="auto"/>
              </w:rPr>
            </w:pPr>
          </w:p>
        </w:tc>
        <w:tc>
          <w:tcPr>
            <w:tcW w:w="820" w:type="dxa"/>
            <w:vAlign w:val="bottom"/>
            <w:tcBorders>
              <w:bottom w:val="single" w:sz="8" w:color="auto"/>
            </w:tcBorders>
            <w:shd w:val="clear" w:color="auto" w:fill="D9EEFF"/>
          </w:tcPr>
          <w:p>
            <w:pPr>
              <w:spacing w:after="0"/>
              <w:rPr>
                <w:sz w:val="16"/>
                <w:szCs w:val="16"/>
                <w:color w:val="auto"/>
              </w:rPr>
            </w:pPr>
          </w:p>
        </w:tc>
        <w:tc>
          <w:tcPr>
            <w:tcW w:w="1340" w:type="dxa"/>
            <w:vAlign w:val="bottom"/>
            <w:tcBorders>
              <w:bottom w:val="single" w:sz="8" w:color="auto"/>
              <w:right w:val="single" w:sz="8" w:color="auto"/>
            </w:tcBorders>
            <w:shd w:val="clear" w:color="auto" w:fill="D9EEFF"/>
          </w:tcPr>
          <w:p>
            <w:pPr>
              <w:spacing w:after="0"/>
              <w:rPr>
                <w:sz w:val="16"/>
                <w:szCs w:val="16"/>
                <w:color w:val="auto"/>
              </w:rPr>
            </w:pPr>
          </w:p>
        </w:tc>
        <w:tc>
          <w:tcPr>
            <w:tcW w:w="2180" w:type="dxa"/>
            <w:vAlign w:val="bottom"/>
            <w:tcBorders>
              <w:bottom w:val="single" w:sz="8" w:color="auto"/>
              <w:right w:val="single" w:sz="8" w:color="auto"/>
            </w:tcBorders>
            <w:shd w:val="clear" w:color="auto" w:fill="D9EEFF"/>
          </w:tcPr>
          <w:p>
            <w:pPr>
              <w:spacing w:after="0"/>
              <w:rPr>
                <w:sz w:val="16"/>
                <w:szCs w:val="16"/>
                <w:color w:val="auto"/>
              </w:rPr>
            </w:pPr>
          </w:p>
        </w:tc>
        <w:tc>
          <w:tcPr>
            <w:tcW w:w="800" w:type="dxa"/>
            <w:vAlign w:val="bottom"/>
            <w:tcBorders>
              <w:bottom w:val="single" w:sz="8" w:color="auto"/>
            </w:tcBorders>
            <w:shd w:val="clear" w:color="auto" w:fill="D9EEFF"/>
          </w:tcPr>
          <w:p>
            <w:pPr>
              <w:spacing w:after="0"/>
              <w:rPr>
                <w:sz w:val="16"/>
                <w:szCs w:val="16"/>
                <w:color w:val="auto"/>
              </w:rPr>
            </w:pPr>
          </w:p>
        </w:tc>
        <w:tc>
          <w:tcPr>
            <w:tcW w:w="1360" w:type="dxa"/>
            <w:vAlign w:val="bottom"/>
            <w:tcBorders>
              <w:bottom w:val="single" w:sz="8" w:color="auto"/>
              <w:right w:val="single" w:sz="8" w:color="auto"/>
            </w:tcBorders>
            <w:shd w:val="clear" w:color="auto" w:fill="D9EEFF"/>
          </w:tcPr>
          <w:p>
            <w:pPr>
              <w:spacing w:after="0"/>
              <w:rPr>
                <w:sz w:val="16"/>
                <w:szCs w:val="16"/>
                <w:color w:val="auto"/>
              </w:rPr>
            </w:pPr>
          </w:p>
        </w:tc>
      </w:tr>
      <w:tr>
        <w:trPr>
          <w:trHeight w:val="213"/>
        </w:trPr>
        <w:tc>
          <w:tcPr>
            <w:tcW w:w="2240" w:type="dxa"/>
            <w:vAlign w:val="bottom"/>
            <w:tcBorders>
              <w:left w:val="single" w:sz="8" w:color="auto"/>
              <w:right w:val="single" w:sz="8" w:color="auto"/>
            </w:tcBorders>
            <w:shd w:val="clear" w:color="auto" w:fill="D9EEFF"/>
          </w:tcPr>
          <w:p>
            <w:pPr>
              <w:ind w:left="120"/>
              <w:spacing w:after="0" w:line="213" w:lineRule="exact"/>
              <w:rPr>
                <w:sz w:val="20"/>
                <w:szCs w:val="20"/>
                <w:color w:val="auto"/>
              </w:rPr>
            </w:pPr>
            <w:r>
              <w:rPr>
                <w:rFonts w:ascii="Times New Roman" w:cs="Times New Roman" w:eastAsia="Times New Roman" w:hAnsi="Times New Roman"/>
                <w:sz w:val="20"/>
                <w:szCs w:val="20"/>
                <w:color w:val="auto"/>
              </w:rPr>
              <w:t>Requests to Opt-Out of</w:t>
            </w:r>
          </w:p>
        </w:tc>
        <w:tc>
          <w:tcPr>
            <w:tcW w:w="2160" w:type="dxa"/>
            <w:vAlign w:val="bottom"/>
            <w:tcBorders>
              <w:right w:val="single" w:sz="8" w:color="auto"/>
            </w:tcBorders>
            <w:shd w:val="clear" w:color="auto" w:fill="D9EEFF"/>
          </w:tcPr>
          <w:p>
            <w:pPr>
              <w:ind w:left="60"/>
              <w:spacing w:after="0" w:line="213" w:lineRule="exact"/>
              <w:rPr>
                <w:sz w:val="20"/>
                <w:szCs w:val="20"/>
                <w:color w:val="auto"/>
              </w:rPr>
            </w:pPr>
            <w:r>
              <w:rPr>
                <w:rFonts w:ascii="Times New Roman" w:cs="Times New Roman" w:eastAsia="Times New Roman" w:hAnsi="Times New Roman"/>
                <w:sz w:val="20"/>
                <w:szCs w:val="20"/>
                <w:color w:val="auto"/>
              </w:rPr>
              <w:t>790</w:t>
            </w:r>
          </w:p>
        </w:tc>
        <w:tc>
          <w:tcPr>
            <w:tcW w:w="82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782**</w:t>
            </w:r>
          </w:p>
        </w:tc>
        <w:tc>
          <w:tcPr>
            <w:tcW w:w="1340" w:type="dxa"/>
            <w:vAlign w:val="bottom"/>
            <w:tcBorders>
              <w:right w:val="single" w:sz="8" w:color="auto"/>
            </w:tcBorders>
            <w:shd w:val="clear" w:color="auto" w:fill="D9EEFF"/>
          </w:tcPr>
          <w:p>
            <w:pPr>
              <w:spacing w:after="0"/>
              <w:rPr>
                <w:sz w:val="18"/>
                <w:szCs w:val="18"/>
                <w:color w:val="auto"/>
              </w:rPr>
            </w:pPr>
          </w:p>
        </w:tc>
        <w:tc>
          <w:tcPr>
            <w:tcW w:w="2180" w:type="dxa"/>
            <w:vAlign w:val="bottom"/>
            <w:tcBorders>
              <w:right w:val="single" w:sz="8" w:color="auto"/>
            </w:tcBorders>
            <w:shd w:val="clear" w:color="auto" w:fill="D9EEFF"/>
          </w:tcPr>
          <w:p>
            <w:pPr>
              <w:ind w:left="100"/>
              <w:spacing w:after="0" w:line="213" w:lineRule="exact"/>
              <w:rPr>
                <w:sz w:val="20"/>
                <w:szCs w:val="20"/>
                <w:color w:val="auto"/>
              </w:rPr>
            </w:pPr>
            <w:r>
              <w:rPr>
                <w:rFonts w:ascii="Times New Roman" w:cs="Times New Roman" w:eastAsia="Times New Roman" w:hAnsi="Times New Roman"/>
                <w:sz w:val="20"/>
                <w:szCs w:val="20"/>
                <w:color w:val="auto"/>
              </w:rPr>
              <w:t>0</w:t>
            </w:r>
          </w:p>
        </w:tc>
        <w:tc>
          <w:tcPr>
            <w:tcW w:w="800" w:type="dxa"/>
            <w:vAlign w:val="bottom"/>
            <w:shd w:val="clear" w:color="auto" w:fill="D9EEFF"/>
          </w:tcPr>
          <w:p>
            <w:pPr>
              <w:ind w:left="80"/>
              <w:spacing w:after="0" w:line="213" w:lineRule="exact"/>
              <w:rPr>
                <w:sz w:val="20"/>
                <w:szCs w:val="20"/>
                <w:color w:val="auto"/>
              </w:rPr>
            </w:pPr>
            <w:r>
              <w:rPr>
                <w:rFonts w:ascii="Times New Roman" w:cs="Times New Roman" w:eastAsia="Times New Roman" w:hAnsi="Times New Roman"/>
                <w:sz w:val="20"/>
                <w:szCs w:val="20"/>
                <w:color w:val="auto"/>
              </w:rPr>
              <w:t>0</w:t>
            </w:r>
          </w:p>
        </w:tc>
        <w:tc>
          <w:tcPr>
            <w:tcW w:w="1360" w:type="dxa"/>
            <w:vAlign w:val="bottom"/>
            <w:tcBorders>
              <w:right w:val="single" w:sz="8" w:color="auto"/>
            </w:tcBorders>
            <w:shd w:val="clear" w:color="auto" w:fill="D9EEFF"/>
          </w:tcPr>
          <w:p>
            <w:pPr>
              <w:spacing w:after="0"/>
              <w:rPr>
                <w:sz w:val="18"/>
                <w:szCs w:val="18"/>
                <w:color w:val="auto"/>
              </w:rPr>
            </w:pPr>
          </w:p>
        </w:tc>
      </w:tr>
      <w:tr>
        <w:trPr>
          <w:trHeight w:val="229"/>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the  Sale  of  Personal</w:t>
            </w:r>
          </w:p>
        </w:tc>
        <w:tc>
          <w:tcPr>
            <w:tcW w:w="2160" w:type="dxa"/>
            <w:vAlign w:val="bottom"/>
            <w:tcBorders>
              <w:right w:val="single" w:sz="8" w:color="auto"/>
            </w:tcBorders>
            <w:shd w:val="clear" w:color="auto" w:fill="D9EEFF"/>
          </w:tcPr>
          <w:p>
            <w:pPr>
              <w:spacing w:after="0"/>
              <w:rPr>
                <w:sz w:val="19"/>
                <w:szCs w:val="19"/>
                <w:color w:val="auto"/>
              </w:rPr>
            </w:pPr>
          </w:p>
        </w:tc>
        <w:tc>
          <w:tcPr>
            <w:tcW w:w="820" w:type="dxa"/>
            <w:vAlign w:val="bottom"/>
            <w:shd w:val="clear" w:color="auto" w:fill="D9EEFF"/>
          </w:tcPr>
          <w:p>
            <w:pPr>
              <w:spacing w:after="0"/>
              <w:rPr>
                <w:sz w:val="19"/>
                <w:szCs w:val="19"/>
                <w:color w:val="auto"/>
              </w:rPr>
            </w:pPr>
          </w:p>
        </w:tc>
        <w:tc>
          <w:tcPr>
            <w:tcW w:w="1340" w:type="dxa"/>
            <w:vAlign w:val="bottom"/>
            <w:tcBorders>
              <w:right w:val="single" w:sz="8" w:color="auto"/>
            </w:tcBorders>
            <w:shd w:val="clear" w:color="auto" w:fill="D9EEFF"/>
          </w:tcPr>
          <w:p>
            <w:pPr>
              <w:spacing w:after="0"/>
              <w:rPr>
                <w:sz w:val="19"/>
                <w:szCs w:val="19"/>
                <w:color w:val="auto"/>
              </w:rPr>
            </w:pPr>
          </w:p>
        </w:tc>
        <w:tc>
          <w:tcPr>
            <w:tcW w:w="2180" w:type="dxa"/>
            <w:vAlign w:val="bottom"/>
            <w:tcBorders>
              <w:right w:val="single" w:sz="8" w:color="auto"/>
            </w:tcBorders>
            <w:shd w:val="clear" w:color="auto" w:fill="D9EEFF"/>
          </w:tcPr>
          <w:p>
            <w:pPr>
              <w:spacing w:after="0"/>
              <w:rPr>
                <w:sz w:val="19"/>
                <w:szCs w:val="19"/>
                <w:color w:val="auto"/>
              </w:rPr>
            </w:pPr>
          </w:p>
        </w:tc>
        <w:tc>
          <w:tcPr>
            <w:tcW w:w="800" w:type="dxa"/>
            <w:vAlign w:val="bottom"/>
            <w:shd w:val="clear" w:color="auto" w:fill="D9EEFF"/>
          </w:tcPr>
          <w:p>
            <w:pPr>
              <w:spacing w:after="0"/>
              <w:rPr>
                <w:sz w:val="19"/>
                <w:szCs w:val="19"/>
                <w:color w:val="auto"/>
              </w:rPr>
            </w:pPr>
          </w:p>
        </w:tc>
        <w:tc>
          <w:tcPr>
            <w:tcW w:w="1360" w:type="dxa"/>
            <w:vAlign w:val="bottom"/>
            <w:tcBorders>
              <w:right w:val="single" w:sz="8" w:color="auto"/>
            </w:tcBorders>
            <w:shd w:val="clear" w:color="auto" w:fill="D9EEFF"/>
          </w:tcPr>
          <w:p>
            <w:pPr>
              <w:spacing w:after="0"/>
              <w:rPr>
                <w:sz w:val="19"/>
                <w:szCs w:val="19"/>
                <w:color w:val="auto"/>
              </w:rPr>
            </w:pPr>
          </w:p>
        </w:tc>
      </w:tr>
      <w:tr>
        <w:trPr>
          <w:trHeight w:val="258"/>
        </w:trPr>
        <w:tc>
          <w:tcPr>
            <w:tcW w:w="2240" w:type="dxa"/>
            <w:vAlign w:val="bottom"/>
            <w:tcBorders>
              <w:left w:val="single" w:sz="8" w:color="auto"/>
              <w:right w:val="single" w:sz="8" w:color="auto"/>
            </w:tcBorders>
            <w:shd w:val="clear" w:color="auto" w:fill="D9EEFF"/>
          </w:tcPr>
          <w:p>
            <w:pPr>
              <w:ind w:left="120"/>
              <w:spacing w:after="0"/>
              <w:rPr>
                <w:sz w:val="20"/>
                <w:szCs w:val="20"/>
                <w:color w:val="auto"/>
              </w:rPr>
            </w:pPr>
            <w:r>
              <w:rPr>
                <w:rFonts w:ascii="Times New Roman" w:cs="Times New Roman" w:eastAsia="Times New Roman" w:hAnsi="Times New Roman"/>
                <w:sz w:val="20"/>
                <w:szCs w:val="20"/>
                <w:color w:val="auto"/>
              </w:rPr>
              <w:t>Information</w:t>
            </w:r>
          </w:p>
        </w:tc>
        <w:tc>
          <w:tcPr>
            <w:tcW w:w="2160" w:type="dxa"/>
            <w:vAlign w:val="bottom"/>
            <w:tcBorders>
              <w:right w:val="single" w:sz="8" w:color="auto"/>
            </w:tcBorders>
            <w:shd w:val="clear" w:color="auto" w:fill="D9EEFF"/>
          </w:tcPr>
          <w:p>
            <w:pPr>
              <w:spacing w:after="0"/>
              <w:rPr>
                <w:sz w:val="22"/>
                <w:szCs w:val="22"/>
                <w:color w:val="auto"/>
              </w:rPr>
            </w:pPr>
          </w:p>
        </w:tc>
        <w:tc>
          <w:tcPr>
            <w:tcW w:w="820" w:type="dxa"/>
            <w:vAlign w:val="bottom"/>
            <w:shd w:val="clear" w:color="auto" w:fill="D9EEFF"/>
          </w:tcPr>
          <w:p>
            <w:pPr>
              <w:spacing w:after="0"/>
              <w:rPr>
                <w:sz w:val="22"/>
                <w:szCs w:val="22"/>
                <w:color w:val="auto"/>
              </w:rPr>
            </w:pPr>
          </w:p>
        </w:tc>
        <w:tc>
          <w:tcPr>
            <w:tcW w:w="1340" w:type="dxa"/>
            <w:vAlign w:val="bottom"/>
            <w:tcBorders>
              <w:right w:val="single" w:sz="8" w:color="auto"/>
            </w:tcBorders>
            <w:shd w:val="clear" w:color="auto" w:fill="D9EEFF"/>
          </w:tcPr>
          <w:p>
            <w:pPr>
              <w:spacing w:after="0"/>
              <w:rPr>
                <w:sz w:val="22"/>
                <w:szCs w:val="22"/>
                <w:color w:val="auto"/>
              </w:rPr>
            </w:pPr>
          </w:p>
        </w:tc>
        <w:tc>
          <w:tcPr>
            <w:tcW w:w="2180" w:type="dxa"/>
            <w:vAlign w:val="bottom"/>
            <w:tcBorders>
              <w:right w:val="single" w:sz="8" w:color="auto"/>
            </w:tcBorders>
            <w:shd w:val="clear" w:color="auto" w:fill="D9EEFF"/>
          </w:tcPr>
          <w:p>
            <w:pPr>
              <w:spacing w:after="0"/>
              <w:rPr>
                <w:sz w:val="22"/>
                <w:szCs w:val="22"/>
                <w:color w:val="auto"/>
              </w:rPr>
            </w:pPr>
          </w:p>
        </w:tc>
        <w:tc>
          <w:tcPr>
            <w:tcW w:w="800" w:type="dxa"/>
            <w:vAlign w:val="bottom"/>
            <w:shd w:val="clear" w:color="auto" w:fill="D9EEFF"/>
          </w:tcPr>
          <w:p>
            <w:pPr>
              <w:spacing w:after="0"/>
              <w:rPr>
                <w:sz w:val="22"/>
                <w:szCs w:val="22"/>
                <w:color w:val="auto"/>
              </w:rPr>
            </w:pPr>
          </w:p>
        </w:tc>
        <w:tc>
          <w:tcPr>
            <w:tcW w:w="1360" w:type="dxa"/>
            <w:vAlign w:val="bottom"/>
            <w:tcBorders>
              <w:right w:val="single" w:sz="8" w:color="auto"/>
            </w:tcBorders>
            <w:shd w:val="clear" w:color="auto" w:fill="D9EEFF"/>
          </w:tcPr>
          <w:p>
            <w:pPr>
              <w:spacing w:after="0"/>
              <w:rPr>
                <w:sz w:val="22"/>
                <w:szCs w:val="22"/>
                <w:color w:val="auto"/>
              </w:rPr>
            </w:pPr>
          </w:p>
        </w:tc>
      </w:tr>
      <w:tr>
        <w:trPr>
          <w:trHeight w:val="196"/>
        </w:trPr>
        <w:tc>
          <w:tcPr>
            <w:tcW w:w="2240" w:type="dxa"/>
            <w:vAlign w:val="bottom"/>
            <w:tcBorders>
              <w:left w:val="single" w:sz="8" w:color="auto"/>
              <w:bottom w:val="single" w:sz="8" w:color="auto"/>
              <w:right w:val="single" w:sz="8" w:color="auto"/>
            </w:tcBorders>
            <w:shd w:val="clear" w:color="auto" w:fill="D9EEFF"/>
          </w:tcPr>
          <w:p>
            <w:pPr>
              <w:spacing w:after="0"/>
              <w:rPr>
                <w:sz w:val="17"/>
                <w:szCs w:val="17"/>
                <w:color w:val="auto"/>
              </w:rPr>
            </w:pPr>
          </w:p>
        </w:tc>
        <w:tc>
          <w:tcPr>
            <w:tcW w:w="2160" w:type="dxa"/>
            <w:vAlign w:val="bottom"/>
            <w:tcBorders>
              <w:bottom w:val="single" w:sz="8" w:color="auto"/>
              <w:right w:val="single" w:sz="8" w:color="auto"/>
            </w:tcBorders>
            <w:shd w:val="clear" w:color="auto" w:fill="D9EEFF"/>
          </w:tcPr>
          <w:p>
            <w:pPr>
              <w:spacing w:after="0"/>
              <w:rPr>
                <w:sz w:val="17"/>
                <w:szCs w:val="17"/>
                <w:color w:val="auto"/>
              </w:rPr>
            </w:pPr>
          </w:p>
        </w:tc>
        <w:tc>
          <w:tcPr>
            <w:tcW w:w="820" w:type="dxa"/>
            <w:vAlign w:val="bottom"/>
            <w:tcBorders>
              <w:bottom w:val="single" w:sz="8" w:color="auto"/>
            </w:tcBorders>
            <w:shd w:val="clear" w:color="auto" w:fill="D9EEFF"/>
          </w:tcPr>
          <w:p>
            <w:pPr>
              <w:spacing w:after="0"/>
              <w:rPr>
                <w:sz w:val="17"/>
                <w:szCs w:val="17"/>
                <w:color w:val="auto"/>
              </w:rPr>
            </w:pPr>
          </w:p>
        </w:tc>
        <w:tc>
          <w:tcPr>
            <w:tcW w:w="1340" w:type="dxa"/>
            <w:vAlign w:val="bottom"/>
            <w:tcBorders>
              <w:bottom w:val="single" w:sz="8" w:color="auto"/>
              <w:right w:val="single" w:sz="8" w:color="auto"/>
            </w:tcBorders>
            <w:shd w:val="clear" w:color="auto" w:fill="D9EEFF"/>
          </w:tcPr>
          <w:p>
            <w:pPr>
              <w:spacing w:after="0"/>
              <w:rPr>
                <w:sz w:val="17"/>
                <w:szCs w:val="17"/>
                <w:color w:val="auto"/>
              </w:rPr>
            </w:pPr>
          </w:p>
        </w:tc>
        <w:tc>
          <w:tcPr>
            <w:tcW w:w="2180" w:type="dxa"/>
            <w:vAlign w:val="bottom"/>
            <w:tcBorders>
              <w:bottom w:val="single" w:sz="8" w:color="auto"/>
              <w:right w:val="single" w:sz="8" w:color="auto"/>
            </w:tcBorders>
            <w:shd w:val="clear" w:color="auto" w:fill="D9EEFF"/>
          </w:tcPr>
          <w:p>
            <w:pPr>
              <w:spacing w:after="0"/>
              <w:rPr>
                <w:sz w:val="17"/>
                <w:szCs w:val="17"/>
                <w:color w:val="auto"/>
              </w:rPr>
            </w:pPr>
          </w:p>
        </w:tc>
        <w:tc>
          <w:tcPr>
            <w:tcW w:w="800" w:type="dxa"/>
            <w:vAlign w:val="bottom"/>
            <w:tcBorders>
              <w:bottom w:val="single" w:sz="8" w:color="auto"/>
            </w:tcBorders>
            <w:shd w:val="clear" w:color="auto" w:fill="D9EEFF"/>
          </w:tcPr>
          <w:p>
            <w:pPr>
              <w:spacing w:after="0"/>
              <w:rPr>
                <w:sz w:val="17"/>
                <w:szCs w:val="17"/>
                <w:color w:val="auto"/>
              </w:rPr>
            </w:pPr>
          </w:p>
        </w:tc>
        <w:tc>
          <w:tcPr>
            <w:tcW w:w="1360" w:type="dxa"/>
            <w:vAlign w:val="bottom"/>
            <w:tcBorders>
              <w:bottom w:val="single" w:sz="8" w:color="auto"/>
              <w:right w:val="single" w:sz="8" w:color="auto"/>
            </w:tcBorders>
            <w:shd w:val="clear" w:color="auto" w:fill="D9EEFF"/>
          </w:tcPr>
          <w:p>
            <w:pPr>
              <w:spacing w:after="0"/>
              <w:rPr>
                <w:sz w:val="17"/>
                <w:szCs w:val="17"/>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6" w:name="page147"/>
    <w:bookmarkEnd w:id="146"/>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includes requests that were denied because we were unable to verify the identity of the requestor.</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receive opt-out requests through multiple channels including a cookie preference manager and by email. The difference between the number of requests received and the number of requests we responded to is due to the channel by which we received the request to opt-out. We received 8 requests to opt-out through email. We followed up with the requestors for more information, but the requestor never clarified to which WTW group or information their request applied to.</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7030A0"/>
        </w:rPr>
        <w:t>Opt-Out Preference Signals and “Do-Not-Track” Signals.</w:t>
      </w:r>
    </w:p>
    <w:p>
      <w:pPr>
        <w:spacing w:after="0" w:line="2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The WTW intranet is unable to process opt-out of tracking signals such as the Global Privacy Control (GPC). For more information about the GPC, please click here. In addition, the WTW intranet does not recognize or respond to any signal which your browser might transmit through its so-called “Do Not Track” (DNT) feature. For more information about DNT signals, please click here.</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623570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72" w:lineRule="exact"/>
        <w:rPr>
          <w:sz w:val="20"/>
          <w:szCs w:val="20"/>
          <w:color w:val="auto"/>
        </w:rPr>
      </w:pPr>
    </w:p>
    <w:p>
      <w:pPr>
        <w:jc w:val="center"/>
        <w:ind w:left="500"/>
        <w:spacing w:after="0"/>
        <w:rPr>
          <w:sz w:val="20"/>
          <w:szCs w:val="20"/>
          <w:color w:val="auto"/>
        </w:rPr>
      </w:pPr>
      <w:r>
        <w:rPr>
          <w:rFonts w:ascii="Times New Roman" w:cs="Times New Roman" w:eastAsia="Times New Roman" w:hAnsi="Times New Roman"/>
          <w:sz w:val="22"/>
          <w:szCs w:val="22"/>
          <w:b w:val="1"/>
          <w:bCs w:val="1"/>
          <w:color w:val="auto"/>
        </w:rPr>
        <w:t>The Willis Towers Watson Public Limited Company</w:t>
      </w:r>
    </w:p>
    <w:p>
      <w:pPr>
        <w:spacing w:after="0" w:line="152" w:lineRule="exact"/>
        <w:rPr>
          <w:sz w:val="20"/>
          <w:szCs w:val="20"/>
          <w:color w:val="auto"/>
        </w:rPr>
      </w:pPr>
    </w:p>
    <w:p>
      <w:pPr>
        <w:ind w:left="3100"/>
        <w:spacing w:after="0"/>
        <w:rPr>
          <w:sz w:val="20"/>
          <w:szCs w:val="20"/>
          <w:color w:val="auto"/>
        </w:rPr>
      </w:pPr>
      <w:r>
        <w:rPr>
          <w:rFonts w:ascii="Times New Roman" w:cs="Times New Roman" w:eastAsia="Times New Roman" w:hAnsi="Times New Roman"/>
          <w:sz w:val="22"/>
          <w:szCs w:val="22"/>
          <w:b w:val="1"/>
          <w:bCs w:val="1"/>
          <w:color w:val="auto"/>
        </w:rPr>
        <w:t>Amended and Restated 2010 Employee Share Purchase Plan</w:t>
      </w:r>
    </w:p>
    <w:p>
      <w:pPr>
        <w:spacing w:after="0" w:line="18"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22"/>
          <w:szCs w:val="22"/>
          <w:b w:val="1"/>
          <w:bCs w:val="1"/>
          <w:color w:val="auto"/>
        </w:rPr>
        <w:t>(as last amended and restated as of February 28, 2024)</w:t>
      </w:r>
    </w:p>
    <w:p>
      <w:pPr>
        <w:spacing w:after="0" w:line="366" w:lineRule="exact"/>
        <w:rPr>
          <w:sz w:val="20"/>
          <w:szCs w:val="20"/>
          <w:color w:val="auto"/>
        </w:rPr>
      </w:pPr>
    </w:p>
    <w:p>
      <w:pPr>
        <w:ind w:left="520" w:hanging="512"/>
        <w:spacing w:after="0"/>
        <w:tabs>
          <w:tab w:leader="none" w:pos="520" w:val="left"/>
        </w:tabs>
        <w:numPr>
          <w:ilvl w:val="0"/>
          <w:numId w:val="10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Purpose of the Plan</w:t>
      </w:r>
    </w:p>
    <w:p>
      <w:pPr>
        <w:spacing w:after="0" w:line="156" w:lineRule="exact"/>
        <w:rPr>
          <w:sz w:val="20"/>
          <w:szCs w:val="20"/>
          <w:color w:val="auto"/>
        </w:rPr>
      </w:pPr>
    </w:p>
    <w:p>
      <w:pPr>
        <w:ind w:right="160"/>
        <w:spacing w:after="0" w:line="244" w:lineRule="auto"/>
        <w:rPr>
          <w:sz w:val="20"/>
          <w:szCs w:val="20"/>
          <w:color w:val="auto"/>
        </w:rPr>
      </w:pPr>
      <w:r>
        <w:rPr>
          <w:rFonts w:ascii="Times New Roman" w:cs="Times New Roman" w:eastAsia="Times New Roman" w:hAnsi="Times New Roman"/>
          <w:sz w:val="22"/>
          <w:szCs w:val="22"/>
          <w:color w:val="auto"/>
        </w:rPr>
        <w:t>The purpose of the Plan is to give Eligible Employees of Willis Towers Watson Public Limited Company and its Participating Companies the ability to benefit from the added interest that such employees will have in the welfare of the Company as a result of their increased equity interest in that Company.</w:t>
      </w:r>
    </w:p>
    <w:p>
      <w:pPr>
        <w:spacing w:after="0" w:line="114"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Section 423 of the Code</w:t>
      </w:r>
    </w:p>
    <w:p>
      <w:pPr>
        <w:spacing w:after="0" w:line="156"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The Company intends for offerings under the Plan to qualify as an "employee stock purchase plan" under Section 423 of the Code (a "Section 423 Offering"); provided, however, that the Administrator may also authorize the grant of rights under the Plan that are not intended to comply with the requirements of Section 423 of the Code, pursuant to any rules, procedures, or sub-plans adopted by the Administrator for such purpose (a "Non-Section 423 Offering").</w:t>
      </w:r>
    </w:p>
    <w:p>
      <w:pPr>
        <w:spacing w:after="0" w:line="121"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capitalized terms used in the Plan have the respective meanings set forth in this Section:</w:t>
      </w:r>
    </w:p>
    <w:p>
      <w:pPr>
        <w:spacing w:after="0" w:line="152" w:lineRule="exact"/>
        <w:rPr>
          <w:sz w:val="20"/>
          <w:szCs w:val="20"/>
          <w:color w:val="auto"/>
        </w:rPr>
      </w:pPr>
    </w:p>
    <w:p>
      <w:pPr>
        <w:ind w:left="740" w:hanging="732"/>
        <w:spacing w:after="0"/>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Act</w:t>
      </w:r>
      <w:r>
        <w:rPr>
          <w:rFonts w:ascii="Times New Roman" w:cs="Times New Roman" w:eastAsia="Times New Roman" w:hAnsi="Times New Roman"/>
          <w:sz w:val="22"/>
          <w:szCs w:val="22"/>
          <w:color w:val="auto"/>
        </w:rPr>
        <w:t>: The U.S. Securities Exchange Act of 1934, as amended, or any successor thereto.</w:t>
      </w:r>
    </w:p>
    <w:p>
      <w:pPr>
        <w:spacing w:after="0" w:line="151" w:lineRule="exact"/>
        <w:rPr>
          <w:rFonts w:ascii="Times New Roman" w:cs="Times New Roman" w:eastAsia="Times New Roman" w:hAnsi="Times New Roman"/>
          <w:sz w:val="22"/>
          <w:szCs w:val="22"/>
          <w:color w:val="auto"/>
        </w:rPr>
      </w:pPr>
    </w:p>
    <w:p>
      <w:pPr>
        <w:ind w:left="740" w:right="180" w:hanging="732"/>
        <w:spacing w:after="0" w:line="244" w:lineRule="auto"/>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Administrator</w:t>
      </w:r>
      <w:r>
        <w:rPr>
          <w:rFonts w:ascii="Times New Roman" w:cs="Times New Roman" w:eastAsia="Times New Roman" w:hAnsi="Times New Roman"/>
          <w:sz w:val="22"/>
          <w:szCs w:val="22"/>
          <w:color w:val="auto"/>
        </w:rPr>
        <w:t>: The Committee or, subject to Applicable Law, a subcommittee of the Committee or one or more of the Company’s officers or management team appointed by the Board or Committee to administer the day-to-day operations of the Plan.</w:t>
      </w:r>
    </w:p>
    <w:p>
      <w:pPr>
        <w:spacing w:after="0" w:line="118" w:lineRule="exact"/>
        <w:rPr>
          <w:rFonts w:ascii="Times New Roman" w:cs="Times New Roman" w:eastAsia="Times New Roman" w:hAnsi="Times New Roman"/>
          <w:sz w:val="22"/>
          <w:szCs w:val="22"/>
          <w:color w:val="auto"/>
        </w:rPr>
      </w:pPr>
    </w:p>
    <w:p>
      <w:pPr>
        <w:ind w:left="740" w:right="360" w:hanging="732"/>
        <w:spacing w:after="0" w:line="244" w:lineRule="auto"/>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Shall have the meaning ascribed to such term in Rule 12b-2 promulgated under the Act. The Administrator shall have the authority to determine the time or times at which “Affiliate” status is determined within the foregoing definition.</w:t>
      </w:r>
    </w:p>
    <w:p>
      <w:pPr>
        <w:spacing w:after="0" w:line="118" w:lineRule="exact"/>
        <w:rPr>
          <w:rFonts w:ascii="Times New Roman" w:cs="Times New Roman" w:eastAsia="Times New Roman" w:hAnsi="Times New Roman"/>
          <w:sz w:val="22"/>
          <w:szCs w:val="22"/>
          <w:color w:val="auto"/>
        </w:rPr>
      </w:pPr>
    </w:p>
    <w:p>
      <w:pPr>
        <w:ind w:left="740" w:hanging="732"/>
        <w:spacing w:after="0" w:line="239" w:lineRule="auto"/>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Applicable Law</w:t>
      </w:r>
      <w:r>
        <w:rPr>
          <w:rFonts w:ascii="Times New Roman" w:cs="Times New Roman" w:eastAsia="Times New Roman" w:hAnsi="Times New Roman"/>
          <w:sz w:val="22"/>
          <w:szCs w:val="22"/>
          <w:color w:val="auto"/>
        </w:rPr>
        <w:t>: The requirements relating to the administration of equity-based awards under state corporate laws, United States federal and state securities laws, the Code, any stock exchange or quotation system on which the Shares are listed or quoted and the applicable laws of any foreign country or jurisdiction where the Company is organized or Options are, or will be, granted under the Plan.</w:t>
      </w:r>
    </w:p>
    <w:p>
      <w:pPr>
        <w:spacing w:after="0" w:line="124" w:lineRule="exact"/>
        <w:rPr>
          <w:rFonts w:ascii="Times New Roman" w:cs="Times New Roman" w:eastAsia="Times New Roman" w:hAnsi="Times New Roman"/>
          <w:sz w:val="22"/>
          <w:szCs w:val="22"/>
          <w:color w:val="auto"/>
        </w:rPr>
      </w:pPr>
    </w:p>
    <w:p>
      <w:pPr>
        <w:ind w:left="740" w:hanging="732"/>
        <w:spacing w:after="0"/>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The Board of Directors of the Company.</w:t>
      </w:r>
    </w:p>
    <w:p>
      <w:pPr>
        <w:spacing w:after="0" w:line="151" w:lineRule="exact"/>
        <w:rPr>
          <w:rFonts w:ascii="Times New Roman" w:cs="Times New Roman" w:eastAsia="Times New Roman" w:hAnsi="Times New Roman"/>
          <w:sz w:val="22"/>
          <w:szCs w:val="22"/>
          <w:color w:val="auto"/>
        </w:rPr>
      </w:pPr>
    </w:p>
    <w:p>
      <w:pPr>
        <w:ind w:left="740" w:right="160" w:hanging="732"/>
        <w:spacing w:after="0" w:line="236" w:lineRule="auto"/>
        <w:tabs>
          <w:tab w:leader="none" w:pos="740"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Such term means (i) the acquisition of ownership, directly or indirectly, beneficially or of record, by any Person or group (within the meaning of the Act and the rules of the U.S. Securities and Exchange Commission thereunder as in effect on the date hereof) of the ordinary shares of the Company representing more than fifty percent (50%) of the aggregate voting power represented by the issued and outstanding ordinary shares of the Company; or (ii) occupation of a majority of the seats (other than vacant seats) on the Board by Persons who were neither (x) nominated by the Board nor (y) appointed by directors so nominated.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48" w:name="page149"/>
    <w:bookmarkEnd w:id="148"/>
    <w:p>
      <w:pPr>
        <w:ind w:left="732" w:right="60"/>
        <w:spacing w:after="0" w:line="233" w:lineRule="auto"/>
        <w:rPr>
          <w:sz w:val="20"/>
          <w:szCs w:val="20"/>
          <w:color w:val="auto"/>
        </w:rPr>
      </w:pPr>
      <w:r>
        <w:rPr>
          <w:rFonts w:ascii="Times New Roman" w:cs="Times New Roman" w:eastAsia="Times New Roman" w:hAnsi="Times New Roman"/>
          <w:sz w:val="22"/>
          <w:szCs w:val="22"/>
          <w:color w:val="auto"/>
        </w:rPr>
        <w:t>For the avoidance of doubt, a transaction shall not constitute a Change in Control (i) if effected for the purpose of changing the place of incorporation or form of organization of the ultimate parent entity of the Willis Group (including where the Company is succeeded by an issuer incorporated under the laws of another state, country or foreign government for such purpose and whether or not the Company remains in existence following such transaction) and (ii) where all or substantially all of the Person(s) who are the beneficial owners of the outstanding voting securities of the Company immediately prior to such transaction will beneficially own, directly or indirectly, all or substantially all of the combined voting power of the outstanding voting securities entitled to vote generally in the election of directors of the ultimate parent entity resulting from such transaction in substantially the same proportions as their ownership, immediately prior to such transaction, of such outstanding securities of the Company. The Administrator, in its sole discretion, may make an appropriate and equitable adjustment to the Shares underlying an Option to take into account such transaction, including substituting or providing for the issuance of shares of the resulting ultimate parent entity in lieu of Shares of the Company.</w:t>
      </w:r>
    </w:p>
    <w:p>
      <w:pPr>
        <w:spacing w:after="0" w:line="127" w:lineRule="exact"/>
        <w:rPr>
          <w:sz w:val="20"/>
          <w:szCs w:val="20"/>
          <w:color w:val="auto"/>
        </w:rPr>
      </w:pPr>
    </w:p>
    <w:p>
      <w:pPr>
        <w:ind w:left="732" w:hanging="732"/>
        <w:spacing w:after="0"/>
        <w:tabs>
          <w:tab w:leader="none" w:pos="7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The U.S. Internal Revenue Code of 1986, as amended, or any successor thereto.</w:t>
      </w:r>
    </w:p>
    <w:p>
      <w:pPr>
        <w:spacing w:after="0" w:line="151" w:lineRule="exact"/>
        <w:rPr>
          <w:rFonts w:ascii="Times New Roman" w:cs="Times New Roman" w:eastAsia="Times New Roman" w:hAnsi="Times New Roman"/>
          <w:sz w:val="22"/>
          <w:szCs w:val="22"/>
          <w:color w:val="auto"/>
        </w:rPr>
      </w:pPr>
    </w:p>
    <w:p>
      <w:pPr>
        <w:ind w:left="732" w:right="80" w:hanging="732"/>
        <w:spacing w:after="0" w:line="244" w:lineRule="auto"/>
        <w:tabs>
          <w:tab w:leader="none" w:pos="7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The Human Capital and Compensation Committee of the Board or any properly delegated subcommittee thereof. If no Human Capital and Compensation Committee or subcommittee thereof exists, the term “Committee” shall be deemed to refer to the Board for all purposes under the Plan.</w:t>
      </w:r>
    </w:p>
    <w:p>
      <w:pPr>
        <w:spacing w:after="0" w:line="118"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Companies Act</w:t>
      </w:r>
      <w:r>
        <w:rPr>
          <w:rFonts w:ascii="Times New Roman" w:cs="Times New Roman" w:eastAsia="Times New Roman" w:hAnsi="Times New Roman"/>
          <w:sz w:val="22"/>
          <w:szCs w:val="22"/>
          <w:color w:val="auto"/>
        </w:rPr>
        <w:t>: The Companies Act 1963 of Ireland.</w:t>
      </w:r>
    </w:p>
    <w:p>
      <w:pPr>
        <w:spacing w:after="0" w:line="151" w:lineRule="exact"/>
        <w:rPr>
          <w:rFonts w:ascii="Times New Roman" w:cs="Times New Roman" w:eastAsia="Times New Roman" w:hAnsi="Times New Roman"/>
          <w:sz w:val="22"/>
          <w:szCs w:val="22"/>
          <w:color w:val="auto"/>
        </w:rPr>
      </w:pPr>
    </w:p>
    <w:p>
      <w:pPr>
        <w:ind w:left="732" w:right="680" w:hanging="732"/>
        <w:spacing w:after="0" w:line="258" w:lineRule="auto"/>
        <w:tabs>
          <w:tab w:leader="none" w:pos="7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Willis Towers Watson Public Limited Company, a company organized under the laws of Ireland under registered number 475616.</w:t>
      </w:r>
    </w:p>
    <w:p>
      <w:pPr>
        <w:spacing w:after="0" w:line="103" w:lineRule="exact"/>
        <w:rPr>
          <w:rFonts w:ascii="Times New Roman" w:cs="Times New Roman" w:eastAsia="Times New Roman" w:hAnsi="Times New Roman"/>
          <w:sz w:val="22"/>
          <w:szCs w:val="22"/>
          <w:color w:val="auto"/>
        </w:rPr>
      </w:pPr>
    </w:p>
    <w:p>
      <w:pPr>
        <w:ind w:left="732" w:hanging="732"/>
        <w:spacing w:after="0" w:line="232" w:lineRule="auto"/>
        <w:tabs>
          <w:tab w:leader="none" w:pos="732"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form(s) of compensation that may be contributed by a Participant to fund the exercise of Options to purchase Shares granted pursuant to the Plan, which may include the total amount paid by the Company or any Participating Company to the Eligible Employee (other than amounts paid after termination of employment date, even if such amounts are paid for pre-termination date services) as salary or wages (including 13th/14th month payments or similar concepts under local law), annual incentive plan and any other cash bonuses, commissions, overtime pay and any portion of such amounts voluntarily deferred or reduced by the Eligible Employee (i) under any employee benefit plan of the Company or a Participating Company available to all levels of employees on a non-discriminatory basis upon satisfaction of eligibility requirements, and (ii) under any deferral plan of the Company (provided such amounts would not otherwise have been excluded had they not been deferred), but excluding any stipends, lump sum payments in lieu of foregone merit increases, "bonus buyouts" as the result of job changes, pension, retainers, severance pay, special stay-on bonus, income derived from share options, share appreciation rights, restricted share units and dispositions of shares acquired thereunder, and other special remunerations. Unless otherwise determined by the Administrator prior to the commencement of an Offering Period, Compensation means the total amount paid by the Company or any Participating Company to the Eligible Employee (other than amounts paid after termination of employment date, even if such amounts are paid for pre-termination date services) as base salary or base wages (including 13th/14th month payments or similar concepts under local law, whether such payments are characterized as base salary, base wages or otherwise under local law), including, in the interest of clarity, items of compensation that would constitute base wages for purposes of the payroll of the Company or Participating Company, as applicable; and for Eligible Employees in the United States, Compensation shall include elective amounts</w:t>
      </w:r>
    </w:p>
    <w:p>
      <w:pPr>
        <w:spacing w:after="0" w:line="132"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10" w:right="379" w:bottom="1440" w:gutter="0" w:footer="0" w:header="0"/>
        </w:sectPr>
      </w:pPr>
    </w:p>
    <w:bookmarkStart w:id="149" w:name="page150"/>
    <w:bookmarkEnd w:id="149"/>
    <w:p>
      <w:pPr>
        <w:jc w:val="both"/>
        <w:ind w:left="732" w:right="120"/>
        <w:spacing w:after="0" w:line="244" w:lineRule="auto"/>
        <w:rPr>
          <w:sz w:val="20"/>
          <w:szCs w:val="20"/>
          <w:color w:val="auto"/>
        </w:rPr>
      </w:pPr>
      <w:r>
        <w:rPr>
          <w:rFonts w:ascii="Times New Roman" w:cs="Times New Roman" w:eastAsia="Times New Roman" w:hAnsi="Times New Roman"/>
          <w:sz w:val="22"/>
          <w:szCs w:val="22"/>
          <w:color w:val="auto"/>
        </w:rPr>
        <w:t>that are not includible in gross income of the Eligible Employee by reason of Sections 125, 132(f)(4), 402(e)(3), 402(h) or 403(b) of the Code. The Administrator shall have discretion to determine the application of this definition to Eligible Employees outside the United States.</w:t>
      </w:r>
    </w:p>
    <w:p>
      <w:pPr>
        <w:spacing w:after="0" w:line="118" w:lineRule="exact"/>
        <w:rPr>
          <w:sz w:val="20"/>
          <w:szCs w:val="20"/>
          <w:color w:val="auto"/>
        </w:rPr>
      </w:pPr>
    </w:p>
    <w:p>
      <w:pPr>
        <w:ind w:left="732" w:right="200" w:hanging="732"/>
        <w:spacing w:after="0" w:line="244"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Contributions</w:t>
      </w:r>
      <w:r>
        <w:rPr>
          <w:rFonts w:ascii="Times New Roman" w:cs="Times New Roman" w:eastAsia="Times New Roman" w:hAnsi="Times New Roman"/>
          <w:sz w:val="22"/>
          <w:szCs w:val="22"/>
          <w:color w:val="auto"/>
        </w:rPr>
        <w:t>: The amount of Compensation contributed by a Participant through payroll deductions or other payments that the Administrator may permit a Participant to make to fund the exercise of Options to purchase Shares granted pursuant to the Plan.</w:t>
      </w:r>
    </w:p>
    <w:p>
      <w:pPr>
        <w:spacing w:after="0" w:line="118"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Contribution Account</w:t>
      </w:r>
      <w:r>
        <w:rPr>
          <w:rFonts w:ascii="Times New Roman" w:cs="Times New Roman" w:eastAsia="Times New Roman" w:hAnsi="Times New Roman"/>
          <w:sz w:val="22"/>
          <w:szCs w:val="22"/>
          <w:color w:val="auto"/>
        </w:rPr>
        <w:t xml:space="preserve">: An account to which Contributions are credited under </w:t>
      </w:r>
      <w:r>
        <w:rPr>
          <w:rFonts w:ascii="Times New Roman" w:cs="Times New Roman" w:eastAsia="Times New Roman" w:hAnsi="Times New Roman"/>
          <w:sz w:val="22"/>
          <w:szCs w:val="22"/>
          <w:u w:val="single" w:color="auto"/>
          <w:color w:val="auto"/>
        </w:rPr>
        <w:t>Section 11(d)</w:t>
      </w:r>
      <w:r>
        <w:rPr>
          <w:rFonts w:ascii="Times New Roman" w:cs="Times New Roman" w:eastAsia="Times New Roman" w:hAnsi="Times New Roman"/>
          <w:sz w:val="22"/>
          <w:szCs w:val="22"/>
          <w:color w:val="auto"/>
        </w:rPr>
        <w:t xml:space="preserve"> of the Plan.</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Disqualifying Disposition</w:t>
      </w:r>
      <w:r>
        <w:rPr>
          <w:rFonts w:ascii="Times New Roman" w:cs="Times New Roman" w:eastAsia="Times New Roman" w:hAnsi="Times New Roman"/>
          <w:sz w:val="22"/>
          <w:szCs w:val="22"/>
          <w:color w:val="auto"/>
        </w:rPr>
        <w:t xml:space="preserve">: As such term is defined in </w:t>
      </w:r>
      <w:r>
        <w:rPr>
          <w:rFonts w:ascii="Times New Roman" w:cs="Times New Roman" w:eastAsia="Times New Roman" w:hAnsi="Times New Roman"/>
          <w:sz w:val="22"/>
          <w:szCs w:val="22"/>
          <w:u w:val="single" w:color="auto"/>
          <w:color w:val="auto"/>
        </w:rPr>
        <w:t>Section 11(g)</w:t>
      </w:r>
      <w:r>
        <w:rPr>
          <w:rFonts w:ascii="Times New Roman" w:cs="Times New Roman" w:eastAsia="Times New Roman" w:hAnsi="Times New Roman"/>
          <w:sz w:val="22"/>
          <w:szCs w:val="22"/>
          <w:color w:val="auto"/>
        </w:rPr>
        <w:t xml:space="preserve"> of the Plan.</w:t>
      </w:r>
    </w:p>
    <w:p>
      <w:pPr>
        <w:spacing w:after="0" w:line="151" w:lineRule="exact"/>
        <w:rPr>
          <w:rFonts w:ascii="Times New Roman" w:cs="Times New Roman" w:eastAsia="Times New Roman" w:hAnsi="Times New Roman"/>
          <w:sz w:val="22"/>
          <w:szCs w:val="22"/>
          <w:color w:val="auto"/>
        </w:rPr>
      </w:pPr>
    </w:p>
    <w:p>
      <w:pPr>
        <w:ind w:left="732" w:hanging="732"/>
        <w:spacing w:after="0" w:line="232"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Employee</w:t>
      </w:r>
      <w:r>
        <w:rPr>
          <w:rFonts w:ascii="Times New Roman" w:cs="Times New Roman" w:eastAsia="Times New Roman" w:hAnsi="Times New Roman"/>
          <w:sz w:val="22"/>
          <w:szCs w:val="22"/>
          <w:color w:val="auto"/>
        </w:rPr>
        <w:t xml:space="preserve">: Any person providing services to the Company or a Participating Company in an employee-employer relationship who meets such other initial service requirement specified by the Administrator pursuant to </w:t>
      </w:r>
      <w:r>
        <w:rPr>
          <w:rFonts w:ascii="Times New Roman" w:cs="Times New Roman" w:eastAsia="Times New Roman" w:hAnsi="Times New Roman"/>
          <w:sz w:val="22"/>
          <w:szCs w:val="22"/>
          <w:u w:val="single" w:color="auto"/>
          <w:color w:val="auto"/>
        </w:rPr>
        <w:t>Section 7(a)</w:t>
      </w:r>
      <w:r>
        <w:rPr>
          <w:rFonts w:ascii="Times New Roman" w:cs="Times New Roman" w:eastAsia="Times New Roman" w:hAnsi="Times New Roman"/>
          <w:sz w:val="22"/>
          <w:szCs w:val="22"/>
          <w:color w:val="auto"/>
        </w:rPr>
        <w:t>. The Committee shall have the discretion to determine an individual’s status as an "Eligible Employee" in the case of any of the following, regardless of any subsequent reclassification as an employee by the Company or a Participating Company, any governmental agency, or any court: (i) any independent contractor; (ii) any consultant; (iii) any individual performing services for the Company or a Participating Company who has entered into an independent contractor or consultant agreement with the Company or a Participating Company; (iv) any individual performing services for the Company or a Participating Company under an independent contractor or consultant agreement, a purchase order, a supplier agreement or any other agreement that the Company or a Participating Company enters into for services; (v) any individual classified by the Company or a Participating Company as contract labor (such as contractors, contract employees, job shoppers), regardless of length of service; (vi) any individual whose base wage or salary is not processed for payment by the payroll department(s) or payroll provider(s) of the Company or a Participating Company; and (vii) any employee who is leased from or otherwise employed by a third party, including, for clarity, a professional employer organization. The Administrator shall have exclusive discretion to determine whether an individual is an Eligible Employee for purposes of the Plan.</w:t>
      </w:r>
    </w:p>
    <w:p>
      <w:pPr>
        <w:spacing w:after="0" w:line="134" w:lineRule="exact"/>
        <w:rPr>
          <w:rFonts w:ascii="Times New Roman" w:cs="Times New Roman" w:eastAsia="Times New Roman" w:hAnsi="Times New Roman"/>
          <w:sz w:val="22"/>
          <w:szCs w:val="22"/>
          <w:color w:val="auto"/>
        </w:rPr>
      </w:pPr>
    </w:p>
    <w:p>
      <w:pPr>
        <w:ind w:left="732" w:right="140" w:hanging="732"/>
        <w:spacing w:after="0" w:line="258"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Enrollment Period</w:t>
      </w:r>
      <w:r>
        <w:rPr>
          <w:rFonts w:ascii="Times New Roman" w:cs="Times New Roman" w:eastAsia="Times New Roman" w:hAnsi="Times New Roman"/>
          <w:sz w:val="22"/>
          <w:szCs w:val="22"/>
          <w:color w:val="auto"/>
        </w:rPr>
        <w:t>: The period during which an Eligible Employee may elect to participate in the Plan, with such period occurring before the first day of each Offering Period, as prescribed by the Administrator.</w:t>
      </w:r>
    </w:p>
    <w:p>
      <w:pPr>
        <w:spacing w:after="0" w:line="103" w:lineRule="exact"/>
        <w:rPr>
          <w:rFonts w:ascii="Times New Roman" w:cs="Times New Roman" w:eastAsia="Times New Roman" w:hAnsi="Times New Roman"/>
          <w:sz w:val="22"/>
          <w:szCs w:val="22"/>
          <w:color w:val="auto"/>
        </w:rPr>
      </w:pPr>
    </w:p>
    <w:p>
      <w:pPr>
        <w:ind w:left="732" w:right="100" w:hanging="732"/>
        <w:spacing w:after="0" w:line="236"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On a given date, the per Share closing price of a Share as reported on the Nasdaq Stock Market (or if there were no reported prices on such date, on the last preceding date on which the prices were reported) or, if the Company is not then listed on the Nasdaq Stock Market, on such other principal securities exchange or market on which the Shares are traded, and if the Company is not listed on the Nasdaq Stock Market or any other securities exchange or market, the Fair Market Value of a Share shall be determined by the Committee in its sole discretion using appropriate criteria.</w:t>
      </w:r>
    </w:p>
    <w:p>
      <w:pPr>
        <w:spacing w:after="0" w:line="125" w:lineRule="exact"/>
        <w:rPr>
          <w:rFonts w:ascii="Times New Roman" w:cs="Times New Roman" w:eastAsia="Times New Roman" w:hAnsi="Times New Roman"/>
          <w:sz w:val="22"/>
          <w:szCs w:val="22"/>
          <w:color w:val="auto"/>
        </w:rPr>
      </w:pPr>
    </w:p>
    <w:p>
      <w:pPr>
        <w:jc w:val="both"/>
        <w:ind w:left="732" w:hanging="732"/>
        <w:spacing w:after="0" w:line="244"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Share Amount</w:t>
      </w:r>
      <w:r>
        <w:rPr>
          <w:rFonts w:ascii="Times New Roman" w:cs="Times New Roman" w:eastAsia="Times New Roman" w:hAnsi="Times New Roman"/>
          <w:sz w:val="22"/>
          <w:szCs w:val="22"/>
          <w:color w:val="auto"/>
        </w:rPr>
        <w:t xml:space="preserve">: Subject to Section 423 of the Code and the limitations set forth in </w:t>
      </w:r>
      <w:r>
        <w:rPr>
          <w:rFonts w:ascii="Times New Roman" w:cs="Times New Roman" w:eastAsia="Times New Roman" w:hAnsi="Times New Roman"/>
          <w:sz w:val="22"/>
          <w:szCs w:val="22"/>
          <w:u w:val="single" w:color="auto"/>
          <w:color w:val="auto"/>
        </w:rPr>
        <w:t>Section 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11(a)</w:t>
      </w:r>
      <w:r>
        <w:rPr>
          <w:rFonts w:ascii="Times New Roman" w:cs="Times New Roman" w:eastAsia="Times New Roman" w:hAnsi="Times New Roman"/>
          <w:sz w:val="22"/>
          <w:szCs w:val="22"/>
          <w:color w:val="auto"/>
        </w:rPr>
        <w:t xml:space="preserve"> of the Plan, the maximum number of Shares that a Participant may purchase in any given Offering Period shall be 1,887 Shares or such other maximum as may be determined by the Administrator.</w:t>
      </w:r>
    </w:p>
    <w:p>
      <w:pPr>
        <w:spacing w:after="0" w:line="118" w:lineRule="exact"/>
        <w:rPr>
          <w:rFonts w:ascii="Times New Roman" w:cs="Times New Roman" w:eastAsia="Times New Roman" w:hAnsi="Times New Roman"/>
          <w:sz w:val="22"/>
          <w:szCs w:val="22"/>
          <w:color w:val="auto"/>
        </w:rPr>
      </w:pPr>
    </w:p>
    <w:p>
      <w:pPr>
        <w:jc w:val="both"/>
        <w:ind w:left="732" w:right="120" w:hanging="732"/>
        <w:spacing w:after="0" w:line="244" w:lineRule="auto"/>
        <w:tabs>
          <w:tab w:leader="none" w:pos="732"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w:t>
      </w:r>
      <w:r>
        <w:rPr>
          <w:rFonts w:ascii="Times New Roman" w:cs="Times New Roman" w:eastAsia="Times New Roman" w:hAnsi="Times New Roman"/>
          <w:sz w:val="22"/>
          <w:szCs w:val="22"/>
          <w:color w:val="auto"/>
        </w:rPr>
        <w:t xml:space="preserve">: A Section 423 Offering or a Non-Section 423 Offering of an Option under the Plan during an Offering Period as further described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For purposes of the Plan, the Administrator may establish separate Offerings under the Plan (the terms of which need not be</w:t>
      </w:r>
    </w:p>
    <w:p>
      <w:pPr>
        <w:spacing w:after="0" w:line="123"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110" w:right="339" w:bottom="1440" w:gutter="0" w:footer="0" w:header="0"/>
        </w:sectPr>
      </w:pPr>
    </w:p>
    <w:bookmarkStart w:id="150" w:name="page151"/>
    <w:bookmarkEnd w:id="150"/>
    <w:p>
      <w:pPr>
        <w:ind w:left="732" w:right="140"/>
        <w:spacing w:after="0" w:line="237" w:lineRule="auto"/>
        <w:rPr>
          <w:sz w:val="20"/>
          <w:szCs w:val="20"/>
          <w:color w:val="auto"/>
        </w:rPr>
      </w:pPr>
      <w:r>
        <w:rPr>
          <w:rFonts w:ascii="Times New Roman" w:cs="Times New Roman" w:eastAsia="Times New Roman" w:hAnsi="Times New Roman"/>
          <w:sz w:val="22"/>
          <w:szCs w:val="22"/>
          <w:color w:val="auto"/>
        </w:rPr>
        <w:t>identical) in which Eligible Employees of one or more Participating Companies may participate, even if the dates of the applicable Offering Periods of each such Offering are identical and the provisions of the Plan will separately apply to each Offering. With respect to Section 423 Offerings, the terms of each Offering need not be identical provided that the terms of the Plan and an Offering together satisfy Code Section 423; a Non-Section 423 Offering need not satisfy such regulations.</w:t>
      </w:r>
    </w:p>
    <w:p>
      <w:pPr>
        <w:spacing w:after="0" w:line="126" w:lineRule="exact"/>
        <w:rPr>
          <w:sz w:val="20"/>
          <w:szCs w:val="20"/>
          <w:color w:val="auto"/>
        </w:rPr>
      </w:pPr>
    </w:p>
    <w:p>
      <w:pPr>
        <w:ind w:left="732" w:hanging="732"/>
        <w:spacing w:after="0"/>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Date</w:t>
      </w:r>
      <w:r>
        <w:rPr>
          <w:rFonts w:ascii="Times New Roman" w:cs="Times New Roman" w:eastAsia="Times New Roman" w:hAnsi="Times New Roman"/>
          <w:sz w:val="22"/>
          <w:szCs w:val="22"/>
          <w:color w:val="auto"/>
        </w:rPr>
        <w:t>: The first Trading Day of an Offering Period.</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Offering Period</w:t>
      </w:r>
      <w:r>
        <w:rPr>
          <w:rFonts w:ascii="Times New Roman" w:cs="Times New Roman" w:eastAsia="Times New Roman" w:hAnsi="Times New Roman"/>
          <w:sz w:val="22"/>
          <w:szCs w:val="22"/>
          <w:color w:val="auto"/>
        </w:rPr>
        <w:t xml:space="preserve">: An offering period described in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of the Plan.</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Option</w:t>
      </w:r>
      <w:r>
        <w:rPr>
          <w:rFonts w:ascii="Times New Roman" w:cs="Times New Roman" w:eastAsia="Times New Roman" w:hAnsi="Times New Roman"/>
          <w:sz w:val="22"/>
          <w:szCs w:val="22"/>
          <w:color w:val="auto"/>
        </w:rPr>
        <w:t xml:space="preserve">: A share option granted pursuant to </w:t>
      </w:r>
      <w:r>
        <w:rPr>
          <w:rFonts w:ascii="Times New Roman" w:cs="Times New Roman" w:eastAsia="Times New Roman" w:hAnsi="Times New Roman"/>
          <w:sz w:val="22"/>
          <w:szCs w:val="22"/>
          <w:u w:val="single" w:color="auto"/>
          <w:color w:val="auto"/>
        </w:rPr>
        <w:t>Section 9</w:t>
      </w:r>
      <w:r>
        <w:rPr>
          <w:rFonts w:ascii="Times New Roman" w:cs="Times New Roman" w:eastAsia="Times New Roman" w:hAnsi="Times New Roman"/>
          <w:sz w:val="22"/>
          <w:szCs w:val="22"/>
          <w:color w:val="auto"/>
        </w:rPr>
        <w:t xml:space="preserve"> of the Plan.</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Participant</w:t>
      </w:r>
      <w:r>
        <w:rPr>
          <w:rFonts w:ascii="Times New Roman" w:cs="Times New Roman" w:eastAsia="Times New Roman" w:hAnsi="Times New Roman"/>
          <w:sz w:val="22"/>
          <w:szCs w:val="22"/>
          <w:color w:val="auto"/>
        </w:rPr>
        <w:t>: Eligible Employees who elect to participate in, and are granted an Option under, the Plan.</w:t>
      </w:r>
    </w:p>
    <w:p>
      <w:pPr>
        <w:spacing w:after="0" w:line="151" w:lineRule="exact"/>
        <w:rPr>
          <w:rFonts w:ascii="Times New Roman" w:cs="Times New Roman" w:eastAsia="Times New Roman" w:hAnsi="Times New Roman"/>
          <w:sz w:val="22"/>
          <w:szCs w:val="22"/>
          <w:color w:val="auto"/>
        </w:rPr>
      </w:pPr>
    </w:p>
    <w:p>
      <w:pPr>
        <w:ind w:left="732" w:right="160" w:hanging="732"/>
        <w:spacing w:after="0" w:line="236" w:lineRule="auto"/>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Participating Company</w:t>
      </w:r>
      <w:r>
        <w:rPr>
          <w:rFonts w:ascii="Times New Roman" w:cs="Times New Roman" w:eastAsia="Times New Roman" w:hAnsi="Times New Roman"/>
          <w:sz w:val="22"/>
          <w:szCs w:val="22"/>
          <w:color w:val="auto"/>
        </w:rPr>
        <w:t>: A Subsidiary or Affiliate that has been designated by the Administrator from time to time in its sole discretion as eligible to participate in the Plan. For purposes of the Section 423 Component, only Subsidiaries may be Participating Companies; provided, however, that at any given time a Subsidiary that is a Participating Company under the Section 423 Offering shall not be a Participating Company under the Non-Section 423 Offering. The Committee may provide that any Participating Company shall only be eligible to participate in the Non-Section 423 Offering.</w:t>
      </w:r>
    </w:p>
    <w:p>
      <w:pPr>
        <w:spacing w:after="0" w:line="125"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As such term is used for purposes of Section 13(d) or 14(d) of the Act (or any successor section thereto).</w:t>
      </w:r>
    </w:p>
    <w:p>
      <w:pPr>
        <w:spacing w:after="0" w:line="151" w:lineRule="exact"/>
        <w:rPr>
          <w:rFonts w:ascii="Times New Roman" w:cs="Times New Roman" w:eastAsia="Times New Roman" w:hAnsi="Times New Roman"/>
          <w:sz w:val="22"/>
          <w:szCs w:val="22"/>
          <w:color w:val="auto"/>
        </w:rPr>
      </w:pPr>
    </w:p>
    <w:p>
      <w:pPr>
        <w:ind w:left="732" w:right="160" w:hanging="732"/>
        <w:spacing w:after="0" w:line="258" w:lineRule="auto"/>
        <w:tabs>
          <w:tab w:leader="none" w:pos="732"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w:t>
      </w:r>
      <w:r>
        <w:rPr>
          <w:rFonts w:ascii="Times New Roman" w:cs="Times New Roman" w:eastAsia="Times New Roman" w:hAnsi="Times New Roman"/>
          <w:sz w:val="22"/>
          <w:szCs w:val="22"/>
          <w:color w:val="auto"/>
        </w:rPr>
        <w:t>: The Willis Towers Watson Amended and Restated 2010 Employee Share Purchase Plan, as amended from time to time.</w:t>
      </w:r>
    </w:p>
    <w:p>
      <w:pPr>
        <w:spacing w:after="0" w:line="103" w:lineRule="exact"/>
        <w:rPr>
          <w:sz w:val="20"/>
          <w:szCs w:val="20"/>
          <w:color w:val="auto"/>
        </w:rPr>
      </w:pPr>
    </w:p>
    <w:p>
      <w:pPr>
        <w:ind w:left="732" w:hanging="732"/>
        <w:spacing w:after="0"/>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Broker</w:t>
      </w:r>
      <w:r>
        <w:rPr>
          <w:rFonts w:ascii="Times New Roman" w:cs="Times New Roman" w:eastAsia="Times New Roman" w:hAnsi="Times New Roman"/>
          <w:sz w:val="22"/>
          <w:szCs w:val="22"/>
          <w:color w:val="auto"/>
        </w:rPr>
        <w:t>: A stock brokerage or other financial services firm designated by the Administrator in its sole discretion.</w:t>
      </w:r>
    </w:p>
    <w:p>
      <w:pPr>
        <w:spacing w:after="0" w:line="151" w:lineRule="exact"/>
        <w:rPr>
          <w:rFonts w:ascii="Times New Roman" w:cs="Times New Roman" w:eastAsia="Times New Roman" w:hAnsi="Times New Roman"/>
          <w:sz w:val="22"/>
          <w:szCs w:val="22"/>
          <w:color w:val="auto"/>
        </w:rPr>
      </w:pPr>
    </w:p>
    <w:p>
      <w:pPr>
        <w:ind w:left="732" w:right="1180" w:hanging="732"/>
        <w:spacing w:after="0" w:line="258" w:lineRule="auto"/>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Plan Share Account</w:t>
      </w:r>
      <w:r>
        <w:rPr>
          <w:rFonts w:ascii="Times New Roman" w:cs="Times New Roman" w:eastAsia="Times New Roman" w:hAnsi="Times New Roman"/>
          <w:sz w:val="22"/>
          <w:szCs w:val="22"/>
          <w:color w:val="auto"/>
        </w:rPr>
        <w:t>: Plan Share account established by the Company or by an outside entity selected by the Administrator which is not a brokerage firm.</w:t>
      </w:r>
    </w:p>
    <w:p>
      <w:pPr>
        <w:spacing w:after="0" w:line="103"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Date</w:t>
      </w:r>
      <w:r>
        <w:rPr>
          <w:rFonts w:ascii="Times New Roman" w:cs="Times New Roman" w:eastAsia="Times New Roman" w:hAnsi="Times New Roman"/>
          <w:sz w:val="22"/>
          <w:szCs w:val="22"/>
          <w:color w:val="auto"/>
        </w:rPr>
        <w:t>: The last Trading Day of an Offering Period.</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Purchase Price</w:t>
      </w:r>
      <w:r>
        <w:rPr>
          <w:rFonts w:ascii="Times New Roman" w:cs="Times New Roman" w:eastAsia="Times New Roman" w:hAnsi="Times New Roman"/>
          <w:sz w:val="22"/>
          <w:szCs w:val="22"/>
          <w:color w:val="auto"/>
        </w:rPr>
        <w:t xml:space="preserve">: The purchase price per Share, as determined pursuant to </w:t>
      </w:r>
      <w:r>
        <w:rPr>
          <w:rFonts w:ascii="Times New Roman" w:cs="Times New Roman" w:eastAsia="Times New Roman" w:hAnsi="Times New Roman"/>
          <w:sz w:val="22"/>
          <w:szCs w:val="22"/>
          <w:u w:val="single" w:color="auto"/>
          <w:color w:val="auto"/>
        </w:rPr>
        <w:t>Section 10</w:t>
      </w:r>
      <w:r>
        <w:rPr>
          <w:rFonts w:ascii="Times New Roman" w:cs="Times New Roman" w:eastAsia="Times New Roman" w:hAnsi="Times New Roman"/>
          <w:sz w:val="22"/>
          <w:szCs w:val="22"/>
          <w:color w:val="auto"/>
        </w:rPr>
        <w:t xml:space="preserve"> of the Plan.</w:t>
      </w:r>
    </w:p>
    <w:p>
      <w:pPr>
        <w:spacing w:after="0" w:line="151" w:lineRule="exact"/>
        <w:rPr>
          <w:rFonts w:ascii="Times New Roman" w:cs="Times New Roman" w:eastAsia="Times New Roman" w:hAnsi="Times New Roman"/>
          <w:sz w:val="22"/>
          <w:szCs w:val="22"/>
          <w:color w:val="auto"/>
        </w:rPr>
      </w:pPr>
    </w:p>
    <w:p>
      <w:pPr>
        <w:ind w:left="732" w:hanging="732"/>
        <w:spacing w:after="0"/>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Shares</w:t>
      </w:r>
      <w:r>
        <w:rPr>
          <w:rFonts w:ascii="Times New Roman" w:cs="Times New Roman" w:eastAsia="Times New Roman" w:hAnsi="Times New Roman"/>
          <w:sz w:val="22"/>
          <w:szCs w:val="22"/>
          <w:color w:val="auto"/>
        </w:rPr>
        <w:t>: Ordinary shares of the Company, nominal value $0.000304635 per share.</w:t>
      </w:r>
    </w:p>
    <w:p>
      <w:pPr>
        <w:spacing w:after="0" w:line="151" w:lineRule="exact"/>
        <w:rPr>
          <w:rFonts w:ascii="Times New Roman" w:cs="Times New Roman" w:eastAsia="Times New Roman" w:hAnsi="Times New Roman"/>
          <w:sz w:val="22"/>
          <w:szCs w:val="22"/>
          <w:color w:val="auto"/>
        </w:rPr>
      </w:pPr>
    </w:p>
    <w:p>
      <w:pPr>
        <w:ind w:left="732" w:right="60" w:hanging="732"/>
        <w:spacing w:after="0" w:line="258" w:lineRule="auto"/>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Subsidiary</w:t>
      </w:r>
      <w:r>
        <w:rPr>
          <w:rFonts w:ascii="Times New Roman" w:cs="Times New Roman" w:eastAsia="Times New Roman" w:hAnsi="Times New Roman"/>
          <w:sz w:val="22"/>
          <w:szCs w:val="22"/>
          <w:color w:val="auto"/>
        </w:rPr>
        <w:t>: A subsidiary corporation as defined in Section 424(f) of the Code (or any successor section thereto) which is also a subsidiary within the meaning of Section 155 of the Companies Act.</w:t>
      </w:r>
    </w:p>
    <w:p>
      <w:pPr>
        <w:spacing w:after="0" w:line="103" w:lineRule="exact"/>
        <w:rPr>
          <w:rFonts w:ascii="Times New Roman" w:cs="Times New Roman" w:eastAsia="Times New Roman" w:hAnsi="Times New Roman"/>
          <w:sz w:val="22"/>
          <w:szCs w:val="22"/>
          <w:color w:val="auto"/>
        </w:rPr>
      </w:pPr>
    </w:p>
    <w:p>
      <w:pPr>
        <w:ind w:left="732" w:hanging="732"/>
        <w:spacing w:after="0" w:line="237" w:lineRule="auto"/>
        <w:tabs>
          <w:tab w:leader="none" w:pos="732"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Tax-Related Items</w:t>
      </w:r>
      <w:r>
        <w:rPr>
          <w:rFonts w:ascii="Times New Roman" w:cs="Times New Roman" w:eastAsia="Times New Roman" w:hAnsi="Times New Roman"/>
          <w:sz w:val="22"/>
          <w:szCs w:val="22"/>
          <w:color w:val="auto"/>
        </w:rPr>
        <w:t>: Any U.S. federal, state, and/or local taxes and/or any non-U.S. taxes (including, without limitation, income tax, social insurance contributions (or similar contributions), payroll tax, fringe benefits tax, payment on account, employment tax, stamp tax and any other tax or tax-related item arising in relation to the Participant’s participation in the Plan and legally applicable to a Participant, including any employer liability for which the Participant is liable pursuant to Applicable Laws or an agreement entered into under the Plan).</w:t>
      </w:r>
    </w:p>
    <w:p>
      <w:pPr>
        <w:spacing w:after="0" w:line="1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10" w:right="359" w:bottom="1440" w:gutter="0" w:footer="0" w:header="0"/>
        </w:sectPr>
      </w:pPr>
    </w:p>
    <w:bookmarkStart w:id="151" w:name="page152"/>
    <w:bookmarkEnd w:id="151"/>
    <w:p>
      <w:pPr>
        <w:ind w:left="740" w:hanging="732"/>
        <w:spacing w:after="0"/>
        <w:tabs>
          <w:tab w:leader="none" w:pos="7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Trading Day</w:t>
      </w:r>
      <w:r>
        <w:rPr>
          <w:rFonts w:ascii="Times New Roman" w:cs="Times New Roman" w:eastAsia="Times New Roman" w:hAnsi="Times New Roman"/>
          <w:sz w:val="22"/>
          <w:szCs w:val="22"/>
          <w:color w:val="auto"/>
        </w:rPr>
        <w:t>: A day on which the principal exchange that the Shares are listed on is open for trading.</w:t>
      </w:r>
    </w:p>
    <w:p>
      <w:pPr>
        <w:spacing w:after="0" w:line="151" w:lineRule="exact"/>
        <w:rPr>
          <w:rFonts w:ascii="Times New Roman" w:cs="Times New Roman" w:eastAsia="Times New Roman" w:hAnsi="Times New Roman"/>
          <w:sz w:val="22"/>
          <w:szCs w:val="22"/>
          <w:color w:val="auto"/>
        </w:rPr>
      </w:pPr>
    </w:p>
    <w:p>
      <w:pPr>
        <w:ind w:left="740" w:hanging="732"/>
        <w:spacing w:after="0"/>
        <w:tabs>
          <w:tab w:leader="none" w:pos="740" w:val="left"/>
        </w:tabs>
        <w:numPr>
          <w:ilvl w:val="0"/>
          <w:numId w:val="1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Willis Group</w:t>
      </w:r>
      <w:r>
        <w:rPr>
          <w:rFonts w:ascii="Times New Roman" w:cs="Times New Roman" w:eastAsia="Times New Roman" w:hAnsi="Times New Roman"/>
          <w:sz w:val="22"/>
          <w:szCs w:val="22"/>
          <w:color w:val="auto"/>
        </w:rPr>
        <w:t>: The Company and its Subsidiaries and Affiliates.</w:t>
      </w:r>
    </w:p>
    <w:p>
      <w:pPr>
        <w:spacing w:after="0" w:line="148" w:lineRule="exact"/>
        <w:rPr>
          <w:sz w:val="20"/>
          <w:szCs w:val="20"/>
          <w:color w:val="auto"/>
        </w:rPr>
      </w:pPr>
    </w:p>
    <w:p>
      <w:pPr>
        <w:ind w:left="520" w:hanging="512"/>
        <w:spacing w:after="0"/>
        <w:tabs>
          <w:tab w:leader="none" w:pos="520" w:val="left"/>
        </w:tabs>
        <w:numPr>
          <w:ilvl w:val="0"/>
          <w:numId w:val="1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Shares Subject to the Plan</w:t>
      </w:r>
    </w:p>
    <w:p>
      <w:pPr>
        <w:spacing w:after="0" w:line="156"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 xml:space="preserve">Subject to the adjustment provision in </w:t>
      </w:r>
      <w:r>
        <w:rPr>
          <w:rFonts w:ascii="Times New Roman" w:cs="Times New Roman" w:eastAsia="Times New Roman" w:hAnsi="Times New Roman"/>
          <w:sz w:val="20"/>
          <w:szCs w:val="20"/>
          <w:u w:val="single" w:color="auto"/>
          <w:color w:val="auto"/>
        </w:rPr>
        <w:t>Section 15</w:t>
      </w:r>
      <w:r>
        <w:rPr>
          <w:rFonts w:ascii="Times New Roman" w:cs="Times New Roman" w:eastAsia="Times New Roman" w:hAnsi="Times New Roman"/>
          <w:sz w:val="20"/>
          <w:szCs w:val="20"/>
          <w:color w:val="auto"/>
        </w:rPr>
        <w:t xml:space="preserve"> of the Plan, the total number of Shares which shall be made available for sale under the Plan shall be 1,377,500 Shares to be allocated among Offering Periods as the Administrator shall determine. If the Administrator determines that, on a given Purchase Date, the number of Shares with respect to which Options are to be exercised may exceed (i) the number of Shares available for sale under the Plan on the Offering Date of the applicable Offering Period or</w:t>
      </w:r>
    </w:p>
    <w:p>
      <w:pPr>
        <w:spacing w:after="0" w:line="2" w:lineRule="exact"/>
        <w:rPr>
          <w:sz w:val="20"/>
          <w:szCs w:val="20"/>
          <w:color w:val="auto"/>
        </w:rPr>
      </w:pPr>
    </w:p>
    <w:p>
      <w:pPr>
        <w:ind w:firstLine="8"/>
        <w:spacing w:after="0" w:line="231" w:lineRule="auto"/>
        <w:tabs>
          <w:tab w:leader="none" w:pos="318" w:val="left"/>
        </w:tabs>
        <w:numPr>
          <w:ilvl w:val="0"/>
          <w:numId w:val="1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number of Shares available for sale under the Plan on such Purchase Date, the Administrator may in its sole discretion provide (x) that the Company shall make a pro rata allocation of the Shares available for purchase on such Offering Date or Purchase Date, as applicable, in as uniform a manner as shall be practicable and as it shall determine in its sole discretion to be equitable among all participants exercising Options on such Purchase Date, and continue all Offering Periods then in effect or (y) that the Company shall make a pro rata allocation of the Shares available for purchase on such Offering Date or Purchase Date, as applicable, in as uniform a manner as shall be practicable and as it shall determine in its sole discretion to be equitable among all participants exercising Options on such Purchase Date, and terminate any or all Offering Periods then in effect. The Company may make pro rata allocation of the Shares available on the Offering Date of any applicable Offering Period pursuant to the preceding sentence, notwithstanding any authorization of Additional Shares (defined below) for issuance under the Plan by the Company's shareholders subsequent to such Offering Date. The Shares may consist, in whole or in part, of unissued Shares, treasury Shares or Shares purchased on the open market. The issuance of Shares pursuant to the Plan shall reduce the total number of Shares available under the Plan. For avoidance of doubt, the Share limitation set forth in this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may be used to satisfy purchases of Shares under either a Section 423 Offering or a Non-Section 423 Offering.</w:t>
      </w:r>
    </w:p>
    <w:p>
      <w:pPr>
        <w:spacing w:after="0" w:line="124" w:lineRule="exact"/>
        <w:rPr>
          <w:sz w:val="20"/>
          <w:szCs w:val="20"/>
          <w:color w:val="auto"/>
        </w:rPr>
      </w:pPr>
    </w:p>
    <w:p>
      <w:pPr>
        <w:ind w:left="520" w:hanging="512"/>
        <w:spacing w:after="0"/>
        <w:tabs>
          <w:tab w:leader="none" w:pos="520" w:val="left"/>
        </w:tabs>
        <w:numPr>
          <w:ilvl w:val="0"/>
          <w:numId w:val="1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Administration of the Plan</w:t>
      </w:r>
    </w:p>
    <w:p>
      <w:pPr>
        <w:spacing w:after="0" w:line="156" w:lineRule="exact"/>
        <w:rPr>
          <w:sz w:val="20"/>
          <w:szCs w:val="20"/>
          <w:color w:val="auto"/>
        </w:rPr>
      </w:pPr>
    </w:p>
    <w:p>
      <w:pPr>
        <w:ind w:left="740" w:right="80" w:hanging="732"/>
        <w:spacing w:after="0" w:line="235" w:lineRule="auto"/>
        <w:tabs>
          <w:tab w:leader="none" w:pos="7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Committee as Administrator</w:t>
      </w:r>
      <w:r>
        <w:rPr>
          <w:rFonts w:ascii="Times New Roman" w:cs="Times New Roman" w:eastAsia="Times New Roman" w:hAnsi="Times New Roman"/>
          <w:sz w:val="22"/>
          <w:szCs w:val="22"/>
          <w:color w:val="auto"/>
        </w:rPr>
        <w:t>. The Plan shall be administered by the Committee, which may delegate its duties and powers in whole or in part to any subcommittee thereof. Subject to Applicable Law, no member of the Board, the Committee or its delegates shall be liable for any good faith action or determination made in connection with the operation, administration or interpretation of the Plan. In the performance of its responsibilities with respect to the Plan, the Committee shall be entitled to rely upon, and no member of the Committee shall be liable for any action taken or not taken in reliance upon, information and/or advice furnished by the Company's officers or employees, the Company's accountants, the Company's counsel and any other party that the Committee deems necessary.</w:t>
      </w:r>
    </w:p>
    <w:p>
      <w:pPr>
        <w:spacing w:after="0" w:line="126" w:lineRule="exact"/>
        <w:rPr>
          <w:rFonts w:ascii="Times New Roman" w:cs="Times New Roman" w:eastAsia="Times New Roman" w:hAnsi="Times New Roman"/>
          <w:sz w:val="22"/>
          <w:szCs w:val="22"/>
          <w:color w:val="auto"/>
        </w:rPr>
      </w:pPr>
    </w:p>
    <w:p>
      <w:pPr>
        <w:ind w:left="740" w:right="20" w:hanging="732"/>
        <w:spacing w:after="0" w:line="234" w:lineRule="auto"/>
        <w:tabs>
          <w:tab w:leader="none" w:pos="740" w:val="left"/>
        </w:tabs>
        <w:numPr>
          <w:ilvl w:val="0"/>
          <w:numId w:val="1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Powers of the Administrator</w:t>
      </w:r>
      <w:r>
        <w:rPr>
          <w:rFonts w:ascii="Times New Roman" w:cs="Times New Roman" w:eastAsia="Times New Roman" w:hAnsi="Times New Roman"/>
          <w:sz w:val="22"/>
          <w:szCs w:val="22"/>
          <w:color w:val="auto"/>
        </w:rPr>
        <w:t>. The Administrator shall have full power and authority to: administer the Plan, including, without limitation, the authority to (i) construe, interpret, reconcile any inconsistency in, correct any default in and supply any omission in, and apply the terms of the Plan and any enrollment form (including any country-specific appendix to such form for employees outside the United States) or other instrument or agreement relating to the Plan, (ii) determine eligibility and adjudicate all disputed claims filed under the Plan, including whether Eligible Employees shall participate in a Section 423 Offering or a Non-Section 423 Offering and which Affiliates or Subsidiaries shall be Participating Companies in either a Section 423 Offering or a Non-Section 423 Offering, (iii) determine the terms and conditions of any Option under the Plan, (iv) establish, amend, suspend or waive such rules and regulations and</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10" w:right="359" w:bottom="1440" w:gutter="0" w:footer="0" w:header="0"/>
        </w:sectPr>
      </w:pPr>
    </w:p>
    <w:bookmarkStart w:id="152" w:name="page153"/>
    <w:bookmarkEnd w:id="152"/>
    <w:p>
      <w:pPr>
        <w:ind w:left="740"/>
        <w:spacing w:after="0" w:line="232" w:lineRule="auto"/>
        <w:rPr>
          <w:sz w:val="20"/>
          <w:szCs w:val="20"/>
          <w:color w:val="auto"/>
        </w:rPr>
      </w:pPr>
      <w:r>
        <w:rPr>
          <w:rFonts w:ascii="Times New Roman" w:cs="Times New Roman" w:eastAsia="Times New Roman" w:hAnsi="Times New Roman"/>
          <w:sz w:val="22"/>
          <w:szCs w:val="22"/>
          <w:color w:val="auto"/>
        </w:rPr>
        <w:t xml:space="preserve">appoint such agents as it shall deem appropriate for the proper administration of the Plan, (v) amend an outstanding Option, including any amendments to an Option that may be necessary for purposes of effecting a transaction contemplated under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hereof (including, but not limited to, an amendment to the class or type of shares that may be issued pursuant to the exercise of an Option or the Purchase Price applicable to a right), provided that the amended Option otherwise conforms to the terms of the Plan, and (vi) make any other determination and take any other action that the Administrator deems necessary or desirable for the administration of the Plan. Notwithstanding any provision to the contrary in this Plan, the Administrator may adopt rules or procedures relating to the operation and administration of the Plan to accommodate the specific requirements of local laws and procedures for jurisdictions outside of the United States. Without limiting the generality of the foregoing, the Administrator specifically is authorized to adopt rules, procedures and subplans, which, for purposes of a Non-Section 423 Offering, may be outside the scope of Section 423 of the Code, regarding, without limitation, eligibility to participate, the definition of Compensation, handling of payroll deductions, making of Contributions to the Plan (including, without limitation, in forms other than payroll deductions), establishment of bank or trust accounts to hold payroll deductions, payment of interest, conversion of local currency, obligations to pay payroll tax, withholding procedures and handling of Share issuances, which may vary according to local requirements.</w:t>
      </w:r>
    </w:p>
    <w:p>
      <w:pPr>
        <w:spacing w:after="0" w:line="134" w:lineRule="exact"/>
        <w:rPr>
          <w:sz w:val="20"/>
          <w:szCs w:val="20"/>
          <w:color w:val="auto"/>
        </w:rPr>
      </w:pPr>
    </w:p>
    <w:p>
      <w:pPr>
        <w:jc w:val="both"/>
        <w:ind w:left="740" w:right="40" w:hanging="732"/>
        <w:spacing w:after="0" w:line="280" w:lineRule="auto"/>
        <w:tabs>
          <w:tab w:leader="none" w:pos="740" w:val="left"/>
        </w:tabs>
        <w:numPr>
          <w:ilvl w:val="0"/>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Binding Authority</w:t>
      </w:r>
      <w:r>
        <w:rPr>
          <w:rFonts w:ascii="Times New Roman" w:cs="Times New Roman" w:eastAsia="Times New Roman" w:hAnsi="Times New Roman"/>
          <w:sz w:val="20"/>
          <w:szCs w:val="20"/>
          <w:color w:val="auto"/>
        </w:rPr>
        <w:t>. All determinations by the Administrator in carrying out and administering the Plan and in construing and interpreting the Plan and any enrollment form other instrument or agreement relating to the Plan shall be made in the Administrator's sole discretion and shall be final, binding and conclusive for all purposes and upon all interested persons.</w:t>
      </w:r>
    </w:p>
    <w:p>
      <w:pPr>
        <w:spacing w:after="0" w:line="85" w:lineRule="exact"/>
        <w:rPr>
          <w:rFonts w:ascii="Times New Roman" w:cs="Times New Roman" w:eastAsia="Times New Roman" w:hAnsi="Times New Roman"/>
          <w:sz w:val="20"/>
          <w:szCs w:val="20"/>
          <w:color w:val="auto"/>
        </w:rPr>
      </w:pPr>
    </w:p>
    <w:p>
      <w:pPr>
        <w:ind w:left="740" w:hanging="732"/>
        <w:spacing w:after="0" w:line="236" w:lineRule="auto"/>
        <w:tabs>
          <w:tab w:leader="none" w:pos="740" w:val="left"/>
        </w:tabs>
        <w:numPr>
          <w:ilvl w:val="0"/>
          <w:numId w:val="1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Delegation of Authority</w:t>
      </w:r>
      <w:r>
        <w:rPr>
          <w:rFonts w:ascii="Times New Roman" w:cs="Times New Roman" w:eastAsia="Times New Roman" w:hAnsi="Times New Roman"/>
          <w:sz w:val="22"/>
          <w:szCs w:val="22"/>
          <w:color w:val="auto"/>
        </w:rPr>
        <w:t xml:space="preserve">. To the extent not prohibited by Applicable Law, the Committee may, from time to time, delegate some or all of its authority under the Plan to a subcommittee or subcommittees of the Committee, to one or more of the other parties comprising the “Administrator” hereunder, or other persons or groups of persons as it deems necessary, appropriate or advisable under conditions or limitations that it may set at or after the time of the delegation. For purposes of the Plan, reference to the Administrator shall be deemed to refer to any subcommittee, subcommittees, or other persons or groups of persons to whom the Board delegates authority pursuant to this </w:t>
      </w:r>
      <w:r>
        <w:rPr>
          <w:rFonts w:ascii="Times New Roman" w:cs="Times New Roman" w:eastAsia="Times New Roman" w:hAnsi="Times New Roman"/>
          <w:sz w:val="22"/>
          <w:szCs w:val="22"/>
          <w:u w:val="single" w:color="auto"/>
          <w:color w:val="auto"/>
        </w:rPr>
        <w:t>Section 5(d)</w:t>
      </w:r>
      <w:r>
        <w:rPr>
          <w:rFonts w:ascii="Times New Roman" w:cs="Times New Roman" w:eastAsia="Times New Roman" w:hAnsi="Times New Roman"/>
          <w:sz w:val="22"/>
          <w:szCs w:val="22"/>
          <w:color w:val="auto"/>
        </w:rPr>
        <w:t>.</w:t>
      </w:r>
    </w:p>
    <w:p>
      <w:pPr>
        <w:spacing w:after="0" w:line="122"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Offering Periods</w:t>
      </w:r>
    </w:p>
    <w:p>
      <w:pPr>
        <w:spacing w:after="0" w:line="15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20"/>
          <w:szCs w:val="20"/>
          <w:color w:val="auto"/>
        </w:rPr>
        <w:t xml:space="preserve">The Plan shall be implemented by a series of Offering Periods of six (6) months' duration, with new Offering Periods commencing on the date determined by the Administrator. The Plan shall continue until terminated in accordance with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 xml:space="preserve"> hereof. Notwithstanding the foregoing, the Administrator may change the duration, frequency and/or commencement of any Offering Period, subject to the limitations under Section 423 of the Code for any Section 423 Offering and all Applicable Law.</w:t>
      </w:r>
    </w:p>
    <w:p>
      <w:pPr>
        <w:spacing w:after="0" w:line="90"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Eligibility</w:t>
      </w:r>
    </w:p>
    <w:p>
      <w:pPr>
        <w:spacing w:after="0" w:line="156" w:lineRule="exact"/>
        <w:rPr>
          <w:sz w:val="20"/>
          <w:szCs w:val="20"/>
          <w:color w:val="auto"/>
        </w:rPr>
      </w:pPr>
    </w:p>
    <w:p>
      <w:pPr>
        <w:ind w:left="740" w:right="180" w:hanging="732"/>
        <w:spacing w:after="0" w:line="235" w:lineRule="auto"/>
        <w:tabs>
          <w:tab w:leader="none" w:pos="740" w:val="left"/>
        </w:tabs>
        <w:numPr>
          <w:ilvl w:val="0"/>
          <w:numId w:val="1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Any individual who is an Eligible Employee as of the commencement of an Offering Period will be eligible to participate in the Plan, subject to the requirements of this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The Administrator, in its discretion, from time to time may, prior to an Offering Period for all Options to be granted in a Section 423 Offering, determine (on a uniform and nondiscriminatory basis) that the definition of Eligible Employee will or will not include an individual if they: (i) have not completed at least one (1) year of service since their last hire date (or such lesser period of time as may be determined by the Administrator in its discretion), (ii) customarily work not more than twenty (20) hours per week (or such lesser period of time as may be determined by the</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53" w:name="page154"/>
    <w:bookmarkEnd w:id="153"/>
    <w:p>
      <w:pPr>
        <w:ind w:left="740" w:right="160"/>
        <w:spacing w:after="0" w:line="235" w:lineRule="auto"/>
        <w:rPr>
          <w:sz w:val="20"/>
          <w:szCs w:val="20"/>
          <w:color w:val="auto"/>
        </w:rPr>
      </w:pPr>
      <w:r>
        <w:rPr>
          <w:rFonts w:ascii="Times New Roman" w:cs="Times New Roman" w:eastAsia="Times New Roman" w:hAnsi="Times New Roman"/>
          <w:sz w:val="22"/>
          <w:szCs w:val="22"/>
          <w:color w:val="auto"/>
        </w:rPr>
        <w:t>Administrator in its discretion), (iii) customarily work not more than five (5) months per calendar year (or such lesser period of time as may be determined by the Administrator in its discretion), (iv) are a highly compensated employee within the meaning of Section 414(q) of the Code, or (v) are a highly compensated employee within the meaning of Section 414(q) of the Code with compensation above a certain level or are an officer or subject to the disclosure requirements of Section 16(a) of the Act, provided the exclusion is applied with respect to each Offering in an identical manner to all highly compensated individuals of the Participating Company whose employees are participating in that Offering.</w:t>
      </w:r>
    </w:p>
    <w:p>
      <w:pPr>
        <w:spacing w:after="0" w:line="127" w:lineRule="exact"/>
        <w:rPr>
          <w:sz w:val="20"/>
          <w:szCs w:val="20"/>
          <w:color w:val="auto"/>
        </w:rPr>
      </w:pPr>
    </w:p>
    <w:p>
      <w:pPr>
        <w:ind w:left="740" w:right="60" w:hanging="732"/>
        <w:spacing w:after="0" w:line="234" w:lineRule="auto"/>
        <w:tabs>
          <w:tab w:leader="none" w:pos="740" w:val="left"/>
        </w:tabs>
        <w:numPr>
          <w:ilvl w:val="0"/>
          <w:numId w:val="1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Non-U.S. Employees</w:t>
      </w:r>
      <w:r>
        <w:rPr>
          <w:rFonts w:ascii="Times New Roman" w:cs="Times New Roman" w:eastAsia="Times New Roman" w:hAnsi="Times New Roman"/>
          <w:sz w:val="22"/>
          <w:szCs w:val="22"/>
          <w:color w:val="auto"/>
        </w:rPr>
        <w:t>. An Eligible Employee who works for a Participating Company and is a citizen or resident of a jurisdiction other than the United States (without regard to whether such individual also is a citizen or resident of the United States or is a resident alien (within the meaning of Section 7701(b)(1)(A) of the Code)) may be excluded from participation in the Plan or an Offering if the participation of such Eligible Employee is prohibited under the laws of the applicable jurisdiction or if complying with the laws of the applicable jurisdiction would cause the Plan or a Section 423 Offering to violate Section 423 of the Code. In the case of a Non-Section 423 Offering, an Eligible Employee (or group of Eligible Employees) may be excluded from participation in the Plan or an Offering if the Administrator has determined, in its sole discretion, that participation of such Eligible Employee(s) is not advisable or practicable for any reason.</w:t>
      </w:r>
    </w:p>
    <w:p>
      <w:pPr>
        <w:spacing w:after="0" w:line="126" w:lineRule="exact"/>
        <w:rPr>
          <w:rFonts w:ascii="Times New Roman" w:cs="Times New Roman" w:eastAsia="Times New Roman" w:hAnsi="Times New Roman"/>
          <w:sz w:val="22"/>
          <w:szCs w:val="22"/>
          <w:color w:val="auto"/>
        </w:rPr>
      </w:pPr>
    </w:p>
    <w:p>
      <w:pPr>
        <w:ind w:left="740" w:hanging="732"/>
        <w:spacing w:after="0" w:line="266" w:lineRule="auto"/>
        <w:tabs>
          <w:tab w:leader="none" w:pos="7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Limitations</w:t>
      </w:r>
      <w:r>
        <w:rPr>
          <w:rFonts w:ascii="Times New Roman" w:cs="Times New Roman" w:eastAsia="Times New Roman" w:hAnsi="Times New Roman"/>
          <w:sz w:val="20"/>
          <w:szCs w:val="20"/>
          <w:color w:val="auto"/>
        </w:rPr>
        <w:t>. Notwithstanding any provisions of the Plan to the contrary, no Eligible Employee shall be granted an Option under a Section 423 Offering to the extent that, immediately after the grant, such Eligible Employee (or any other person whose share would be attributed to such Eligible Employee pursuant to Section 424(d) of the Code) would own capital stock of the Company and/or hold outstanding options to purchase shares possessing five percent (5%) or more of the total combined voting power or value of all classes of shares of the Company or of any related company.</w:t>
      </w:r>
    </w:p>
    <w:p>
      <w:pPr>
        <w:spacing w:after="0" w:line="97" w:lineRule="exact"/>
        <w:rPr>
          <w:sz w:val="20"/>
          <w:szCs w:val="20"/>
          <w:color w:val="auto"/>
        </w:rPr>
      </w:pPr>
    </w:p>
    <w:p>
      <w:pPr>
        <w:ind w:left="520" w:hanging="512"/>
        <w:spacing w:after="0"/>
        <w:tabs>
          <w:tab w:leader="none" w:pos="520" w:val="left"/>
        </w:tabs>
        <w:numPr>
          <w:ilvl w:val="0"/>
          <w:numId w:val="1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Participation in the Plan</w:t>
      </w:r>
    </w:p>
    <w:p>
      <w:pPr>
        <w:spacing w:after="0" w:line="156"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 xml:space="preserve">The Administrator shall set forth procedures pursuant to which Participants may elect to participate in a given Offering Period under the Plan. An Eligible Employee may elect to participate in an Offering under the Plan during any Enrollment Period in accordance with </w:t>
      </w:r>
      <w:r>
        <w:rPr>
          <w:rFonts w:ascii="Times New Roman" w:cs="Times New Roman" w:eastAsia="Times New Roman" w:hAnsi="Times New Roman"/>
          <w:sz w:val="20"/>
          <w:szCs w:val="20"/>
          <w:u w:val="single" w:color="auto"/>
          <w:color w:val="auto"/>
        </w:rPr>
        <w:t>Section 11(a)</w:t>
      </w:r>
      <w:r>
        <w:rPr>
          <w:rFonts w:ascii="Times New Roman" w:cs="Times New Roman" w:eastAsia="Times New Roman" w:hAnsi="Times New Roman"/>
          <w:sz w:val="20"/>
          <w:szCs w:val="20"/>
          <w:color w:val="auto"/>
        </w:rPr>
        <w:t xml:space="preserve">. Once a Participant elects to participate in an Offering Period, such employee shall automatically participate in all subsequent Offering Periods at the same rate of Contributions as was in effect in the prior Offering Period unless the employee (a) makes a new election or (b) withdraws or is deemed to withdraw from an Offering Period or from the Plan pursuant to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of the Plan. A Participant who is automatically enrolled in a subsequent Offering Period pursuant to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is not required to file any additional documentation in order to continue participation in the Plan; provided, however, that participation in the subsequent Offering Period shall be governed by the terms and conditions of the Plan in effect at the beginning of such Offering Period, subject to the Participant’s right to withdraw from the Plan in accordance with </w:t>
      </w:r>
      <w:r>
        <w:rPr>
          <w:rFonts w:ascii="Times New Roman" w:cs="Times New Roman" w:eastAsia="Times New Roman" w:hAnsi="Times New Roman"/>
          <w:sz w:val="20"/>
          <w:szCs w:val="20"/>
          <w:u w:val="single" w:color="auto"/>
          <w:color w:val="auto"/>
        </w:rPr>
        <w:t>Section 13</w:t>
      </w:r>
      <w:r>
        <w:rPr>
          <w:rFonts w:ascii="Times New Roman" w:cs="Times New Roman" w:eastAsia="Times New Roman" w:hAnsi="Times New Roman"/>
          <w:sz w:val="20"/>
          <w:szCs w:val="20"/>
          <w:color w:val="auto"/>
        </w:rPr>
        <w:t xml:space="preserve"> of the Plan. The Administrator has the authority to change the rules set forth in this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regarding participation in the Plan.</w:t>
      </w:r>
    </w:p>
    <w:p>
      <w:pPr>
        <w:spacing w:after="0" w:line="103" w:lineRule="exact"/>
        <w:rPr>
          <w:sz w:val="20"/>
          <w:szCs w:val="20"/>
          <w:color w:val="auto"/>
        </w:rPr>
      </w:pPr>
    </w:p>
    <w:p>
      <w:pPr>
        <w:ind w:left="520" w:hanging="512"/>
        <w:spacing w:after="0"/>
        <w:tabs>
          <w:tab w:leader="none" w:pos="520" w:val="left"/>
        </w:tabs>
        <w:numPr>
          <w:ilvl w:val="0"/>
          <w:numId w:val="1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Grant of Option on Enrollment</w:t>
      </w:r>
    </w:p>
    <w:p>
      <w:pPr>
        <w:spacing w:after="0" w:line="156" w:lineRule="exact"/>
        <w:rPr>
          <w:sz w:val="20"/>
          <w:szCs w:val="20"/>
          <w:color w:val="auto"/>
        </w:rPr>
      </w:pPr>
    </w:p>
    <w:p>
      <w:pPr>
        <w:ind w:right="400"/>
        <w:spacing w:after="0" w:line="239" w:lineRule="auto"/>
        <w:rPr>
          <w:sz w:val="20"/>
          <w:szCs w:val="20"/>
          <w:color w:val="auto"/>
        </w:rPr>
      </w:pPr>
      <w:r>
        <w:rPr>
          <w:rFonts w:ascii="Times New Roman" w:cs="Times New Roman" w:eastAsia="Times New Roman" w:hAnsi="Times New Roman"/>
          <w:sz w:val="22"/>
          <w:szCs w:val="22"/>
          <w:color w:val="auto"/>
        </w:rPr>
        <w:t>Each Participant who elects to participate in a given Offering Period shall be granted (as of the Offering Date) an Option to purchase (as of the Purchase Date) a number of Shares equal to the lesser of (i) the Maximum Share Amount reduced by any purchases that have already been made under the Plan during the same calendar year in which the purchases for this Offering Period will be made or (ii) the number</w:t>
      </w:r>
    </w:p>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10" w:right="379" w:bottom="1440" w:gutter="0" w:footer="0" w:header="0"/>
        </w:sectPr>
      </w:pPr>
    </w:p>
    <w:bookmarkStart w:id="154" w:name="page155"/>
    <w:bookmarkEnd w:id="154"/>
    <w:p>
      <w:pPr>
        <w:ind w:right="360"/>
        <w:spacing w:after="0" w:line="258" w:lineRule="auto"/>
        <w:rPr>
          <w:sz w:val="20"/>
          <w:szCs w:val="20"/>
          <w:color w:val="auto"/>
        </w:rPr>
      </w:pPr>
      <w:r>
        <w:rPr>
          <w:rFonts w:ascii="Times New Roman" w:cs="Times New Roman" w:eastAsia="Times New Roman" w:hAnsi="Times New Roman"/>
          <w:sz w:val="22"/>
          <w:szCs w:val="22"/>
          <w:color w:val="auto"/>
        </w:rPr>
        <w:t>determined by dividing the amount accumulated in such employee's Contribution Account during such Offering Period by the Purchase Price.</w:t>
      </w:r>
    </w:p>
    <w:p>
      <w:pPr>
        <w:spacing w:after="0" w:line="99" w:lineRule="exact"/>
        <w:rPr>
          <w:sz w:val="20"/>
          <w:szCs w:val="20"/>
          <w:color w:val="auto"/>
        </w:rPr>
      </w:pPr>
    </w:p>
    <w:p>
      <w:pPr>
        <w:ind w:left="520" w:hanging="512"/>
        <w:spacing w:after="0"/>
        <w:tabs>
          <w:tab w:leader="none" w:pos="520" w:val="left"/>
        </w:tabs>
        <w:numPr>
          <w:ilvl w:val="0"/>
          <w:numId w:val="12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Purchase Price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Purchase Price at which a Share will be sold in a given Offering Period, as of the Purchase Date, shall be determined by the</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Administrator but shall not be less than eighty-five percent (85%) of the lesser of:</w:t>
      </w:r>
    </w:p>
    <w:p>
      <w:pPr>
        <w:spacing w:after="0" w:line="208" w:lineRule="exact"/>
        <w:rPr>
          <w:sz w:val="20"/>
          <w:szCs w:val="20"/>
          <w:color w:val="auto"/>
        </w:rPr>
      </w:pPr>
    </w:p>
    <w:p>
      <w:pPr>
        <w:ind w:left="300" w:hanging="292"/>
        <w:spacing w:after="0"/>
        <w:tabs>
          <w:tab w:leader="none" w:pos="30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 Share on the Offering Date; or</w:t>
      </w:r>
    </w:p>
    <w:p>
      <w:pPr>
        <w:spacing w:after="0" w:line="151" w:lineRule="exact"/>
        <w:rPr>
          <w:rFonts w:ascii="Times New Roman" w:cs="Times New Roman" w:eastAsia="Times New Roman" w:hAnsi="Times New Roman"/>
          <w:sz w:val="22"/>
          <w:szCs w:val="22"/>
          <w:color w:val="auto"/>
        </w:rPr>
      </w:pPr>
    </w:p>
    <w:p>
      <w:pPr>
        <w:ind w:left="320" w:hanging="312"/>
        <w:spacing w:after="0"/>
        <w:tabs>
          <w:tab w:leader="none" w:pos="320" w:val="left"/>
        </w:tabs>
        <w:numPr>
          <w:ilvl w:val="0"/>
          <w:numId w:val="1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Fair Market Value of a Share on the Purchase Date.</w:t>
      </w:r>
    </w:p>
    <w:p>
      <w:pPr>
        <w:spacing w:after="0" w:line="152" w:lineRule="exact"/>
        <w:rPr>
          <w:sz w:val="20"/>
          <w:szCs w:val="20"/>
          <w:color w:val="auto"/>
        </w:rPr>
      </w:pPr>
    </w:p>
    <w:p>
      <w:pPr>
        <w:ind w:right="20"/>
        <w:spacing w:after="0" w:line="234" w:lineRule="auto"/>
        <w:rPr>
          <w:sz w:val="20"/>
          <w:szCs w:val="20"/>
          <w:color w:val="auto"/>
        </w:rPr>
      </w:pPr>
      <w:r>
        <w:rPr>
          <w:rFonts w:ascii="Times New Roman" w:cs="Times New Roman" w:eastAsia="Times New Roman" w:hAnsi="Times New Roman"/>
          <w:sz w:val="22"/>
          <w:szCs w:val="22"/>
          <w:color w:val="auto"/>
        </w:rPr>
        <w:t>Unless otherwise determined by the Administrator prior to the commencement of an Offering Period, the Purchase Price shall be eighty-five percent (85%) of the Fair Market Value of the Shares on the Purchase Date. Provided, however, that in the event (i) of any increase in the number of Shares available for issuance under the Plan as a result of a shareholder-approved amendment to the Plan (the date on which such amendment is approved, the “Approval Date”), and (ii) all or a portion of such additional Shares are to be issued with respect to one or more Offering Periods that are underway at the time of such increase (“Additional Shares”) and (iii) the Fair Market Value of a Share on the date of such increase (the “Approval Date Fair Market Value”) is higher than the Fair Market Value on the Offering Date for any such Offering Period, then in such instance the Approval Date is deemed to be the Offering Date of a new Offering Period, and the Purchase Price with respect to the Additional Shares shall be determined by the Administrator but shall not be less than eighty-five percent (85%) of the Approval Date Fair Market Value or the Fair Market Value of a Share on the Purchase Date, whichever is lower.</w:t>
      </w:r>
    </w:p>
    <w:p>
      <w:pPr>
        <w:spacing w:after="0" w:line="118" w:lineRule="exact"/>
        <w:rPr>
          <w:sz w:val="20"/>
          <w:szCs w:val="20"/>
          <w:color w:val="auto"/>
        </w:rPr>
      </w:pPr>
    </w:p>
    <w:p>
      <w:pPr>
        <w:ind w:left="520" w:hanging="512"/>
        <w:spacing w:after="0"/>
        <w:tabs>
          <w:tab w:leader="none" w:pos="520" w:val="left"/>
        </w:tabs>
        <w:numPr>
          <w:ilvl w:val="0"/>
          <w:numId w:val="12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Payment of Purchase Price; Changes in Contributions; Issuance of Shares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Sections 12</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13</w:t>
      </w:r>
      <w:r>
        <w:rPr>
          <w:rFonts w:ascii="Times New Roman" w:cs="Times New Roman" w:eastAsia="Times New Roman" w:hAnsi="Times New Roman"/>
          <w:sz w:val="22"/>
          <w:szCs w:val="22"/>
          <w:color w:val="auto"/>
        </w:rPr>
        <w:t xml:space="preserve"> of the Plan:</w:t>
      </w:r>
    </w:p>
    <w:p>
      <w:pPr>
        <w:spacing w:after="0" w:line="152" w:lineRule="exact"/>
        <w:rPr>
          <w:sz w:val="20"/>
          <w:szCs w:val="20"/>
          <w:color w:val="auto"/>
        </w:rPr>
      </w:pPr>
    </w:p>
    <w:p>
      <w:pPr>
        <w:ind w:left="740" w:hanging="732"/>
        <w:spacing w:after="0" w:line="232" w:lineRule="auto"/>
        <w:tabs>
          <w:tab w:leader="none" w:pos="794"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election by an Eligible Employee to participate pursuant to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shall be made by completing the online enrollment process through the Company’s Plan Broker or, to the extent specified by the Administrator, by completing and submitting an enrollment form to the Administrator during such Enrollment Period, authorizing Contributions in one percent (1%) increments, from one percent (1%) to ten percent (10%), or such other maximum percentage not to exceed fifteen percent (15%) determined by the Administrator, of such Participant's Compensation, as elected by the Participant;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Participant shall be permitted to purchase Shares under a Section 423 Offering under this Plan (or under any other "employee stock purchase plan" within the meaning of Section 423(b) of the Code, of the Company or any of its Subsidiaries) with an aggregate Fair Market Value (as determined as of each Offering Date) in excess of U.S. $25,000.00 (or such lesser amount as determined by the Administrator in its sole discretion) for each calendar year in which such Option is outstanding. For a given Offering Period, Contributions shall commence on the first day of the Offering Period and shall end on the last day of the Offering Period, unless sooner altered or terminated as provided in the Plan; provided, however, that the Administrator shall determine (on a uniform and nondiscriminatory basis for Section 423 Offerings) whether amounts payable on a payroll date that coincides with a Purchase Date shall be allocated to the purchase of Shares on the next subsequent Purchase Date.</w:t>
      </w:r>
    </w:p>
    <w:p>
      <w:pPr>
        <w:spacing w:after="0" w:line="136" w:lineRule="exact"/>
        <w:rPr>
          <w:rFonts w:ascii="Times New Roman" w:cs="Times New Roman" w:eastAsia="Times New Roman" w:hAnsi="Times New Roman"/>
          <w:sz w:val="22"/>
          <w:szCs w:val="22"/>
          <w:color w:val="auto"/>
        </w:rPr>
      </w:pPr>
    </w:p>
    <w:p>
      <w:pPr>
        <w:ind w:left="740" w:right="320" w:hanging="732"/>
        <w:spacing w:after="0" w:line="244" w:lineRule="auto"/>
        <w:tabs>
          <w:tab w:leader="none" w:pos="740" w:val="left"/>
        </w:tabs>
        <w:numPr>
          <w:ilvl w:val="0"/>
          <w:numId w:val="1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not change the rate of Contributions once an Offering Period has commenced. Unless a Participant makes a new election to change the rate of Contributions prior to the commencement of an Offering Period, the Participant's most recent election will apply to such</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55" w:name="page156"/>
    <w:bookmarkEnd w:id="155"/>
    <w:p>
      <w:pPr>
        <w:ind w:left="732" w:right="20"/>
        <w:spacing w:after="0" w:line="264" w:lineRule="auto"/>
        <w:rPr>
          <w:sz w:val="20"/>
          <w:szCs w:val="20"/>
          <w:color w:val="auto"/>
        </w:rPr>
      </w:pPr>
      <w:r>
        <w:rPr>
          <w:rFonts w:ascii="Times New Roman" w:cs="Times New Roman" w:eastAsia="Times New Roman" w:hAnsi="Times New Roman"/>
          <w:sz w:val="20"/>
          <w:szCs w:val="20"/>
          <w:color w:val="auto"/>
        </w:rPr>
        <w:t>new Offering Period. Notwithstanding the foregoing, a Participant may elect to reduce the rate of Contributions to zero percent (0%) once an Offering Period has commenced. If a Participant reduces their rate of Contributions to zero percent (0%) once an Offering Period has commenced, the Contributions made by the Participant prior to such reduction will be applied to the purchase of Shares on the next Purchase Date, but if the Participant does not increase such rate of Contributions above zero percent (0%) prior to the commencement of the next subsequent Offering Period under the Plan, such action will be treated as the Participant’s withdrawal from the Plan in accordance with Section 13 hereof.</w:t>
      </w:r>
    </w:p>
    <w:p>
      <w:pPr>
        <w:spacing w:after="0" w:line="100" w:lineRule="exact"/>
        <w:rPr>
          <w:sz w:val="20"/>
          <w:szCs w:val="20"/>
          <w:color w:val="auto"/>
        </w:rPr>
      </w:pPr>
    </w:p>
    <w:p>
      <w:pPr>
        <w:ind w:left="732" w:right="80" w:hanging="732"/>
        <w:spacing w:after="0" w:line="234" w:lineRule="auto"/>
        <w:tabs>
          <w:tab w:leader="none" w:pos="7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Contributions made with respect to a Participant shall be credited to their Contribution Account under the Plan and shall be deposited with the general funds of the Company. Any administrative fee that may be assessed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above may be deducted from a Participant's Contribution Account. No interest shall accrue and be paid on the amounts credited to such Contribution Accounts, except as otherwise determined by the Administrator, in its sole discretion, or required by Applicable Law. All Contributions received or held by the Company may be used by the Company for any corporate purpose, and the Company shall not be obligated to segregate such Contributions unless required under Applicable Law. A Participant may not make any separate cash payment into their Contribution Account and payment for Shares purchased under the Plan may not be made in any form other than by payroll deduction except where required under Applicable Law and only under a Non-Section 423 Offering or except as otherwise determined by the Administrator.</w:t>
      </w:r>
    </w:p>
    <w:p>
      <w:pPr>
        <w:spacing w:after="0" w:line="122" w:lineRule="exact"/>
        <w:rPr>
          <w:rFonts w:ascii="Times New Roman" w:cs="Times New Roman" w:eastAsia="Times New Roman" w:hAnsi="Times New Roman"/>
          <w:sz w:val="22"/>
          <w:szCs w:val="22"/>
          <w:color w:val="auto"/>
        </w:rPr>
      </w:pPr>
    </w:p>
    <w:p>
      <w:pPr>
        <w:ind w:left="732" w:hanging="732"/>
        <w:spacing w:after="0" w:line="232" w:lineRule="auto"/>
        <w:tabs>
          <w:tab w:leader="none" w:pos="7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limitations set forth in </w:t>
      </w:r>
      <w:r>
        <w:rPr>
          <w:rFonts w:ascii="Times New Roman" w:cs="Times New Roman" w:eastAsia="Times New Roman" w:hAnsi="Times New Roman"/>
          <w:sz w:val="22"/>
          <w:szCs w:val="22"/>
          <w:u w:val="single" w:color="auto"/>
          <w:color w:val="auto"/>
        </w:rPr>
        <w:t>Sections 7(c)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11(a)</w:t>
      </w:r>
      <w:r>
        <w:rPr>
          <w:rFonts w:ascii="Times New Roman" w:cs="Times New Roman" w:eastAsia="Times New Roman" w:hAnsi="Times New Roman"/>
          <w:sz w:val="22"/>
          <w:szCs w:val="22"/>
          <w:color w:val="auto"/>
        </w:rPr>
        <w:t>, on each Purchase Date, the Company shall apply all funds then in the Participant's Contribution Account to purchase Shares (in whole and/or fractional Shares, as determined by the Administrator) pursuant to the Option granted on the Offering Date, provided that a Participant may not purchase in excess of the Maximum Share Amount. Any amount remaining in a Participant’s account that was not applied to the purchase of Shares on a Purchase Date because it was not sufficient to purchase a whole Share (to the extent fractional Shares are not authorized to be purchased pursuant to the terms of the Offering) shall be carried forward for the purchase of Shares on the following Purchase Date. However, any amounts not applied to the purchase of Shares during an Offering Period for any reason other than as described in the foregoing sentence shall not be carried forward to any subsequent Offering Period and shall instead be refunded, without interest, as soon as practicable following the Purchase Date, except as otherwise determined by the Administrator or required by Applicable Law. In the event that the number of Shares to be purchased by all Participants in one Offering Period exceeds the number of Shares then available for issuance under the Plan, (i) the Company shall make a pro rata allocation of the remaining Shares available for issuance under the Plan in as uniform a manner as shall be practicable and as the Administrator shall in its sole discretion determine to be equitable and (ii) all funds not used to purchase Shares on the Purchase Date shall be returned to the Participant.</w:t>
      </w:r>
    </w:p>
    <w:p>
      <w:pPr>
        <w:spacing w:after="0" w:line="134" w:lineRule="exact"/>
        <w:rPr>
          <w:rFonts w:ascii="Times New Roman" w:cs="Times New Roman" w:eastAsia="Times New Roman" w:hAnsi="Times New Roman"/>
          <w:sz w:val="22"/>
          <w:szCs w:val="22"/>
          <w:color w:val="auto"/>
        </w:rPr>
      </w:pPr>
    </w:p>
    <w:p>
      <w:pPr>
        <w:ind w:left="732" w:right="20" w:hanging="732"/>
        <w:spacing w:after="0" w:line="244" w:lineRule="auto"/>
        <w:tabs>
          <w:tab w:leader="none" w:pos="7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shall have no interest or voting right in the Shares covered by their Option until such Option is exercised. Upon exercise, the Shares received by a Participant under this Plan will carry the same voting rights as other outstanding shares of the same class.</w:t>
      </w:r>
    </w:p>
    <w:p>
      <w:pPr>
        <w:spacing w:after="0" w:line="118" w:lineRule="exact"/>
        <w:rPr>
          <w:rFonts w:ascii="Times New Roman" w:cs="Times New Roman" w:eastAsia="Times New Roman" w:hAnsi="Times New Roman"/>
          <w:sz w:val="22"/>
          <w:szCs w:val="22"/>
          <w:color w:val="auto"/>
        </w:rPr>
      </w:pPr>
    </w:p>
    <w:p>
      <w:pPr>
        <w:ind w:left="732" w:hanging="732"/>
        <w:spacing w:after="0" w:line="239" w:lineRule="auto"/>
        <w:tabs>
          <w:tab w:leader="none" w:pos="732" w:val="left"/>
        </w:tabs>
        <w:numPr>
          <w:ilvl w:val="0"/>
          <w:numId w:val="1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soon as practicable following the end of each Offering Period, the number of Shares purchased by each Participant shall be deposited into an account established in the Participant's name with the Plan Broker or in a Plan Share Account to be held by such Broker or in such Plan Share Account, as applicable. Unless otherwise permitted by the Administrator in its sole</w:t>
      </w:r>
    </w:p>
    <w:p>
      <w:pPr>
        <w:spacing w:after="0" w:line="130"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575945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10" w:right="399" w:bottom="1440" w:gutter="0" w:footer="0" w:header="0"/>
        </w:sectPr>
      </w:pPr>
    </w:p>
    <w:bookmarkStart w:id="156" w:name="page157"/>
    <w:bookmarkEnd w:id="156"/>
    <w:p>
      <w:pPr>
        <w:jc w:val="center"/>
        <w:ind w:right="60"/>
        <w:spacing w:after="0"/>
        <w:rPr>
          <w:sz w:val="20"/>
          <w:szCs w:val="20"/>
          <w:color w:val="auto"/>
        </w:rPr>
      </w:pPr>
      <w:r>
        <w:rPr>
          <w:rFonts w:ascii="Times New Roman" w:cs="Times New Roman" w:eastAsia="Times New Roman" w:hAnsi="Times New Roman"/>
          <w:sz w:val="22"/>
          <w:szCs w:val="22"/>
          <w:color w:val="auto"/>
        </w:rPr>
        <w:t>discretion, dividends that are declared on the Shares held in such account shall be paid in cash to the Participant.</w:t>
      </w:r>
    </w:p>
    <w:p>
      <w:pPr>
        <w:spacing w:after="0" w:line="148"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Brokerage Account or Plan Share Accounts</w:t>
      </w:r>
    </w:p>
    <w:p>
      <w:pPr>
        <w:spacing w:after="0" w:line="156"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22"/>
          <w:szCs w:val="22"/>
          <w:color w:val="auto"/>
        </w:rPr>
        <w:t>By enrolling in the Plan, each Participant shall be deemed to have authorized the establishment of a brokerage account on their behalf of a Plan Broker selected by the Administrator. Alternatively, the Administrator may provide for Plan Share Accounts for each Participant. Shares purchased by a Participant pursuant to the Plan shall be held in the Participant’s brokerage or Plan Share Account. The Company may require that Shares be retained in the Plan Broker account or Plan Share Account for a designated period of time, and/or may establish procedures to permit tracking of dispositions of Shares.</w:t>
      </w:r>
    </w:p>
    <w:p>
      <w:pPr>
        <w:spacing w:after="0" w:line="122" w:lineRule="exact"/>
        <w:rPr>
          <w:sz w:val="20"/>
          <w:szCs w:val="20"/>
          <w:color w:val="auto"/>
        </w:rPr>
      </w:pPr>
    </w:p>
    <w:p>
      <w:pPr>
        <w:ind w:left="520" w:hanging="512"/>
        <w:spacing w:after="0"/>
        <w:tabs>
          <w:tab w:leader="none" w:pos="520" w:val="left"/>
        </w:tabs>
        <w:numPr>
          <w:ilvl w:val="0"/>
          <w:numId w:val="1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Withdrawal</w:t>
      </w:r>
    </w:p>
    <w:p>
      <w:pPr>
        <w:spacing w:after="0" w:line="156" w:lineRule="exact"/>
        <w:rPr>
          <w:sz w:val="20"/>
          <w:szCs w:val="20"/>
          <w:color w:val="auto"/>
        </w:rPr>
      </w:pPr>
    </w:p>
    <w:p>
      <w:pPr>
        <w:ind w:right="60"/>
        <w:spacing w:after="0" w:line="235" w:lineRule="auto"/>
        <w:rPr>
          <w:sz w:val="20"/>
          <w:szCs w:val="20"/>
          <w:color w:val="auto"/>
        </w:rPr>
      </w:pPr>
      <w:r>
        <w:rPr>
          <w:rFonts w:ascii="Times New Roman" w:cs="Times New Roman" w:eastAsia="Times New Roman" w:hAnsi="Times New Roman"/>
          <w:sz w:val="22"/>
          <w:szCs w:val="22"/>
          <w:color w:val="auto"/>
        </w:rPr>
        <w:t>Each Participant may withdraw from an Offering Period or from the Plan under such terms and conditions as are established by the Administrator in its sole discretion. Upon a Participant's withdrawal from an Offering Period or from the Plan, all accumulated Contributions in the Contribution Account shall be returned, without interest, except as otherwise determined by the Administrator, in its sole discretion, or required by Applicable Law, and they shall not be entitled to any Shares on the Purchase Date or thereafter with respect to the Offering Period in effect at the time of such withdrawal. Such Participant shall be permitted to participate in subsequent Offering Periods by enrolling for a subsequent Offering Period or pursuant to such terms and conditions established by the Administrator in its sole discretion.</w:t>
      </w:r>
    </w:p>
    <w:p>
      <w:pPr>
        <w:spacing w:after="0" w:line="123" w:lineRule="exact"/>
        <w:rPr>
          <w:sz w:val="20"/>
          <w:szCs w:val="20"/>
          <w:color w:val="auto"/>
        </w:rPr>
      </w:pPr>
    </w:p>
    <w:p>
      <w:pPr>
        <w:ind w:left="520" w:hanging="512"/>
        <w:spacing w:after="0"/>
        <w:tabs>
          <w:tab w:leader="none" w:pos="520" w:val="left"/>
        </w:tabs>
        <w:numPr>
          <w:ilvl w:val="0"/>
          <w:numId w:val="1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Termination of Employment; Leave of Absence</w:t>
      </w:r>
    </w:p>
    <w:p>
      <w:pPr>
        <w:spacing w:after="0" w:line="156" w:lineRule="exact"/>
        <w:rPr>
          <w:sz w:val="20"/>
          <w:szCs w:val="20"/>
          <w:color w:val="auto"/>
        </w:rPr>
      </w:pPr>
    </w:p>
    <w:p>
      <w:pPr>
        <w:ind w:left="740" w:right="40" w:hanging="732"/>
        <w:spacing w:after="0" w:line="271" w:lineRule="auto"/>
        <w:tabs>
          <w:tab w:leader="none" w:pos="7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Generally</w:t>
      </w:r>
      <w:r>
        <w:rPr>
          <w:rFonts w:ascii="Times New Roman" w:cs="Times New Roman" w:eastAsia="Times New Roman" w:hAnsi="Times New Roman"/>
          <w:sz w:val="20"/>
          <w:szCs w:val="20"/>
          <w:color w:val="auto"/>
        </w:rPr>
        <w:t>. A Participant whose employment is terminated for any reason shall cease to participate in the Plan upon their termination of employment. Upon such termination all Contributions credited to the Participant's Contribution Account shall be returned, without interest, except as otherwise determined by the Administrator, in its sole discretion, or required by Applicable Law, and such Participant shall have no future rights in any unexercised Options under the Plan.</w:t>
      </w:r>
    </w:p>
    <w:p>
      <w:pPr>
        <w:spacing w:after="0" w:line="93" w:lineRule="exact"/>
        <w:rPr>
          <w:rFonts w:ascii="Times New Roman" w:cs="Times New Roman" w:eastAsia="Times New Roman" w:hAnsi="Times New Roman"/>
          <w:sz w:val="20"/>
          <w:szCs w:val="20"/>
          <w:color w:val="auto"/>
        </w:rPr>
      </w:pPr>
    </w:p>
    <w:p>
      <w:pPr>
        <w:ind w:left="740" w:right="20" w:hanging="732"/>
        <w:spacing w:after="0" w:line="255" w:lineRule="auto"/>
        <w:tabs>
          <w:tab w:leader="none" w:pos="740" w:val="left"/>
        </w:tabs>
        <w:numPr>
          <w:ilvl w:val="0"/>
          <w:numId w:val="1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Leave of Absence</w:t>
      </w:r>
      <w:r>
        <w:rPr>
          <w:rFonts w:ascii="Times New Roman" w:cs="Times New Roman" w:eastAsia="Times New Roman" w:hAnsi="Times New Roman"/>
          <w:sz w:val="20"/>
          <w:szCs w:val="20"/>
          <w:color w:val="auto"/>
        </w:rPr>
        <w:t>. Subject to the discretion of the Administrator, if a Participant is granted a paid leave of absence, payroll deductions on behalf of the Participant shall continue and any Contributions credited to the Participant’s account may be used to purchase Shares as provided under the Plan. If a Participant is granted an unpaid leave of absence, payroll deductions on behalf of the Participant shall be discontinued and no other Contributions shall be permitted (unless otherwise determined by the Administrator (on a uniform and nondiscriminatory basis for Section 423 Offerings) or required by Applicable Law), but any Contributions then credited to the Participant’s account may be used to purchase Shares on the next applicable Purchase Date. Where the period of leave exceeds three (3) months and the Participant’s right to reemployment is not guaranteed by statute or by contract, for purposes of Section 423 Offerings and Non-Section 423 Offerings (unless otherwise determined by the Administrator prior to the commencement of an Offering Period of a Non-Section 423 Offering), the employment relationship shall be deemed to have terminated three (3) months and one</w:t>
      </w:r>
    </w:p>
    <w:p>
      <w:pPr>
        <w:spacing w:after="0" w:line="7" w:lineRule="exact"/>
        <w:rPr>
          <w:rFonts w:ascii="Times New Roman" w:cs="Times New Roman" w:eastAsia="Times New Roman" w:hAnsi="Times New Roman"/>
          <w:sz w:val="20"/>
          <w:szCs w:val="20"/>
          <w:color w:val="auto"/>
        </w:rPr>
      </w:pPr>
    </w:p>
    <w:p>
      <w:pPr>
        <w:ind w:left="7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(1) day following the commencement of such leave.</w:t>
      </w:r>
    </w:p>
    <w:p>
      <w:pPr>
        <w:spacing w:after="0" w:line="127" w:lineRule="exact"/>
        <w:rPr>
          <w:rFonts w:ascii="Times New Roman" w:cs="Times New Roman" w:eastAsia="Times New Roman" w:hAnsi="Times New Roman"/>
          <w:sz w:val="20"/>
          <w:szCs w:val="20"/>
          <w:color w:val="auto"/>
        </w:rPr>
      </w:pPr>
    </w:p>
    <w:p>
      <w:pPr>
        <w:ind w:left="740" w:hanging="732"/>
        <w:spacing w:after="0" w:line="239" w:lineRule="auto"/>
        <w:tabs>
          <w:tab w:leader="none" w:pos="740"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Transfer of Employment</w:t>
      </w:r>
      <w:r>
        <w:rPr>
          <w:rFonts w:ascii="Times New Roman" w:cs="Times New Roman" w:eastAsia="Times New Roman" w:hAnsi="Times New Roman"/>
          <w:sz w:val="22"/>
          <w:szCs w:val="22"/>
          <w:color w:val="auto"/>
        </w:rPr>
        <w:t>. A Participant whose employment transfers or whose employment terminates with an immediate rehire (with no break in service) by or between the Company or a Participating Company will not be treated as having terminated employment for purposes of participating in the Plan or an Offering; however, if a Participant transfers from a Section 423</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57" w:name="page158"/>
    <w:bookmarkEnd w:id="157"/>
    <w:p>
      <w:pPr>
        <w:ind w:left="740"/>
        <w:spacing w:after="0" w:line="237" w:lineRule="auto"/>
        <w:rPr>
          <w:sz w:val="20"/>
          <w:szCs w:val="20"/>
          <w:color w:val="auto"/>
        </w:rPr>
      </w:pPr>
      <w:r>
        <w:rPr>
          <w:rFonts w:ascii="Times New Roman" w:cs="Times New Roman" w:eastAsia="Times New Roman" w:hAnsi="Times New Roman"/>
          <w:sz w:val="22"/>
          <w:szCs w:val="22"/>
          <w:color w:val="auto"/>
        </w:rPr>
        <w:t>Offering to a Non-Section 423 Offering, the exercise of the right will be qualified under the Section 423 Offering only to the extent that such exercise complies with Section 423 of the Code. If a Participant transfers from a Non-Section 423 Offering to a Section 423 Offering, the exercise of the right will remain non-qualified under the Non-Section 423 Offering. The Administrator may establish additional or different rules to govern transfers of employment for purposes of participation in the Plan or an Offering, consistent with the applicable requirements of Section 423 of the Code.</w:t>
      </w:r>
    </w:p>
    <w:p>
      <w:pPr>
        <w:spacing w:after="0" w:line="122" w:lineRule="exact"/>
        <w:rPr>
          <w:sz w:val="20"/>
          <w:szCs w:val="20"/>
          <w:color w:val="auto"/>
        </w:rPr>
      </w:pPr>
    </w:p>
    <w:p>
      <w:pPr>
        <w:ind w:left="520" w:hanging="512"/>
        <w:spacing w:after="0"/>
        <w:tabs>
          <w:tab w:leader="none" w:pos="520" w:val="left"/>
        </w:tabs>
        <w:numPr>
          <w:ilvl w:val="0"/>
          <w:numId w:val="1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Adjustments upon Certain Events</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Notwithstanding any other provisions in the Plan to the contrary, the following provisions shall apply to all Options granted under the Plan:</w:t>
      </w:r>
    </w:p>
    <w:p>
      <w:pPr>
        <w:spacing w:after="0" w:line="103" w:lineRule="exact"/>
        <w:rPr>
          <w:sz w:val="20"/>
          <w:szCs w:val="20"/>
          <w:color w:val="auto"/>
        </w:rPr>
      </w:pPr>
    </w:p>
    <w:p>
      <w:pPr>
        <w:ind w:left="740" w:right="60" w:hanging="732"/>
        <w:spacing w:after="0" w:line="234" w:lineRule="auto"/>
        <w:tabs>
          <w:tab w:leader="none" w:pos="7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Generally</w:t>
      </w:r>
      <w:r>
        <w:rPr>
          <w:rFonts w:ascii="Times New Roman" w:cs="Times New Roman" w:eastAsia="Times New Roman" w:hAnsi="Times New Roman"/>
          <w:sz w:val="22"/>
          <w:szCs w:val="22"/>
          <w:color w:val="auto"/>
        </w:rPr>
        <w:t>. In the event of any increase, decrease or change in the number or characteristic of outstanding Shares effected without receipt of consideration by the Company or by reason of any Share dividend, split, reverse share split, reorganization, recapitalization, merger, consolidation, spin-off, combination or exchange of Shares or other corporate exchange, or any distribution to shareholders of Shares other than regular cash dividends, the Administrator without liability to any person will make such substitution or adjustment, as it deems to be equitable, as to (i) the number or kind of Shares or other securities issued or reserved for issuance pursuant to the Plan, (ii) the Purchase Price and/or (iii) any other affected terms of such Options. An adjustment under this provision may have the effect of reducing the price at which Shares may be acquired to less than their nominal value (the "Shortfall"), but only if and to the extent that the Administrator shall be authorized to capitalize from the reserves of the Company a sum equal to the Shortfall and to apply that sum in paying up that amount on the Shares.</w:t>
      </w:r>
    </w:p>
    <w:p>
      <w:pPr>
        <w:spacing w:after="0" w:line="122" w:lineRule="exact"/>
        <w:rPr>
          <w:rFonts w:ascii="Times New Roman" w:cs="Times New Roman" w:eastAsia="Times New Roman" w:hAnsi="Times New Roman"/>
          <w:sz w:val="22"/>
          <w:szCs w:val="22"/>
          <w:color w:val="auto"/>
        </w:rPr>
      </w:pPr>
    </w:p>
    <w:p>
      <w:pPr>
        <w:ind w:left="740" w:right="40" w:hanging="732"/>
        <w:spacing w:after="0" w:line="232" w:lineRule="auto"/>
        <w:tabs>
          <w:tab w:leader="none" w:pos="740"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In the event that the successor corporation in a Change in Control refuses to assume or substitute for the right to purchase Shares pursuant to the Option granted on the Offering Date, or the successor corporation is not a publicly traded corporation, the Offering Period then in progress will be shortened by setting a new Purchase Date and will end on the new Purchase Date. The new Purchase Date will be before the date of the Company’s proposed Change in Control. The Administrator will notify each Participant in writing, at least ten (10) trading days prior to the new Purchase Date (or such other date as may be specified by the Administrator), that the Purchase Date for the Participant's exercise of Options to purchase Shares has been changed to the new Purchase Date and that Shares will be purchased automatically for the Participant on the new Purchase Date, unless the Participant has withdrawn from the Offering Period prior to such date, as provided in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xml:space="preserve"> hereof. Any amount remaining in a Participant’s account that was not applied to the purchase of Shares on the new Purchase Date because it was not sufficient to purchase a whole Share (to the extent fractional Shares are not authorized to be purchased pursuant to the terms of the Offering) shall be refunded, without interest, as soon as practicable following the new Purchase Date, except as otherwise determined by the Administrator or required by Applicable Law. Notwithstanding the foregoing, in the event of a Change in Control, the Administrator in its sole discretion and without liability to any person may take such actions, if any, as it deems necessary or desirable with respect to any Option or Offering Period as of the date of the consummation of the Change in Control.</w:t>
      </w:r>
    </w:p>
    <w:p>
      <w:pPr>
        <w:spacing w:after="0" w:line="129"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Nontransferability</w:t>
      </w:r>
    </w:p>
    <w:p>
      <w:pPr>
        <w:spacing w:after="0" w:line="1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22"/>
          <w:szCs w:val="22"/>
          <w:color w:val="auto"/>
        </w:rPr>
        <w:t>No Options granted under the Plan shall be transferred, assigned, pledged or otherwise disposed of in any way by the Participant otherwise than by will or by the laws of descent and distribution. Any such</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0" w:right="339" w:bottom="1440" w:gutter="0" w:footer="0" w:header="0"/>
        </w:sectPr>
      </w:pPr>
    </w:p>
    <w:bookmarkStart w:id="158" w:name="page159"/>
    <w:bookmarkEnd w:id="158"/>
    <w:p>
      <w:pPr>
        <w:ind w:right="140"/>
        <w:spacing w:after="0" w:line="244" w:lineRule="auto"/>
        <w:rPr>
          <w:sz w:val="20"/>
          <w:szCs w:val="20"/>
          <w:color w:val="auto"/>
        </w:rPr>
      </w:pPr>
      <w:r>
        <w:rPr>
          <w:rFonts w:ascii="Times New Roman" w:cs="Times New Roman" w:eastAsia="Times New Roman" w:hAnsi="Times New Roman"/>
          <w:sz w:val="22"/>
          <w:szCs w:val="22"/>
          <w:color w:val="auto"/>
        </w:rPr>
        <w:t xml:space="preserve">attempted transfer, assignment, pledge or other disposition shall be of no force or effect, except that the Administrator may treat such act as an election to withdraw from the Offering Period in accordance with </w:t>
      </w:r>
      <w:r>
        <w:rPr>
          <w:rFonts w:ascii="Times New Roman" w:cs="Times New Roman" w:eastAsia="Times New Roman" w:hAnsi="Times New Roman"/>
          <w:sz w:val="22"/>
          <w:szCs w:val="22"/>
          <w:u w:val="single" w:color="auto"/>
          <w:color w:val="auto"/>
        </w:rPr>
        <w:t>Section 13</w:t>
      </w:r>
      <w:r>
        <w:rPr>
          <w:rFonts w:ascii="Times New Roman" w:cs="Times New Roman" w:eastAsia="Times New Roman" w:hAnsi="Times New Roman"/>
          <w:sz w:val="22"/>
          <w:szCs w:val="22"/>
          <w:color w:val="auto"/>
        </w:rPr>
        <w:t>. During the Participant's lifetime Options shall be exercisable only by the Participant.</w:t>
      </w:r>
    </w:p>
    <w:p>
      <w:pPr>
        <w:spacing w:after="0" w:line="114"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Rights as a Shareholder</w:t>
      </w:r>
    </w:p>
    <w:p>
      <w:pPr>
        <w:spacing w:after="0" w:line="156"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A Participant shall have no rights as a shareholder with respect to Shares subject to any rights granted under this Plan or any Shares deliverable under this Plan unless and until recorded in the books of the brokerage firm selected by the Administrator or, as applicable, the Company, its transfer agent, stock plan administrator or such other outside entity which is not a brokerage firm.</w:t>
      </w:r>
    </w:p>
    <w:p>
      <w:pPr>
        <w:spacing w:after="0" w:line="81" w:lineRule="exact"/>
        <w:rPr>
          <w:sz w:val="20"/>
          <w:szCs w:val="20"/>
          <w:color w:val="auto"/>
        </w:rPr>
      </w:pPr>
    </w:p>
    <w:p>
      <w:pPr>
        <w:ind w:left="520" w:hanging="512"/>
        <w:spacing w:after="0"/>
        <w:tabs>
          <w:tab w:leader="none" w:pos="520" w:val="left"/>
        </w:tabs>
        <w:numPr>
          <w:ilvl w:val="0"/>
          <w:numId w:val="1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 Right to Employment</w:t>
      </w:r>
    </w:p>
    <w:p>
      <w:pPr>
        <w:spacing w:after="0" w:line="156"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The granting of an Option under the Plan shall impose no obligation on the Company or a Participating Company to continue the employment of a Participant and shall not lessen or affect the Participating Company's right to terminate the employment of such Participant.</w:t>
      </w:r>
    </w:p>
    <w:p>
      <w:pPr>
        <w:spacing w:after="0" w:line="114" w:lineRule="exact"/>
        <w:rPr>
          <w:sz w:val="20"/>
          <w:szCs w:val="20"/>
          <w:color w:val="auto"/>
        </w:rPr>
      </w:pPr>
    </w:p>
    <w:p>
      <w:pPr>
        <w:ind w:left="520" w:hanging="512"/>
        <w:spacing w:after="0"/>
        <w:tabs>
          <w:tab w:leader="none" w:pos="520" w:val="left"/>
        </w:tabs>
        <w:numPr>
          <w:ilvl w:val="0"/>
          <w:numId w:val="1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Conditions Upon Issuance of Shares</w:t>
      </w:r>
    </w:p>
    <w:p>
      <w:pPr>
        <w:spacing w:after="0" w:line="1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Notwithstanding any other provision of the Plan, unless there is an available exemption from any registration, qualification or other legal requirement applicable to the Shares, the Company shall not be required to deliver any Shares issuable upon exercise of a right under the Plan prior to the completion of any registration or qualification of the Shares under any local, state, federal or foreign securities or exchange control law or under rulings or regulations of any governmental regulatory body, or prior to obtaining any approval or other clearance from any local, state, federal or foreign governmental agency, which registration, qualification or approval the Administrator shall, in its absolute discretion, deem necessary or advisable. The Company is under no obligation to register or qualify the Shares with any state or foreign securities commission, or to seek approval or clearance from any governmental authority for the issuance or sale of the Shares. If, pursuant to this </w:t>
      </w:r>
      <w:r>
        <w:rPr>
          <w:rFonts w:ascii="Times New Roman" w:cs="Times New Roman" w:eastAsia="Times New Roman" w:hAnsi="Times New Roman"/>
          <w:sz w:val="20"/>
          <w:szCs w:val="20"/>
          <w:u w:val="single" w:color="auto"/>
          <w:color w:val="auto"/>
        </w:rPr>
        <w:t>Section 19</w:t>
      </w:r>
      <w:r>
        <w:rPr>
          <w:rFonts w:ascii="Times New Roman" w:cs="Times New Roman" w:eastAsia="Times New Roman" w:hAnsi="Times New Roman"/>
          <w:sz w:val="20"/>
          <w:szCs w:val="20"/>
          <w:color w:val="auto"/>
        </w:rPr>
        <w:t>, the Administrator determines that the Shares will not be issued to any Participant, any Contributions credited to such Participant's account shall be promptly refunded, without interest (except as otherwise determined by the Administrator, in its sole discretion, or required by Applicable Law), to the Participant, without any liability to the Company or any of its Affiliates or Subsidiaries.</w:t>
      </w:r>
    </w:p>
    <w:p>
      <w:pPr>
        <w:spacing w:after="0" w:line="108" w:lineRule="exact"/>
        <w:rPr>
          <w:sz w:val="20"/>
          <w:szCs w:val="20"/>
          <w:color w:val="auto"/>
        </w:rPr>
      </w:pPr>
    </w:p>
    <w:p>
      <w:pPr>
        <w:ind w:left="520" w:hanging="512"/>
        <w:spacing w:after="0"/>
        <w:tabs>
          <w:tab w:leader="none" w:pos="520" w:val="left"/>
        </w:tabs>
        <w:numPr>
          <w:ilvl w:val="0"/>
          <w:numId w:val="1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Code Section 409A; Tax Qualification</w:t>
      </w:r>
    </w:p>
    <w:p>
      <w:pPr>
        <w:spacing w:after="0" w:line="156" w:lineRule="exact"/>
        <w:rPr>
          <w:sz w:val="20"/>
          <w:szCs w:val="20"/>
          <w:color w:val="auto"/>
        </w:rPr>
      </w:pPr>
    </w:p>
    <w:p>
      <w:pPr>
        <w:ind w:left="740" w:right="60" w:hanging="732"/>
        <w:spacing w:after="0" w:line="233" w:lineRule="auto"/>
        <w:tabs>
          <w:tab w:leader="none" w:pos="740"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Code Section 409A</w:t>
      </w:r>
      <w:r>
        <w:rPr>
          <w:rFonts w:ascii="Times New Roman" w:cs="Times New Roman" w:eastAsia="Times New Roman" w:hAnsi="Times New Roman"/>
          <w:sz w:val="22"/>
          <w:szCs w:val="22"/>
          <w:color w:val="auto"/>
        </w:rPr>
        <w:t>. Rights to purchase shares granted under a Section 423 Offering are exempt from the application of Section 409A of the Code. In furtherance of the foregoing and notwithstanding any provision in the Plan to the contrary, if the Administrator determines that an Option may be subject to Section 409A of the Code or that any provision in the Plan would cause a right under the Plan to be subject to Section 409A of the Code, the Administrator may amend the terms of the Plan and/or of an outstanding Option or right granted under the Plan, or take such other action the Administrator determines is necessary or appropriate, in each case, without the Participant's consent, to exempt any outstanding Option, right or future right that may be granted under the Plan from or to allow any such rights to comply with Section 409A of the Code, but only to the extent any such amendments or action by the Administrator would not violate Section 409A of the Code. Notwithstanding the foregoing, the Company will have no liability to a Participant or any other party if an Option that is intended to be exempt from or compliant with Section 409A of the Code is not so exempt or compliant or for any action taken by the Administrator with respect thereto. The Company makes no representation that an Option is compliant with Section 409A of the Code.</w:t>
      </w:r>
    </w:p>
    <w:p>
      <w:pPr>
        <w:spacing w:after="0" w:line="1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0" w:right="399" w:bottom="1440" w:gutter="0" w:footer="0" w:header="0"/>
        </w:sectPr>
      </w:pPr>
    </w:p>
    <w:bookmarkStart w:id="159" w:name="page160"/>
    <w:bookmarkEnd w:id="159"/>
    <w:p>
      <w:pPr>
        <w:ind w:left="740" w:right="60" w:hanging="732"/>
        <w:spacing w:after="0" w:line="236" w:lineRule="auto"/>
        <w:tabs>
          <w:tab w:leader="none" w:pos="740"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Tax Qualification</w:t>
      </w:r>
      <w:r>
        <w:rPr>
          <w:rFonts w:ascii="Times New Roman" w:cs="Times New Roman" w:eastAsia="Times New Roman" w:hAnsi="Times New Roman"/>
          <w:sz w:val="22"/>
          <w:szCs w:val="22"/>
          <w:color w:val="auto"/>
        </w:rPr>
        <w:t xml:space="preserve">. Although the Company may endeavor to (i) qualify an Option for favorable tax treatment under the laws of the United States or jurisdictions outside of the United States or (ii) avoid adverse tax treatment (e.g., under Section 409A of the Code), the Company makes no representation to that effect and expressly disavows any covenant to maintain favorable or avoid unfavorable tax treatment, notwithstanding anything to the contrary in this Plan, including </w:t>
      </w:r>
      <w:r>
        <w:rPr>
          <w:rFonts w:ascii="Times New Roman" w:cs="Times New Roman" w:eastAsia="Times New Roman" w:hAnsi="Times New Roman"/>
          <w:sz w:val="22"/>
          <w:szCs w:val="22"/>
          <w:u w:val="single" w:color="auto"/>
          <w:color w:val="auto"/>
        </w:rPr>
        <w:t>Section 20(a)</w:t>
      </w:r>
      <w:r>
        <w:rPr>
          <w:rFonts w:ascii="Times New Roman" w:cs="Times New Roman" w:eastAsia="Times New Roman" w:hAnsi="Times New Roman"/>
          <w:sz w:val="22"/>
          <w:szCs w:val="22"/>
          <w:color w:val="auto"/>
        </w:rPr>
        <w:t xml:space="preserve"> hereof. The Company shall be unconstrained in its corporate activities without regard to the potential negative tax impact on Participants under the Plan.</w:t>
      </w:r>
    </w:p>
    <w:p>
      <w:pPr>
        <w:spacing w:after="0" w:line="122" w:lineRule="exact"/>
        <w:rPr>
          <w:sz w:val="20"/>
          <w:szCs w:val="20"/>
          <w:color w:val="auto"/>
        </w:rPr>
      </w:pPr>
    </w:p>
    <w:p>
      <w:pPr>
        <w:ind w:left="520" w:hanging="512"/>
        <w:spacing w:after="0"/>
        <w:tabs>
          <w:tab w:leader="none" w:pos="520" w:val="left"/>
        </w:tabs>
        <w:numPr>
          <w:ilvl w:val="0"/>
          <w:numId w:val="1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Taxes</w:t>
      </w:r>
    </w:p>
    <w:p>
      <w:pPr>
        <w:spacing w:after="0" w:line="15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color w:val="auto"/>
        </w:rPr>
        <w:t>At the time a Participant's Option is exercised, in whole or in part, or at the time a Participant disposes of some or all of the Shares acquired under the Plan, or at the time of any other taxable event, the Participant shall make adequate provision for any Tax-Related Items. In their sole discretion, the Company or the Participating Company that employs the Participant may satisfy its obligation to withhold Tax-Related Items by (a) withholding from the Participant's wages or other compensation, (b) withholding a number of Shares otherwise issuable in connection with the purchase of Shares under the Plan, (c) withholding from proceeds from the sale of Shares issued upon purchase, either through a voluntary sale or a mandatory sale arranged by the Company, (d) requiring the Participant to make a cash payment (by check or wire transfer) to the Company or another Participating Company equal to the amount of the Tax-Related Items, or (e) any other method determined by the Company that is permissible under Applicable Law.</w:t>
      </w:r>
    </w:p>
    <w:p>
      <w:pPr>
        <w:spacing w:after="0" w:line="122"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Effectiveness of Plan; Amendment or Termination of the Plan</w:t>
      </w:r>
    </w:p>
    <w:p>
      <w:pPr>
        <w:spacing w:after="0" w:line="156"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 xml:space="preserve">The Plan became effective on February 3, 2010. The Plan shall continue until the earliest to occur of the following: (a) termination of the Plan by the Board, (b) issuance of all of the Shares reserved for issuance under the Plan, or (c) June 10, 2026. The Board may amend, alter or terminate the Plan, but no amendment, alteration or termination shall be made which, (a) without the approval of the shareholders of the Company, would (except as is provided in </w:t>
      </w:r>
      <w:r>
        <w:rPr>
          <w:rFonts w:ascii="Times New Roman" w:cs="Times New Roman" w:eastAsia="Times New Roman" w:hAnsi="Times New Roman"/>
          <w:sz w:val="22"/>
          <w:szCs w:val="22"/>
          <w:u w:val="single" w:color="auto"/>
          <w:color w:val="auto"/>
        </w:rPr>
        <w:t>Section 15</w:t>
      </w:r>
      <w:r>
        <w:rPr>
          <w:rFonts w:ascii="Times New Roman" w:cs="Times New Roman" w:eastAsia="Times New Roman" w:hAnsi="Times New Roman"/>
          <w:sz w:val="22"/>
          <w:szCs w:val="22"/>
          <w:color w:val="auto"/>
        </w:rPr>
        <w:t xml:space="preserve"> of the Plan), increase the total number of Shares reserved for the purposes of the Plan or to the extent shareholder approval is otherwise required under Applicable Law (b) except as otherwise provided in </w:t>
      </w:r>
      <w:r>
        <w:rPr>
          <w:rFonts w:ascii="Times New Roman" w:cs="Times New Roman" w:eastAsia="Times New Roman" w:hAnsi="Times New Roman"/>
          <w:sz w:val="22"/>
          <w:szCs w:val="22"/>
          <w:u w:val="single" w:color="auto"/>
          <w:color w:val="auto"/>
        </w:rPr>
        <w:t>Section 15(b)</w:t>
      </w:r>
      <w:r>
        <w:rPr>
          <w:rFonts w:ascii="Times New Roman" w:cs="Times New Roman" w:eastAsia="Times New Roman" w:hAnsi="Times New Roman"/>
          <w:sz w:val="22"/>
          <w:szCs w:val="22"/>
          <w:color w:val="auto"/>
        </w:rPr>
        <w:t xml:space="preserve">, without the consent of a Participant, would impair any of the rights or obligations under any Option theretofore granted to such Participant under the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 the Board may amend the Plan in such manner as it deems necessary to facilitate compliance with Applicable Law and (ii) the Board may terminate the Plan without the consent of the Participants so long as it returns all Contributions accumulated in the Participants' Contribution Accounts together, without interest, except as otherwise determined by the Administrator, in its sole discretion, or required by Applicable Law.</w:t>
      </w:r>
    </w:p>
    <w:p>
      <w:pPr>
        <w:spacing w:after="0" w:line="126" w:lineRule="exact"/>
        <w:rPr>
          <w:sz w:val="20"/>
          <w:szCs w:val="20"/>
          <w:color w:val="auto"/>
        </w:rPr>
      </w:pPr>
    </w:p>
    <w:p>
      <w:pPr>
        <w:ind w:left="520" w:hanging="512"/>
        <w:spacing w:after="0"/>
        <w:tabs>
          <w:tab w:leader="none" w:pos="520" w:val="left"/>
        </w:tabs>
        <w:numPr>
          <w:ilvl w:val="0"/>
          <w:numId w:val="1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Choice of Law</w:t>
      </w:r>
    </w:p>
    <w:p>
      <w:pPr>
        <w:spacing w:after="0" w:line="156"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20"/>
          <w:szCs w:val="20"/>
          <w:color w:val="auto"/>
        </w:rPr>
        <w:t>Except to the extent that provisions of this Plan are governed by applicable provisions of the Code or any other substantive provision of U.S. federal law, the Plan shall be governed by and construed in accordance with the laws of the State of New York applicable to contracts made and to be performed in the State of New York (without regard to any conflict of law provisions).</w:t>
      </w:r>
    </w:p>
    <w:p>
      <w:pPr>
        <w:spacing w:after="0" w:line="81" w:lineRule="exact"/>
        <w:rPr>
          <w:sz w:val="20"/>
          <w:szCs w:val="20"/>
          <w:color w:val="auto"/>
        </w:rPr>
      </w:pPr>
    </w:p>
    <w:p>
      <w:pPr>
        <w:ind w:left="520" w:hanging="512"/>
        <w:spacing w:after="0"/>
        <w:tabs>
          <w:tab w:leader="none" w:pos="520" w:val="left"/>
        </w:tabs>
        <w:numPr>
          <w:ilvl w:val="0"/>
          <w:numId w:val="1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p>
    <w:p>
      <w:pPr>
        <w:spacing w:after="0" w:line="156" w:lineRule="exact"/>
        <w:rPr>
          <w:sz w:val="20"/>
          <w:szCs w:val="20"/>
          <w:color w:val="auto"/>
        </w:rPr>
      </w:pPr>
    </w:p>
    <w:p>
      <w:pPr>
        <w:ind w:right="100"/>
        <w:spacing w:after="0" w:line="235" w:lineRule="auto"/>
        <w:rPr>
          <w:sz w:val="20"/>
          <w:szCs w:val="20"/>
          <w:color w:val="auto"/>
        </w:rPr>
      </w:pPr>
      <w:r>
        <w:rPr>
          <w:rFonts w:ascii="Times New Roman" w:cs="Times New Roman" w:eastAsia="Times New Roman" w:hAnsi="Times New Roman"/>
          <w:sz w:val="22"/>
          <w:szCs w:val="22"/>
          <w:color w:val="auto"/>
        </w:rPr>
        <w:t>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w:t>
      </w:r>
      <w:r>
        <w:rPr>
          <w:rFonts w:ascii="Arial" w:cs="Arial" w:eastAsia="Arial" w:hAnsi="Arial"/>
          <w:sz w:val="19"/>
          <w:szCs w:val="19"/>
          <w:color w:val="auto"/>
        </w:rPr>
        <w:t>d not</w:t>
      </w:r>
      <w:r>
        <w:rPr>
          <w:rFonts w:ascii="Times New Roman" w:cs="Times New Roman" w:eastAsia="Times New Roman" w:hAnsi="Times New Roman"/>
          <w:sz w:val="22"/>
          <w:szCs w:val="22"/>
          <w:color w:val="auto"/>
        </w:rPr>
        <w:t xml:space="preserve"> </w:t>
      </w:r>
      <w:r>
        <w:rPr>
          <w:rFonts w:ascii="Arial" w:cs="Arial" w:eastAsia="Arial" w:hAnsi="Arial"/>
          <w:sz w:val="19"/>
          <w:szCs w:val="19"/>
          <w:color w:val="auto"/>
        </w:rPr>
        <w:t>been included.</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0" w:right="399" w:bottom="1440" w:gutter="0" w:footer="0" w:header="0"/>
        </w:sectPr>
      </w:pPr>
    </w:p>
    <w:bookmarkStart w:id="160" w:name="page161"/>
    <w:bookmarkEnd w:id="160"/>
    <w:p>
      <w:pPr>
        <w:ind w:left="10320"/>
        <w:spacing w:after="0"/>
        <w:rPr>
          <w:sz w:val="20"/>
          <w:szCs w:val="20"/>
          <w:color w:val="auto"/>
        </w:rPr>
      </w:pPr>
      <w:r>
        <w:rPr>
          <w:rFonts w:ascii="Times New Roman" w:cs="Times New Roman" w:eastAsia="Times New Roman" w:hAnsi="Times New Roman"/>
          <w:sz w:val="17"/>
          <w:szCs w:val="17"/>
          <w:b w:val="1"/>
          <w:bCs w:val="1"/>
          <w:color w:val="auto"/>
        </w:rPr>
        <w:t>Exhibit 22.1</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Issuers and Guarantor Subsidiaries</w:t>
      </w:r>
    </w:p>
    <w:p>
      <w:pPr>
        <w:spacing w:after="0" w:line="200" w:lineRule="exact"/>
        <w:rPr>
          <w:sz w:val="20"/>
          <w:szCs w:val="20"/>
          <w:color w:val="auto"/>
        </w:rPr>
      </w:pPr>
    </w:p>
    <w:p>
      <w:pPr>
        <w:spacing w:after="0" w:line="312"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18"/>
          <w:szCs w:val="18"/>
          <w:color w:val="auto"/>
        </w:rPr>
        <w:t>The below table sets forth the respective issuers and guarantors of the notes issued or guaranteed by Willis Towers Watson Public Limited Company, Trinity Acquisition plc and Willis North America Inc. and the jurisdiction of incorporation or organization for each such entity.</w:t>
      </w:r>
    </w:p>
    <w:p>
      <w:pPr>
        <w:spacing w:after="0" w:line="90"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58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820" w:type="dxa"/>
            <w:vAlign w:val="bottom"/>
            <w:tcBorders>
              <w:top w:val="single" w:sz="8" w:color="auto"/>
              <w:bottom w:val="single" w:sz="8" w:color="auto"/>
              <w:right w:val="single" w:sz="8" w:color="auto"/>
            </w:tcBorders>
          </w:tcPr>
          <w:p>
            <w:pPr>
              <w:spacing w:after="0"/>
              <w:rPr>
                <w:sz w:val="18"/>
                <w:szCs w:val="18"/>
                <w:color w:val="auto"/>
              </w:rPr>
            </w:pPr>
          </w:p>
        </w:tc>
        <w:tc>
          <w:tcPr>
            <w:tcW w:w="29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Trinity Acquisition plc</w:t>
            </w:r>
          </w:p>
        </w:tc>
        <w:tc>
          <w:tcPr>
            <w:tcW w:w="2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Willis North America Inc.</w:t>
            </w:r>
          </w:p>
        </w:tc>
      </w:tr>
      <w:tr>
        <w:trPr>
          <w:trHeight w:val="122"/>
        </w:trPr>
        <w:tc>
          <w:tcPr>
            <w:tcW w:w="3580" w:type="dxa"/>
            <w:vAlign w:val="bottom"/>
            <w:tcBorders>
              <w:left w:val="single" w:sz="8" w:color="auto"/>
              <w:right w:val="single" w:sz="8" w:color="auto"/>
            </w:tcBorders>
          </w:tcPr>
          <w:p>
            <w:pPr>
              <w:spacing w:after="0"/>
              <w:rPr>
                <w:sz w:val="10"/>
                <w:szCs w:val="10"/>
                <w:color w:val="auto"/>
              </w:rPr>
            </w:pPr>
          </w:p>
        </w:tc>
        <w:tc>
          <w:tcPr>
            <w:tcW w:w="1820" w:type="dxa"/>
            <w:vAlign w:val="bottom"/>
            <w:tcBorders>
              <w:right w:val="single" w:sz="8" w:color="auto"/>
            </w:tcBorders>
          </w:tcPr>
          <w:p>
            <w:pPr>
              <w:spacing w:after="0"/>
              <w:rPr>
                <w:sz w:val="10"/>
                <w:szCs w:val="10"/>
                <w:color w:val="auto"/>
              </w:rPr>
            </w:pPr>
          </w:p>
        </w:tc>
        <w:tc>
          <w:tcPr>
            <w:tcW w:w="2940" w:type="dxa"/>
            <w:vAlign w:val="bottom"/>
            <w:tcBorders>
              <w:right w:val="single" w:sz="8" w:color="auto"/>
            </w:tcBorders>
          </w:tcPr>
          <w:p>
            <w:pPr>
              <w:spacing w:after="0"/>
              <w:rPr>
                <w:sz w:val="10"/>
                <w:szCs w:val="10"/>
                <w:color w:val="auto"/>
              </w:rPr>
            </w:pPr>
          </w:p>
        </w:tc>
        <w:tc>
          <w:tcPr>
            <w:tcW w:w="2900" w:type="dxa"/>
            <w:vAlign w:val="bottom"/>
            <w:tcBorders>
              <w:right w:val="single" w:sz="8" w:color="auto"/>
            </w:tcBorders>
          </w:tcPr>
          <w:p>
            <w:pPr>
              <w:jc w:val="center"/>
              <w:spacing w:after="0" w:line="122" w:lineRule="exact"/>
              <w:rPr>
                <w:sz w:val="20"/>
                <w:szCs w:val="20"/>
                <w:color w:val="auto"/>
              </w:rPr>
            </w:pPr>
            <w:r>
              <w:rPr>
                <w:rFonts w:ascii="Times New Roman" w:cs="Times New Roman" w:eastAsia="Times New Roman" w:hAnsi="Times New Roman"/>
                <w:sz w:val="13"/>
                <w:szCs w:val="13"/>
                <w:b w:val="1"/>
                <w:bCs w:val="1"/>
                <w:color w:val="auto"/>
              </w:rPr>
              <w:t>3.600% senior notes due 2024</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4.650% senior notes due 2027</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4.500% senior notes due 2028</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spacing w:after="0"/>
              <w:rPr>
                <w:sz w:val="12"/>
                <w:szCs w:val="12"/>
                <w:color w:val="auto"/>
              </w:rPr>
            </w:pP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2.950% senior notes due 2029</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Jurisdiction of</w:t>
            </w:r>
          </w:p>
        </w:tc>
        <w:tc>
          <w:tcPr>
            <w:tcW w:w="2940" w:type="dxa"/>
            <w:vAlign w:val="bottom"/>
            <w:tcBorders>
              <w:right w:val="single" w:sz="8" w:color="auto"/>
            </w:tcBorders>
          </w:tcPr>
          <w:p>
            <w:pPr>
              <w:spacing w:after="0"/>
              <w:rPr>
                <w:sz w:val="12"/>
                <w:szCs w:val="12"/>
                <w:color w:val="auto"/>
              </w:rPr>
            </w:pP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5.050% senior notes due 2048</w:t>
            </w:r>
          </w:p>
        </w:tc>
      </w:tr>
      <w:tr>
        <w:trPr>
          <w:trHeight w:val="148"/>
        </w:trPr>
        <w:tc>
          <w:tcPr>
            <w:tcW w:w="3580" w:type="dxa"/>
            <w:vAlign w:val="bottom"/>
            <w:tcBorders>
              <w:left w:val="single" w:sz="8" w:color="auto"/>
              <w:right w:val="single" w:sz="8" w:color="auto"/>
            </w:tcBorders>
          </w:tcPr>
          <w:p>
            <w:pPr>
              <w:spacing w:after="0"/>
              <w:rPr>
                <w:sz w:val="12"/>
                <w:szCs w:val="12"/>
                <w:color w:val="auto"/>
              </w:rPr>
            </w:pPr>
          </w:p>
        </w:tc>
        <w:tc>
          <w:tcPr>
            <w:tcW w:w="1820" w:type="dxa"/>
            <w:vAlign w:val="bottom"/>
            <w:tcBorders>
              <w:right w:val="single" w:sz="8" w:color="auto"/>
            </w:tcBorders>
          </w:tcPr>
          <w:p>
            <w:pPr>
              <w:jc w:val="center"/>
              <w:ind w:right="13"/>
              <w:spacing w:after="0" w:line="149" w:lineRule="exact"/>
              <w:rPr>
                <w:sz w:val="20"/>
                <w:szCs w:val="20"/>
                <w:color w:val="auto"/>
              </w:rPr>
            </w:pPr>
            <w:r>
              <w:rPr>
                <w:rFonts w:ascii="Times New Roman" w:cs="Times New Roman" w:eastAsia="Times New Roman" w:hAnsi="Times New Roman"/>
                <w:sz w:val="13"/>
                <w:szCs w:val="13"/>
                <w:b w:val="1"/>
                <w:bCs w:val="1"/>
                <w:color w:val="auto"/>
              </w:rPr>
              <w:t>Incorporation or</w:t>
            </w:r>
          </w:p>
        </w:tc>
        <w:tc>
          <w:tcPr>
            <w:tcW w:w="29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4.400% senior notes due 2026</w:t>
            </w:r>
          </w:p>
        </w:tc>
        <w:tc>
          <w:tcPr>
            <w:tcW w:w="2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3"/>
                <w:szCs w:val="13"/>
                <w:b w:val="1"/>
                <w:bCs w:val="1"/>
                <w:color w:val="auto"/>
              </w:rPr>
              <w:t>3.875% senior notes due 2049</w:t>
            </w:r>
          </w:p>
        </w:tc>
      </w:tr>
      <w:tr>
        <w:trPr>
          <w:trHeight w:val="178"/>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b w:val="1"/>
                <w:bCs w:val="1"/>
                <w:color w:val="auto"/>
              </w:rPr>
              <w:t>Entity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Organization</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6.125% senior notes due 2043</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5.900% senior notes due 2054</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Public 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Trinity Acquisition plc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North America Inc.</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Delaware</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Issuer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Netherlands Holdings B.V.</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Netherlands</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Investment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TA I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Group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Sub Holdings Unlimited Company</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Ireland</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9"/>
        </w:trPr>
        <w:tc>
          <w:tcPr>
            <w:tcW w:w="358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3"/>
                <w:szCs w:val="13"/>
                <w:color w:val="auto"/>
              </w:rPr>
              <w:t>Willis Towers Watson UK Holdings Limited</w:t>
            </w:r>
          </w:p>
        </w:tc>
        <w:tc>
          <w:tcPr>
            <w:tcW w:w="1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United Kingdom</w:t>
            </w:r>
          </w:p>
        </w:tc>
        <w:tc>
          <w:tcPr>
            <w:tcW w:w="2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c>
          <w:tcPr>
            <w:tcW w:w="2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rPr>
              <w:t>Guarantor</w:t>
            </w:r>
          </w:p>
        </w:tc>
      </w:tr>
      <w:tr>
        <w:trPr>
          <w:trHeight w:val="1619"/>
        </w:trPr>
        <w:tc>
          <w:tcPr>
            <w:tcW w:w="35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294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Carl A. Hess, certify that:</w:t>
      </w:r>
    </w:p>
    <w:p>
      <w:pPr>
        <w:spacing w:after="0" w:line="117" w:lineRule="exact"/>
        <w:rPr>
          <w:sz w:val="20"/>
          <w:szCs w:val="20"/>
          <w:color w:val="auto"/>
        </w:rPr>
      </w:pPr>
    </w:p>
    <w:p>
      <w:pPr>
        <w:ind w:left="480" w:hanging="472"/>
        <w:spacing w:after="0"/>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1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SECURITIES EXCHANGE ACT RULES 13A-14(A) AND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J. Krasner, certify that:</w:t>
      </w:r>
    </w:p>
    <w:p>
      <w:pPr>
        <w:spacing w:after="0" w:line="117" w:lineRule="exact"/>
        <w:rPr>
          <w:sz w:val="20"/>
          <w:szCs w:val="20"/>
          <w:color w:val="auto"/>
        </w:rPr>
      </w:pPr>
    </w:p>
    <w:p>
      <w:pPr>
        <w:ind w:left="480" w:hanging="472"/>
        <w:spacing w:after="0"/>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Willis Towers Watson Public Limited Company;</w:t>
      </w:r>
    </w:p>
    <w:p>
      <w:pPr>
        <w:spacing w:after="0" w:line="116" w:lineRule="exact"/>
        <w:rPr>
          <w:rFonts w:ascii="Times New Roman" w:cs="Times New Roman" w:eastAsia="Times New Roman" w:hAnsi="Times New Roman"/>
          <w:sz w:val="18"/>
          <w:szCs w:val="18"/>
          <w:color w:val="auto"/>
        </w:rPr>
      </w:pPr>
    </w:p>
    <w:p>
      <w:pPr>
        <w:jc w:val="both"/>
        <w:ind w:left="480" w:right="300" w:hanging="472"/>
        <w:spacing w:after="0" w:line="265"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Times New Roman" w:cs="Times New Roman" w:eastAsia="Times New Roman" w:hAnsi="Times New Roman"/>
          <w:sz w:val="18"/>
          <w:szCs w:val="18"/>
          <w:color w:val="auto"/>
        </w:rPr>
      </w:pPr>
    </w:p>
    <w:p>
      <w:pPr>
        <w:ind w:left="480" w:right="260" w:hanging="472"/>
        <w:spacing w:after="0" w:line="281"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4" w:lineRule="exact"/>
        <w:rPr>
          <w:rFonts w:ascii="Times New Roman" w:cs="Times New Roman" w:eastAsia="Times New Roman" w:hAnsi="Times New Roman"/>
          <w:sz w:val="18"/>
          <w:szCs w:val="18"/>
          <w:color w:val="auto"/>
        </w:rPr>
      </w:pPr>
    </w:p>
    <w:p>
      <w:pPr>
        <w:ind w:left="480" w:right="300" w:hanging="472"/>
        <w:spacing w:after="0" w:line="265"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9" w:lineRule="exact"/>
        <w:rPr>
          <w:rFonts w:ascii="Times New Roman" w:cs="Times New Roman" w:eastAsia="Times New Roman" w:hAnsi="Times New Roman"/>
          <w:sz w:val="18"/>
          <w:szCs w:val="18"/>
          <w:color w:val="auto"/>
        </w:rPr>
      </w:pPr>
    </w:p>
    <w:p>
      <w:pPr>
        <w:ind w:left="960" w:right="80" w:hanging="473"/>
        <w:spacing w:after="0" w:line="265" w:lineRule="auto"/>
        <w:tabs>
          <w:tab w:leader="none" w:pos="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9" w:lineRule="exact"/>
        <w:rPr>
          <w:rFonts w:ascii="Times New Roman" w:cs="Times New Roman" w:eastAsia="Times New Roman" w:hAnsi="Times New Roman"/>
          <w:sz w:val="18"/>
          <w:szCs w:val="18"/>
          <w:color w:val="auto"/>
        </w:rPr>
      </w:pPr>
    </w:p>
    <w:p>
      <w:pPr>
        <w:ind w:left="960" w:right="400" w:hanging="473"/>
        <w:spacing w:after="0" w:line="265" w:lineRule="auto"/>
        <w:tabs>
          <w:tab w:leader="none" w:pos="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9" w:lineRule="exact"/>
        <w:rPr>
          <w:rFonts w:ascii="Times New Roman" w:cs="Times New Roman" w:eastAsia="Times New Roman" w:hAnsi="Times New Roman"/>
          <w:sz w:val="18"/>
          <w:szCs w:val="18"/>
          <w:color w:val="auto"/>
        </w:rPr>
      </w:pPr>
    </w:p>
    <w:p>
      <w:pPr>
        <w:jc w:val="both"/>
        <w:ind w:left="960" w:right="560" w:hanging="473"/>
        <w:spacing w:after="0" w:line="312" w:lineRule="auto"/>
        <w:tabs>
          <w:tab w:leader="none" w:pos="960" w:val="left"/>
        </w:tabs>
        <w:numPr>
          <w:ilvl w:val="1"/>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960" w:right="80" w:hanging="473"/>
        <w:spacing w:after="0" w:line="265" w:lineRule="auto"/>
        <w:tabs>
          <w:tab w:leader="none" w:pos="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9" w:lineRule="exact"/>
        <w:rPr>
          <w:rFonts w:ascii="Times New Roman" w:cs="Times New Roman" w:eastAsia="Times New Roman" w:hAnsi="Times New Roman"/>
          <w:sz w:val="18"/>
          <w:szCs w:val="18"/>
          <w:color w:val="auto"/>
        </w:rPr>
      </w:pPr>
    </w:p>
    <w:p>
      <w:pPr>
        <w:ind w:left="480" w:right="180" w:hanging="472"/>
        <w:spacing w:after="0" w:line="281" w:lineRule="auto"/>
        <w:tabs>
          <w:tab w:leader="none" w:pos="48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4" w:lineRule="exact"/>
        <w:rPr>
          <w:rFonts w:ascii="Times New Roman" w:cs="Times New Roman" w:eastAsia="Times New Roman" w:hAnsi="Times New Roman"/>
          <w:sz w:val="18"/>
          <w:szCs w:val="18"/>
          <w:color w:val="auto"/>
        </w:rPr>
      </w:pPr>
    </w:p>
    <w:p>
      <w:pPr>
        <w:ind w:left="960" w:right="800" w:hanging="473"/>
        <w:spacing w:after="0" w:line="281" w:lineRule="auto"/>
        <w:tabs>
          <w:tab w:leader="none" w:pos="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4" w:lineRule="exact"/>
        <w:rPr>
          <w:rFonts w:ascii="Times New Roman" w:cs="Times New Roman" w:eastAsia="Times New Roman" w:hAnsi="Times New Roman"/>
          <w:sz w:val="18"/>
          <w:szCs w:val="18"/>
          <w:color w:val="auto"/>
        </w:rPr>
      </w:pPr>
    </w:p>
    <w:p>
      <w:pPr>
        <w:ind w:left="960" w:right="500" w:hanging="473"/>
        <w:spacing w:after="0" w:line="281" w:lineRule="auto"/>
        <w:tabs>
          <w:tab w:leader="none" w:pos="96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3" w:name="page164"/>
    <w:bookmarkEnd w:id="16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CHIEF FINANCIAL OFFICER</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6"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17"/>
          <w:szCs w:val="17"/>
          <w:color w:val="auto"/>
        </w:rPr>
        <w:t>Each of the undersigned hereby certifies, in his capacity as an officer of Willis Towers Watson Public Limited Company (the ‘Company’), pursuant to the requirements set forth in Rule 13a-14(b) of the Securities Exchange Act of 1934, as amended (the ‘Exchange Act’) and Section 1350 of Chapter 63 of Title 18 of the United States Code (18 U.S.C. §1350), as adopted pursuant to Section 906 of the Sarbanes-Oxley Act of 2002, that to the best of his knowledge:</w:t>
      </w:r>
    </w:p>
    <w:p>
      <w:pPr>
        <w:spacing w:after="0" w:line="200" w:lineRule="exact"/>
        <w:rPr>
          <w:sz w:val="20"/>
          <w:szCs w:val="20"/>
          <w:color w:val="auto"/>
        </w:rPr>
      </w:pPr>
    </w:p>
    <w:p>
      <w:pPr>
        <w:ind w:left="1040" w:right="940" w:hanging="567"/>
        <w:spacing w:after="0" w:line="281" w:lineRule="auto"/>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of the Company on Form 10-Q for the period ended March 31, 2024 (the ‘Report’) fully complies with the requirements of Section 13(a) or Section 15(d), as applicable, of the Exchange Act; and</w:t>
      </w:r>
    </w:p>
    <w:p>
      <w:pPr>
        <w:spacing w:after="0" w:line="54" w:lineRule="exact"/>
        <w:rPr>
          <w:rFonts w:ascii="Times New Roman" w:cs="Times New Roman" w:eastAsia="Times New Roman" w:hAnsi="Times New Roman"/>
          <w:sz w:val="18"/>
          <w:szCs w:val="18"/>
          <w:color w:val="auto"/>
        </w:rPr>
      </w:pPr>
    </w:p>
    <w:p>
      <w:pPr>
        <w:ind w:left="1040" w:right="540" w:hanging="567"/>
        <w:spacing w:after="0" w:line="281" w:lineRule="auto"/>
        <w:tabs>
          <w:tab w:leader="none" w:pos="1040"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April 25, 2024</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Carl A. Hess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Carl A. Hess</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Andrew J. Krasner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3570605"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3570605" cy="8255"/>
                    </a:xfrm>
                    <a:prstGeom prst="rect">
                      <a:avLst/>
                    </a:prstGeom>
                    <a:noFill/>
                  </pic:spPr>
                </pic:pic>
              </a:graphicData>
            </a:graphic>
          </wp:anchor>
        </w:drawing>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Andrew J. Krasner</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64" w:name="page165"/>
    <w:bookmarkEnd w:id="16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13EFDC5"/>
    <w:multiLevelType w:val="hybridMultilevel"/>
    <w:lvl w:ilvl="0">
      <w:lvlJc w:val="left"/>
      <w:lvlText w:val="☒"/>
      <w:numFmt w:val="bullet"/>
      <w:start w:val="1"/>
    </w:lvl>
  </w:abstractNum>
  <w:abstractNum w:abstractNumId="1">
    <w:nsid w:val="BF72B14"/>
    <w:multiLevelType w:val="hybridMultilevel"/>
    <w:lvl w:ilvl="0">
      <w:lvlJc w:val="left"/>
      <w:lvlText w:val="☐"/>
      <w:numFmt w:val="bullet"/>
      <w:start w:val="1"/>
    </w:lvl>
  </w:abstractNum>
  <w:abstractNum w:abstractNumId="2">
    <w:nsid w:val="11447B73"/>
    <w:multiLevelType w:val="hybridMultilevel"/>
    <w:lvl w:ilvl="0">
      <w:lvlJc w:val="left"/>
      <w:lvlText w:val="•"/>
      <w:numFmt w:val="bullet"/>
      <w:start w:val="1"/>
    </w:lvl>
  </w:abstractNum>
  <w:abstractNum w:abstractNumId="3">
    <w:nsid w:val="42963E5A"/>
    <w:multiLevelType w:val="hybridMultilevel"/>
    <w:lvl w:ilvl="0">
      <w:lvlJc w:val="left"/>
      <w:lvlText w:val="•"/>
      <w:numFmt w:val="bullet"/>
      <w:start w:val="1"/>
    </w:lvl>
  </w:abstractNum>
  <w:abstractNum w:abstractNumId="4">
    <w:nsid w:val="A0382C5"/>
    <w:multiLevelType w:val="hybridMultilevel"/>
    <w:lvl w:ilvl="0">
      <w:lvlJc w:val="left"/>
      <w:lvlText w:val="•"/>
      <w:numFmt w:val="bullet"/>
      <w:start w:val="1"/>
    </w:lvl>
  </w:abstractNum>
  <w:abstractNum w:abstractNumId="5">
    <w:nsid w:val="8F2B15E"/>
    <w:multiLevelType w:val="hybridMultilevel"/>
    <w:lvl w:ilvl="0">
      <w:lvlJc w:val="left"/>
      <w:lvlText w:val="(%1)"/>
      <w:numFmt w:val="lowerRoman"/>
      <w:start w:val="1"/>
    </w:lvl>
  </w:abstractNum>
  <w:abstractNum w:abstractNumId="6">
    <w:nsid w:val="1A32234B"/>
    <w:multiLevelType w:val="hybridMultilevel"/>
    <w:lvl w:ilvl="0">
      <w:lvlJc w:val="left"/>
      <w:lvlText w:val="(%1)"/>
      <w:numFmt w:val="lowerRoman"/>
      <w:start w:val="1"/>
    </w:lvl>
  </w:abstractNum>
  <w:abstractNum w:abstractNumId="7">
    <w:nsid w:val="3B0FD379"/>
    <w:multiLevelType w:val="hybridMultilevel"/>
    <w:lvl w:ilvl="0">
      <w:lvlJc w:val="left"/>
      <w:lvlText w:val="(%1)"/>
      <w:numFmt w:val="lowerRoman"/>
      <w:start w:val="1"/>
    </w:lvl>
  </w:abstractNum>
  <w:abstractNum w:abstractNumId="8">
    <w:nsid w:val="68EB2F63"/>
    <w:multiLevelType w:val="hybridMultilevel"/>
    <w:lvl w:ilvl="0">
      <w:lvlJc w:val="left"/>
      <w:lvlText w:val="(%1)"/>
      <w:numFmt w:val="lowerRoman"/>
      <w:start w:val="1"/>
    </w:lvl>
  </w:abstractNum>
  <w:abstractNum w:abstractNumId="9">
    <w:nsid w:val="4962813B"/>
    <w:multiLevelType w:val="hybridMultilevel"/>
    <w:lvl w:ilvl="0">
      <w:lvlJc w:val="left"/>
      <w:lvlText w:val="•"/>
      <w:numFmt w:val="bullet"/>
      <w:start w:val="1"/>
    </w:lvl>
  </w:abstractNum>
  <w:abstractNum w:abstractNumId="10">
    <w:nsid w:val="60B6DF70"/>
    <w:multiLevelType w:val="hybridMultilevel"/>
    <w:lvl w:ilvl="0">
      <w:lvlJc w:val="left"/>
      <w:lvlText w:val="•"/>
      <w:numFmt w:val="bullet"/>
      <w:start w:val="1"/>
    </w:lvl>
  </w:abstractNum>
  <w:abstractNum w:abstractNumId="11">
    <w:nsid w:val="6A5EE64"/>
    <w:multiLevelType w:val="hybridMultilevel"/>
    <w:lvl w:ilvl="0">
      <w:lvlJc w:val="left"/>
      <w:lvlText w:val="(%1)"/>
      <w:numFmt w:val="lowerRoman"/>
      <w:start w:val="1"/>
    </w:lvl>
  </w:abstractNum>
  <w:abstractNum w:abstractNumId="12">
    <w:nsid w:val="14330624"/>
    <w:multiLevelType w:val="hybridMultilevel"/>
    <w:lvl w:ilvl="0">
      <w:lvlJc w:val="left"/>
      <w:lvlText w:val="•"/>
      <w:numFmt w:val="bullet"/>
      <w:start w:val="1"/>
    </w:lvl>
  </w:abstractNum>
  <w:abstractNum w:abstractNumId="13">
    <w:nsid w:val="7FFFCA11"/>
    <w:multiLevelType w:val="hybridMultilevel"/>
    <w:lvl w:ilvl="0">
      <w:lvlJc w:val="left"/>
      <w:lvlText w:val="•"/>
      <w:numFmt w:val="bullet"/>
      <w:start w:val="1"/>
    </w:lvl>
  </w:abstractNum>
  <w:abstractNum w:abstractNumId="14">
    <w:nsid w:val="1A27709E"/>
    <w:multiLevelType w:val="hybridMultilevel"/>
    <w:lvl w:ilvl="0">
      <w:lvlJc w:val="left"/>
      <w:lvlText w:val="•"/>
      <w:numFmt w:val="bullet"/>
      <w:start w:val="1"/>
    </w:lvl>
  </w:abstractNum>
  <w:abstractNum w:abstractNumId="15">
    <w:nsid w:val="71EA1109"/>
    <w:multiLevelType w:val="hybridMultilevel"/>
    <w:lvl w:ilvl="0">
      <w:lvlJc w:val="left"/>
      <w:lvlText w:val="•"/>
      <w:numFmt w:val="bullet"/>
      <w:start w:val="1"/>
    </w:lvl>
  </w:abstractNum>
  <w:abstractNum w:abstractNumId="16">
    <w:nsid w:val="100F59DC"/>
    <w:multiLevelType w:val="hybridMultilevel"/>
    <w:lvl w:ilvl="0">
      <w:lvlJc w:val="left"/>
      <w:lvlText w:val="(%1)"/>
      <w:numFmt w:val="lowerRoman"/>
      <w:start w:val="1"/>
    </w:lvl>
  </w:abstractNum>
  <w:abstractNum w:abstractNumId="17">
    <w:nsid w:val="7FB7E0AA"/>
    <w:multiLevelType w:val="hybridMultilevel"/>
    <w:lvl w:ilvl="0">
      <w:lvlJc w:val="left"/>
      <w:lvlText w:val="(%1)"/>
      <w:numFmt w:val="lowerRoman"/>
      <w:start w:val="1"/>
    </w:lvl>
  </w:abstractNum>
  <w:abstractNum w:abstractNumId="18">
    <w:nsid w:val="6EB5BD4"/>
    <w:multiLevelType w:val="hybridMultilevel"/>
    <w:lvl w:ilvl="0">
      <w:lvlJc w:val="left"/>
      <w:lvlText w:val="(%1)"/>
      <w:numFmt w:val="lowerRoman"/>
      <w:start w:val="1"/>
    </w:lvl>
  </w:abstractNum>
  <w:abstractNum w:abstractNumId="19">
    <w:nsid w:val="6F6DD9AC"/>
    <w:multiLevelType w:val="hybridMultilevel"/>
    <w:lvl w:ilvl="0">
      <w:lvlJc w:val="left"/>
      <w:lvlText w:val="•"/>
      <w:numFmt w:val="bullet"/>
      <w:start w:val="1"/>
    </w:lvl>
  </w:abstractNum>
  <w:abstractNum w:abstractNumId="20">
    <w:nsid w:val="94211F2"/>
    <w:multiLevelType w:val="hybridMultilevel"/>
    <w:lvl w:ilvl="0">
      <w:lvlJc w:val="left"/>
      <w:lvlText w:val="(%1)"/>
      <w:numFmt w:val="lowerRoman"/>
      <w:start w:val="1"/>
    </w:lvl>
  </w:abstractNum>
  <w:abstractNum w:abstractNumId="21">
    <w:nsid w:val="885E1B"/>
    <w:multiLevelType w:val="hybridMultilevel"/>
    <w:lvl w:ilvl="0">
      <w:lvlJc w:val="left"/>
      <w:lvlText w:val="(%1)"/>
      <w:numFmt w:val="lowerRoman"/>
      <w:start w:val="1"/>
    </w:lvl>
  </w:abstractNum>
  <w:abstractNum w:abstractNumId="22">
    <w:nsid w:val="76272110"/>
    <w:multiLevelType w:val="hybridMultilevel"/>
    <w:lvl w:ilvl="0">
      <w:lvlJc w:val="left"/>
      <w:lvlText w:val="(%1)"/>
      <w:numFmt w:val="lowerRoman"/>
      <w:start w:val="1"/>
    </w:lvl>
  </w:abstractNum>
  <w:abstractNum w:abstractNumId="23">
    <w:nsid w:val="4C04A8AF"/>
    <w:multiLevelType w:val="hybridMultilevel"/>
    <w:lvl w:ilvl="0">
      <w:lvlJc w:val="left"/>
      <w:lvlText w:val="%1)"/>
      <w:numFmt w:val="lowerLetter"/>
      <w:start w:val="1"/>
    </w:lvl>
  </w:abstractNum>
  <w:abstractNum w:abstractNumId="24">
    <w:nsid w:val="1716703B"/>
    <w:multiLevelType w:val="hybridMultilevel"/>
    <w:lvl w:ilvl="0">
      <w:lvlJc w:val="left"/>
      <w:lvlText w:val="•"/>
      <w:numFmt w:val="bullet"/>
      <w:start w:val="1"/>
    </w:lvl>
  </w:abstractNum>
  <w:abstractNum w:abstractNumId="25">
    <w:nsid w:val="14E17E33"/>
    <w:multiLevelType w:val="hybridMultilevel"/>
    <w:lvl w:ilvl="0">
      <w:lvlJc w:val="left"/>
      <w:lvlText w:val="•"/>
      <w:numFmt w:val="bullet"/>
      <w:start w:val="1"/>
    </w:lvl>
  </w:abstractNum>
  <w:abstractNum w:abstractNumId="26">
    <w:nsid w:val="3222E7CD"/>
    <w:multiLevelType w:val="hybridMultilevel"/>
    <w:lvl w:ilvl="0">
      <w:lvlJc w:val="left"/>
      <w:lvlText w:val="•"/>
      <w:numFmt w:val="bullet"/>
      <w:start w:val="1"/>
    </w:lvl>
  </w:abstractNum>
  <w:abstractNum w:abstractNumId="27">
    <w:nsid w:val="74DE0EE3"/>
    <w:multiLevelType w:val="hybridMultilevel"/>
    <w:lvl w:ilvl="0">
      <w:lvlJc w:val="left"/>
      <w:lvlText w:val="•"/>
      <w:numFmt w:val="bullet"/>
      <w:start w:val="1"/>
    </w:lvl>
  </w:abstractNum>
  <w:abstractNum w:abstractNumId="28">
    <w:nsid w:val="68EBC550"/>
    <w:multiLevelType w:val="hybridMultilevel"/>
    <w:lvl w:ilvl="0">
      <w:lvlJc w:val="left"/>
      <w:lvlText w:val="(%1)"/>
      <w:numFmt w:val="lowerRoman"/>
      <w:start w:val="1"/>
    </w:lvl>
  </w:abstractNum>
  <w:abstractNum w:abstractNumId="29">
    <w:nsid w:val="2DF6D648"/>
    <w:multiLevelType w:val="hybridMultilevel"/>
    <w:lvl w:ilvl="0">
      <w:lvlJc w:val="left"/>
      <w:lvlText w:val="(%1)"/>
      <w:numFmt w:val="lowerRoman"/>
      <w:start w:val="1"/>
    </w:lvl>
  </w:abstractNum>
  <w:abstractNum w:abstractNumId="30">
    <w:nsid w:val="46B7D447"/>
    <w:multiLevelType w:val="hybridMultilevel"/>
    <w:lvl w:ilvl="0">
      <w:lvlJc w:val="left"/>
      <w:lvlText w:val="(%1)"/>
      <w:numFmt w:val="lowerLetter"/>
      <w:start w:val="1"/>
    </w:lvl>
  </w:abstractNum>
  <w:abstractNum w:abstractNumId="31">
    <w:nsid w:val="4A2AC315"/>
    <w:multiLevelType w:val="hybridMultilevel"/>
    <w:lvl w:ilvl="0">
      <w:lvlJc w:val="left"/>
      <w:lvlText w:val="**"/>
      <w:numFmt w:val="bullet"/>
      <w:start w:val="1"/>
    </w:lvl>
  </w:abstractNum>
  <w:abstractNum w:abstractNumId="32">
    <w:nsid w:val="39EE015C"/>
    <w:multiLevelType w:val="hybridMultilevel"/>
    <w:lvl w:ilvl="0">
      <w:lvlJc w:val="left"/>
      <w:lvlText w:val="(%1)"/>
      <w:numFmt w:val="lowerRoman"/>
      <w:start w:val="4"/>
    </w:lvl>
  </w:abstractNum>
  <w:abstractNum w:abstractNumId="33">
    <w:nsid w:val="57FC4FBB"/>
    <w:multiLevelType w:val="hybridMultilevel"/>
    <w:lvl w:ilvl="0">
      <w:lvlJc w:val="left"/>
      <w:lvlText w:val="(%1)"/>
      <w:numFmt w:val="upperLetter"/>
      <w:start w:val="2"/>
    </w:lvl>
  </w:abstractNum>
  <w:abstractNum w:abstractNumId="34">
    <w:nsid w:val="CC1016F"/>
    <w:multiLevelType w:val="hybridMultilevel"/>
    <w:lvl w:ilvl="0">
      <w:lvlJc w:val="left"/>
      <w:lvlText w:val="(%1)"/>
      <w:numFmt w:val="lowerRoman"/>
      <w:start w:val="1"/>
    </w:lvl>
  </w:abstractNum>
  <w:abstractNum w:abstractNumId="35">
    <w:nsid w:val="43F18422"/>
    <w:multiLevelType w:val="hybridMultilevel"/>
    <w:lvl w:ilvl="0">
      <w:lvlJc w:val="left"/>
      <w:lvlText w:val="(%1)"/>
      <w:numFmt w:val="lowerLetter"/>
      <w:start w:val="1"/>
    </w:lvl>
  </w:abstractNum>
  <w:abstractNum w:abstractNumId="36">
    <w:nsid w:val="60EF0119"/>
    <w:multiLevelType w:val="hybridMultilevel"/>
    <w:lvl w:ilvl="0">
      <w:lvlJc w:val="left"/>
      <w:lvlText w:val="(%1)"/>
      <w:numFmt w:val="lowerLetter"/>
      <w:start w:val="4"/>
    </w:lvl>
  </w:abstractNum>
  <w:abstractNum w:abstractNumId="37">
    <w:nsid w:val="26F324BA"/>
    <w:multiLevelType w:val="hybridMultilevel"/>
    <w:lvl w:ilvl="0">
      <w:lvlJc w:val="left"/>
      <w:lvlText w:val="(%1)"/>
      <w:numFmt w:val="lowerLetter"/>
      <w:start w:val="1"/>
    </w:lvl>
  </w:abstractNum>
  <w:abstractNum w:abstractNumId="38">
    <w:nsid w:val="7F01579B"/>
    <w:multiLevelType w:val="hybridMultilevel"/>
    <w:lvl w:ilvl="0">
      <w:lvlJc w:val="left"/>
      <w:lvlText w:val="(%1)"/>
      <w:numFmt w:val="lowerLetter"/>
      <w:start w:val="1"/>
    </w:lvl>
  </w:abstractNum>
  <w:abstractNum w:abstractNumId="39">
    <w:nsid w:val="49DA307D"/>
    <w:multiLevelType w:val="hybridMultilevel"/>
    <w:lvl w:ilvl="0">
      <w:lvlJc w:val="left"/>
      <w:lvlText w:val="%1."/>
      <w:numFmt w:val="decimal"/>
      <w:start w:val="1"/>
    </w:lvl>
  </w:abstractNum>
  <w:abstractNum w:abstractNumId="40">
    <w:nsid w:val="7055A5F5"/>
    <w:multiLevelType w:val="hybridMultilevel"/>
    <w:lvl w:ilvl="0">
      <w:lvlJc w:val="left"/>
      <w:lvlText w:val="%1."/>
      <w:numFmt w:val="decimal"/>
      <w:start w:val="2"/>
    </w:lvl>
  </w:abstractNum>
  <w:abstractNum w:abstractNumId="41">
    <w:nsid w:val="5FB8370B"/>
    <w:multiLevelType w:val="hybridMultilevel"/>
    <w:lvl w:ilvl="0">
      <w:lvlJc w:val="left"/>
      <w:lvlText w:val="%1"/>
      <w:numFmt w:val="decimal"/>
      <w:start w:val="1"/>
    </w:lvl>
    <w:lvl w:ilvl="1">
      <w:lvlJc w:val="left"/>
      <w:lvlText w:val="(%2)"/>
      <w:numFmt w:val="lowerLetter"/>
      <w:start w:val="1"/>
    </w:lvl>
  </w:abstractNum>
  <w:abstractNum w:abstractNumId="42">
    <w:nsid w:val="50801EE1"/>
    <w:multiLevelType w:val="hybridMultilevel"/>
    <w:lvl w:ilvl="0">
      <w:lvlJc w:val="left"/>
      <w:lvlText w:val="%1."/>
      <w:numFmt w:val="decimal"/>
      <w:start w:val="3"/>
    </w:lvl>
    <w:lvl w:ilvl="1">
      <w:lvlJc w:val="left"/>
      <w:lvlText w:val="%2"/>
      <w:numFmt w:val="lowerLetter"/>
      <w:start w:val="1"/>
    </w:lvl>
  </w:abstractNum>
  <w:abstractNum w:abstractNumId="43">
    <w:nsid w:val="488AC1A"/>
    <w:multiLevelType w:val="hybridMultilevel"/>
    <w:lvl w:ilvl="0">
      <w:lvlJc w:val="left"/>
      <w:lvlText w:val="(%1)"/>
      <w:numFmt w:val="lowerLetter"/>
      <w:start w:val="1"/>
    </w:lvl>
  </w:abstractNum>
  <w:abstractNum w:abstractNumId="44">
    <w:nsid w:val="5FB8011C"/>
    <w:multiLevelType w:val="hybridMultilevel"/>
    <w:lvl w:ilvl="0">
      <w:lvlJc w:val="left"/>
      <w:lvlText w:val="%1."/>
      <w:numFmt w:val="decimal"/>
      <w:start w:val="4"/>
    </w:lvl>
  </w:abstractNum>
  <w:abstractNum w:abstractNumId="45">
    <w:nsid w:val="6AA78F7F"/>
    <w:multiLevelType w:val="hybridMultilevel"/>
    <w:lvl w:ilvl="0">
      <w:lvlJc w:val="left"/>
      <w:lvlText w:val="%1."/>
      <w:numFmt w:val="decimal"/>
      <w:start w:val="5"/>
    </w:lvl>
  </w:abstractNum>
  <w:abstractNum w:abstractNumId="46">
    <w:nsid w:val="7672BD23"/>
    <w:multiLevelType w:val="hybridMultilevel"/>
    <w:lvl w:ilvl="0">
      <w:lvlJc w:val="left"/>
      <w:lvlText w:val="%1."/>
      <w:numFmt w:val="decimal"/>
      <w:start w:val="6"/>
    </w:lvl>
  </w:abstractNum>
  <w:abstractNum w:abstractNumId="47">
    <w:nsid w:val="6FC75AF8"/>
    <w:multiLevelType w:val="hybridMultilevel"/>
    <w:lvl w:ilvl="0">
      <w:lvlJc w:val="left"/>
      <w:lvlText w:val="%1."/>
      <w:numFmt w:val="decimal"/>
      <w:start w:val="7"/>
    </w:lvl>
  </w:abstractNum>
  <w:abstractNum w:abstractNumId="48">
    <w:nsid w:val="6A5F7029"/>
    <w:multiLevelType w:val="hybridMultilevel"/>
    <w:lvl w:ilvl="0">
      <w:lvlJc w:val="left"/>
      <w:lvlText w:val="%1."/>
      <w:numFmt w:val="decimal"/>
      <w:start w:val="8"/>
    </w:lvl>
  </w:abstractNum>
  <w:abstractNum w:abstractNumId="49">
    <w:nsid w:val="7D5E18F8"/>
    <w:multiLevelType w:val="hybridMultilevel"/>
    <w:lvl w:ilvl="0">
      <w:lvlJc w:val="left"/>
      <w:lvlText w:val="•"/>
      <w:numFmt w:val="bullet"/>
      <w:start w:val="1"/>
    </w:lvl>
  </w:abstractNum>
  <w:abstractNum w:abstractNumId="50">
    <w:nsid w:val="5F3534A4"/>
    <w:multiLevelType w:val="hybridMultilevel"/>
    <w:lvl w:ilvl="0">
      <w:lvlJc w:val="left"/>
      <w:lvlText w:val="%1."/>
      <w:numFmt w:val="decimal"/>
      <w:start w:val="9"/>
    </w:lvl>
  </w:abstractNum>
  <w:abstractNum w:abstractNumId="51">
    <w:nsid w:val="73A1821B"/>
    <w:multiLevelType w:val="hybridMultilevel"/>
    <w:lvl w:ilvl="0">
      <w:lvlJc w:val="left"/>
      <w:lvlText w:val="%1."/>
      <w:numFmt w:val="decimal"/>
      <w:start w:val="10"/>
    </w:lvl>
  </w:abstractNum>
  <w:abstractNum w:abstractNumId="52">
    <w:nsid w:val="7DE67713"/>
    <w:multiLevelType w:val="hybridMultilevel"/>
    <w:lvl w:ilvl="0">
      <w:lvlJc w:val="left"/>
      <w:lvlText w:val="%1."/>
      <w:numFmt w:val="decimal"/>
      <w:start w:val="11"/>
    </w:lvl>
  </w:abstractNum>
  <w:abstractNum w:abstractNumId="53">
    <w:nsid w:val="555C55B5"/>
    <w:multiLevelType w:val="hybridMultilevel"/>
    <w:lvl w:ilvl="0">
      <w:lvlJc w:val="left"/>
      <w:lvlText w:val="•"/>
      <w:numFmt w:val="bullet"/>
      <w:start w:val="1"/>
    </w:lvl>
  </w:abstractNum>
  <w:abstractNum w:abstractNumId="54">
    <w:nsid w:val="3FA62ACA"/>
    <w:multiLevelType w:val="hybridMultilevel"/>
    <w:lvl w:ilvl="0">
      <w:lvlJc w:val="left"/>
      <w:lvlText w:val="•"/>
      <w:numFmt w:val="bullet"/>
      <w:start w:val="1"/>
    </w:lvl>
  </w:abstractNum>
  <w:abstractNum w:abstractNumId="55">
    <w:nsid w:val="14FCE74E"/>
    <w:multiLevelType w:val="hybridMultilevel"/>
    <w:lvl w:ilvl="0">
      <w:lvlJc w:val="left"/>
      <w:lvlText w:val="•"/>
      <w:numFmt w:val="bullet"/>
      <w:start w:val="1"/>
    </w:lvl>
  </w:abstractNum>
  <w:abstractNum w:abstractNumId="56">
    <w:nsid w:val="6A3DD3E8"/>
    <w:multiLevelType w:val="hybridMultilevel"/>
    <w:lvl w:ilvl="0">
      <w:lvlJc w:val="left"/>
      <w:lvlText w:val="•"/>
      <w:numFmt w:val="bullet"/>
      <w:start w:val="1"/>
    </w:lvl>
  </w:abstractNum>
  <w:abstractNum w:abstractNumId="57">
    <w:nsid w:val="71C91298"/>
    <w:multiLevelType w:val="hybridMultilevel"/>
    <w:lvl w:ilvl="0">
      <w:lvlJc w:val="left"/>
      <w:lvlText w:val="•"/>
      <w:numFmt w:val="bullet"/>
      <w:start w:val="1"/>
    </w:lvl>
  </w:abstractNum>
  <w:abstractNum w:abstractNumId="58">
    <w:nsid w:val="9DAF632"/>
    <w:multiLevelType w:val="hybridMultilevel"/>
    <w:lvl w:ilvl="0">
      <w:lvlJc w:val="left"/>
      <w:lvlText w:val="•"/>
      <w:numFmt w:val="bullet"/>
      <w:start w:val="1"/>
    </w:lvl>
  </w:abstractNum>
  <w:abstractNum w:abstractNumId="59">
    <w:nsid w:val="53299938"/>
    <w:multiLevelType w:val="hybridMultilevel"/>
    <w:lvl w:ilvl="0">
      <w:lvlJc w:val="left"/>
      <w:lvlText w:val="•"/>
      <w:numFmt w:val="bullet"/>
      <w:start w:val="1"/>
    </w:lvl>
  </w:abstractNum>
  <w:abstractNum w:abstractNumId="60">
    <w:nsid w:val="1FBFE8E0"/>
    <w:multiLevelType w:val="hybridMultilevel"/>
    <w:lvl w:ilvl="0">
      <w:lvlJc w:val="left"/>
      <w:lvlText w:val="•"/>
      <w:numFmt w:val="bullet"/>
      <w:start w:val="1"/>
    </w:lvl>
  </w:abstractNum>
  <w:abstractNum w:abstractNumId="61">
    <w:nsid w:val="5092CA79"/>
    <w:multiLevelType w:val="hybridMultilevel"/>
    <w:lvl w:ilvl="0">
      <w:lvlJc w:val="left"/>
      <w:lvlText w:val="•"/>
      <w:numFmt w:val="bullet"/>
      <w:start w:val="1"/>
    </w:lvl>
  </w:abstractNum>
  <w:abstractNum w:abstractNumId="62">
    <w:nsid w:val="1D545C4D"/>
    <w:multiLevelType w:val="hybridMultilevel"/>
    <w:lvl w:ilvl="0">
      <w:lvlJc w:val="left"/>
      <w:lvlText w:val="•"/>
      <w:numFmt w:val="bullet"/>
      <w:start w:val="1"/>
    </w:lvl>
  </w:abstractNum>
  <w:abstractNum w:abstractNumId="63">
    <w:nsid w:val="59ADEA3D"/>
    <w:multiLevelType w:val="hybridMultilevel"/>
    <w:lvl w:ilvl="0">
      <w:lvlJc w:val="left"/>
      <w:lvlText w:val="•"/>
      <w:numFmt w:val="bullet"/>
      <w:start w:val="1"/>
    </w:lvl>
  </w:abstractNum>
  <w:abstractNum w:abstractNumId="64">
    <w:nsid w:val="288F1A34"/>
    <w:multiLevelType w:val="hybridMultilevel"/>
    <w:lvl w:ilvl="0">
      <w:lvlJc w:val="left"/>
      <w:lvlText w:val="•"/>
      <w:numFmt w:val="bullet"/>
      <w:start w:val="1"/>
    </w:lvl>
  </w:abstractNum>
  <w:abstractNum w:abstractNumId="65">
    <w:nsid w:val="2A155DBC"/>
    <w:multiLevelType w:val="hybridMultilevel"/>
    <w:lvl w:ilvl="0">
      <w:lvlJc w:val="left"/>
      <w:lvlText w:val="•"/>
      <w:numFmt w:val="bullet"/>
      <w:start w:val="1"/>
    </w:lvl>
  </w:abstractNum>
  <w:abstractNum w:abstractNumId="66">
    <w:nsid w:val="1D9F6E5F"/>
    <w:multiLevelType w:val="hybridMultilevel"/>
    <w:lvl w:ilvl="0">
      <w:lvlJc w:val="left"/>
      <w:lvlText w:val="o"/>
      <w:numFmt w:val="bullet"/>
      <w:start w:val="1"/>
    </w:lvl>
  </w:abstractNum>
  <w:abstractNum w:abstractNumId="67">
    <w:nsid w:val="97E1B4E"/>
    <w:multiLevelType w:val="hybridMultilevel"/>
    <w:lvl w:ilvl="0">
      <w:lvlJc w:val="left"/>
      <w:lvlText w:val="•"/>
      <w:numFmt w:val="bullet"/>
      <w:start w:val="1"/>
    </w:lvl>
  </w:abstractNum>
  <w:abstractNum w:abstractNumId="68">
    <w:nsid w:val="51088277"/>
    <w:multiLevelType w:val="hybridMultilevel"/>
    <w:lvl w:ilvl="0">
      <w:lvlJc w:val="left"/>
      <w:lvlText w:val="(%1)"/>
      <w:numFmt w:val="lowerRoman"/>
      <w:start w:val="4"/>
    </w:lvl>
  </w:abstractNum>
  <w:abstractNum w:abstractNumId="69">
    <w:nsid w:val="1CA0C5FA"/>
    <w:multiLevelType w:val="hybridMultilevel"/>
    <w:lvl w:ilvl="0">
      <w:lvlJc w:val="left"/>
      <w:lvlText w:val="(%1)"/>
      <w:numFmt w:val="upperLetter"/>
      <w:start w:val="2"/>
    </w:lvl>
  </w:abstractNum>
  <w:abstractNum w:abstractNumId="70">
    <w:nsid w:val="53584BCB"/>
    <w:multiLevelType w:val="hybridMultilevel"/>
    <w:lvl w:ilvl="0">
      <w:lvlJc w:val="left"/>
      <w:lvlText w:val="(%1)"/>
      <w:numFmt w:val="lowerRoman"/>
      <w:start w:val="1"/>
    </w:lvl>
  </w:abstractNum>
  <w:abstractNum w:abstractNumId="71">
    <w:nsid w:val="415E286C"/>
    <w:multiLevelType w:val="hybridMultilevel"/>
    <w:lvl w:ilvl="0">
      <w:lvlJc w:val="left"/>
      <w:lvlText w:val="(%1)"/>
      <w:numFmt w:val="lowerLetter"/>
      <w:start w:val="1"/>
    </w:lvl>
  </w:abstractNum>
  <w:abstractNum w:abstractNumId="72">
    <w:nsid w:val="7C58FD05"/>
    <w:multiLevelType w:val="hybridMultilevel"/>
    <w:lvl w:ilvl="0">
      <w:lvlJc w:val="left"/>
      <w:lvlText w:val="(%1)"/>
      <w:numFmt w:val="lowerLetter"/>
      <w:start w:val="7"/>
    </w:lvl>
  </w:abstractNum>
  <w:abstractNum w:abstractNumId="73">
    <w:nsid w:val="23D86AAC"/>
    <w:multiLevelType w:val="hybridMultilevel"/>
    <w:lvl w:ilvl="0">
      <w:lvlJc w:val="left"/>
      <w:lvlText w:val="(%1)"/>
      <w:numFmt w:val="lowerLetter"/>
      <w:start w:val="1"/>
    </w:lvl>
  </w:abstractNum>
  <w:abstractNum w:abstractNumId="74">
    <w:nsid w:val="45E6D486"/>
    <w:multiLevelType w:val="hybridMultilevel"/>
    <w:lvl w:ilvl="0">
      <w:lvlJc w:val="left"/>
      <w:lvlText w:val="(%1)"/>
      <w:numFmt w:val="lowerLetter"/>
      <w:start w:val="2"/>
    </w:lvl>
  </w:abstractNum>
  <w:abstractNum w:abstractNumId="75">
    <w:nsid w:val="5C10FE21"/>
    <w:multiLevelType w:val="hybridMultilevel"/>
    <w:lvl w:ilvl="0">
      <w:lvlJc w:val="left"/>
      <w:lvlText w:val="(%1)"/>
      <w:numFmt w:val="lowerLetter"/>
      <w:start w:val="1"/>
    </w:lvl>
  </w:abstractNum>
  <w:abstractNum w:abstractNumId="76">
    <w:nsid w:val="E7FFA2B"/>
    <w:multiLevelType w:val="hybridMultilevel"/>
    <w:lvl w:ilvl="0">
      <w:lvlJc w:val="left"/>
      <w:lvlText w:val="(%1)"/>
      <w:numFmt w:val="lowerLetter"/>
      <w:start w:val="1"/>
    </w:lvl>
  </w:abstractNum>
  <w:abstractNum w:abstractNumId="77">
    <w:nsid w:val="3C5991AA"/>
    <w:multiLevelType w:val="hybridMultilevel"/>
    <w:lvl w:ilvl="0">
      <w:lvlJc w:val="left"/>
      <w:lvlText w:val="%1."/>
      <w:numFmt w:val="decimal"/>
      <w:start w:val="1"/>
    </w:lvl>
  </w:abstractNum>
  <w:abstractNum w:abstractNumId="78">
    <w:nsid w:val="4BD8591A"/>
    <w:multiLevelType w:val="hybridMultilevel"/>
    <w:lvl w:ilvl="0">
      <w:lvlJc w:val="left"/>
      <w:lvlText w:val="%1."/>
      <w:numFmt w:val="decimal"/>
      <w:start w:val="2"/>
    </w:lvl>
  </w:abstractNum>
  <w:abstractNum w:abstractNumId="79">
    <w:nsid w:val="78DF6A55"/>
    <w:multiLevelType w:val="hybridMultilevel"/>
    <w:lvl w:ilvl="0">
      <w:lvlJc w:val="left"/>
      <w:lvlText w:val="%1"/>
      <w:numFmt w:val="decimal"/>
      <w:start w:val="1"/>
    </w:lvl>
    <w:lvl w:ilvl="1">
      <w:lvlJc w:val="left"/>
      <w:lvlText w:val="(%2)"/>
      <w:numFmt w:val="lowerLetter"/>
      <w:start w:val="1"/>
    </w:lvl>
  </w:abstractNum>
  <w:abstractNum w:abstractNumId="80">
    <w:nsid w:val="39B7AAA2"/>
    <w:multiLevelType w:val="hybridMultilevel"/>
    <w:lvl w:ilvl="0">
      <w:lvlJc w:val="left"/>
      <w:lvlText w:val="%1."/>
      <w:numFmt w:val="decimal"/>
      <w:start w:val="3"/>
    </w:lvl>
    <w:lvl w:ilvl="1">
      <w:lvlJc w:val="left"/>
      <w:lvlText w:val="%2"/>
      <w:numFmt w:val="lowerLetter"/>
      <w:start w:val="1"/>
    </w:lvl>
  </w:abstractNum>
  <w:abstractNum w:abstractNumId="81">
    <w:nsid w:val="2B0D8DBE"/>
    <w:multiLevelType w:val="hybridMultilevel"/>
    <w:lvl w:ilvl="0">
      <w:lvlJc w:val="left"/>
      <w:lvlText w:val="(%1)"/>
      <w:numFmt w:val="lowerLetter"/>
      <w:start w:val="1"/>
    </w:lvl>
  </w:abstractNum>
  <w:abstractNum w:abstractNumId="82">
    <w:nsid w:val="6C80EC70"/>
    <w:multiLevelType w:val="hybridMultilevel"/>
    <w:lvl w:ilvl="0">
      <w:lvlJc w:val="left"/>
      <w:lvlText w:val="%1."/>
      <w:numFmt w:val="decimal"/>
      <w:start w:val="4"/>
    </w:lvl>
  </w:abstractNum>
  <w:abstractNum w:abstractNumId="83">
    <w:nsid w:val="379E21B5"/>
    <w:multiLevelType w:val="hybridMultilevel"/>
    <w:lvl w:ilvl="0">
      <w:lvlJc w:val="left"/>
      <w:lvlText w:val="%1."/>
      <w:numFmt w:val="decimal"/>
      <w:start w:val="5"/>
    </w:lvl>
  </w:abstractNum>
  <w:abstractNum w:abstractNumId="84">
    <w:nsid w:val="69E373"/>
    <w:multiLevelType w:val="hybridMultilevel"/>
    <w:lvl w:ilvl="0">
      <w:lvlJc w:val="left"/>
      <w:lvlText w:val="%1."/>
      <w:numFmt w:val="decimal"/>
      <w:start w:val="6"/>
    </w:lvl>
  </w:abstractNum>
  <w:abstractNum w:abstractNumId="85">
    <w:nsid w:val="2C27173B"/>
    <w:multiLevelType w:val="hybridMultilevel"/>
    <w:lvl w:ilvl="0">
      <w:lvlJc w:val="left"/>
      <w:lvlText w:val="%1."/>
      <w:numFmt w:val="decimal"/>
      <w:start w:val="7"/>
    </w:lvl>
  </w:abstractNum>
  <w:abstractNum w:abstractNumId="86">
    <w:nsid w:val="4C9B0904"/>
    <w:multiLevelType w:val="hybridMultilevel"/>
    <w:lvl w:ilvl="0">
      <w:lvlJc w:val="left"/>
      <w:lvlText w:val="%1."/>
      <w:numFmt w:val="decimal"/>
      <w:start w:val="8"/>
    </w:lvl>
  </w:abstractNum>
  <w:abstractNum w:abstractNumId="87">
    <w:nsid w:val="6AA7B75C"/>
    <w:multiLevelType w:val="hybridMultilevel"/>
    <w:lvl w:ilvl="0">
      <w:lvlJc w:val="left"/>
      <w:lvlText w:val="•"/>
      <w:numFmt w:val="bullet"/>
      <w:start w:val="1"/>
    </w:lvl>
  </w:abstractNum>
  <w:abstractNum w:abstractNumId="88">
    <w:nsid w:val="1DF029D3"/>
    <w:multiLevelType w:val="hybridMultilevel"/>
    <w:lvl w:ilvl="0">
      <w:lvlJc w:val="left"/>
      <w:lvlText w:val="%1."/>
      <w:numFmt w:val="decimal"/>
      <w:start w:val="9"/>
    </w:lvl>
  </w:abstractNum>
  <w:abstractNum w:abstractNumId="89">
    <w:nsid w:val="5675FF36"/>
    <w:multiLevelType w:val="hybridMultilevel"/>
    <w:lvl w:ilvl="0">
      <w:lvlJc w:val="left"/>
      <w:lvlText w:val="%1."/>
      <w:numFmt w:val="decimal"/>
      <w:start w:val="10"/>
    </w:lvl>
  </w:abstractNum>
  <w:abstractNum w:abstractNumId="90">
    <w:nsid w:val="3DD15094"/>
    <w:multiLevelType w:val="hybridMultilevel"/>
    <w:lvl w:ilvl="0">
      <w:lvlJc w:val="left"/>
      <w:lvlText w:val="%1."/>
      <w:numFmt w:val="decimal"/>
      <w:start w:val="11"/>
    </w:lvl>
  </w:abstractNum>
  <w:abstractNum w:abstractNumId="91">
    <w:nsid w:val="3DB012B3"/>
    <w:multiLevelType w:val="hybridMultilevel"/>
    <w:lvl w:ilvl="0">
      <w:lvlJc w:val="left"/>
      <w:lvlText w:val="•"/>
      <w:numFmt w:val="bullet"/>
      <w:start w:val="1"/>
    </w:lvl>
  </w:abstractNum>
  <w:abstractNum w:abstractNumId="92">
    <w:nsid w:val="2708C9AF"/>
    <w:multiLevelType w:val="hybridMultilevel"/>
    <w:lvl w:ilvl="0">
      <w:lvlJc w:val="left"/>
      <w:lvlText w:val="•"/>
      <w:numFmt w:val="bullet"/>
      <w:start w:val="1"/>
    </w:lvl>
  </w:abstractNum>
  <w:abstractNum w:abstractNumId="93">
    <w:nsid w:val="5B25ACE2"/>
    <w:multiLevelType w:val="hybridMultilevel"/>
    <w:lvl w:ilvl="0">
      <w:lvlJc w:val="left"/>
      <w:lvlText w:val="•"/>
      <w:numFmt w:val="bullet"/>
      <w:start w:val="1"/>
    </w:lvl>
  </w:abstractNum>
  <w:abstractNum w:abstractNumId="94">
    <w:nsid w:val="175DFCF0"/>
    <w:multiLevelType w:val="hybridMultilevel"/>
    <w:lvl w:ilvl="0">
      <w:lvlJc w:val="left"/>
      <w:lvlText w:val="•"/>
      <w:numFmt w:val="bullet"/>
      <w:start w:val="1"/>
    </w:lvl>
  </w:abstractNum>
  <w:abstractNum w:abstractNumId="95">
    <w:nsid w:val="4F97E3E4"/>
    <w:multiLevelType w:val="hybridMultilevel"/>
    <w:lvl w:ilvl="0">
      <w:lvlJc w:val="left"/>
      <w:lvlText w:val="•"/>
      <w:numFmt w:val="bullet"/>
      <w:start w:val="1"/>
    </w:lvl>
  </w:abstractNum>
  <w:abstractNum w:abstractNumId="96">
    <w:nsid w:val="53B0A9E"/>
    <w:multiLevelType w:val="hybridMultilevel"/>
    <w:lvl w:ilvl="0">
      <w:lvlJc w:val="left"/>
      <w:lvlText w:val="•"/>
      <w:numFmt w:val="bullet"/>
      <w:start w:val="1"/>
    </w:lvl>
  </w:abstractNum>
  <w:abstractNum w:abstractNumId="97">
    <w:nsid w:val="34FD6B4F"/>
    <w:multiLevelType w:val="hybridMultilevel"/>
    <w:lvl w:ilvl="0">
      <w:lvlJc w:val="left"/>
      <w:lvlText w:val="•"/>
      <w:numFmt w:val="bullet"/>
      <w:start w:val="1"/>
    </w:lvl>
  </w:abstractNum>
  <w:abstractNum w:abstractNumId="98">
    <w:nsid w:val="5915FF32"/>
    <w:multiLevelType w:val="hybridMultilevel"/>
    <w:lvl w:ilvl="0">
      <w:lvlJc w:val="left"/>
      <w:lvlText w:val="•"/>
      <w:numFmt w:val="bullet"/>
      <w:start w:val="1"/>
    </w:lvl>
  </w:abstractNum>
  <w:abstractNum w:abstractNumId="99">
    <w:nsid w:val="56438D15"/>
    <w:multiLevelType w:val="hybridMultilevel"/>
    <w:lvl w:ilvl="0">
      <w:lvlJc w:val="left"/>
      <w:lvlText w:val="•"/>
      <w:numFmt w:val="bullet"/>
      <w:start w:val="1"/>
    </w:lvl>
  </w:abstractNum>
  <w:abstractNum w:abstractNumId="100">
    <w:nsid w:val="519E3149"/>
    <w:multiLevelType w:val="hybridMultilevel"/>
    <w:lvl w:ilvl="0">
      <w:lvlJc w:val="left"/>
      <w:lvlText w:val="•"/>
      <w:numFmt w:val="bullet"/>
      <w:start w:val="1"/>
    </w:lvl>
  </w:abstractNum>
  <w:abstractNum w:abstractNumId="101">
    <w:nsid w:val="2C6E4AFD"/>
    <w:multiLevelType w:val="hybridMultilevel"/>
    <w:lvl w:ilvl="0">
      <w:lvlJc w:val="left"/>
      <w:lvlText w:val="•"/>
      <w:numFmt w:val="bullet"/>
      <w:start w:val="1"/>
    </w:lvl>
  </w:abstractNum>
  <w:abstractNum w:abstractNumId="102">
    <w:nsid w:val="17A1B582"/>
    <w:multiLevelType w:val="hybridMultilevel"/>
    <w:lvl w:ilvl="0">
      <w:lvlJc w:val="left"/>
      <w:lvlText w:val="•"/>
      <w:numFmt w:val="bullet"/>
      <w:start w:val="1"/>
    </w:lvl>
  </w:abstractNum>
  <w:abstractNum w:abstractNumId="103">
    <w:nsid w:val="4DF72E4E"/>
    <w:multiLevelType w:val="hybridMultilevel"/>
    <w:lvl w:ilvl="0">
      <w:lvlJc w:val="left"/>
      <w:lvlText w:val="•"/>
      <w:numFmt w:val="bullet"/>
      <w:start w:val="1"/>
    </w:lvl>
  </w:abstractNum>
  <w:abstractNum w:abstractNumId="104">
    <w:nsid w:val="5046B5A9"/>
    <w:multiLevelType w:val="hybridMultilevel"/>
    <w:lvl w:ilvl="0">
      <w:lvlJc w:val="left"/>
      <w:lvlText w:val="o"/>
      <w:numFmt w:val="bullet"/>
      <w:start w:val="1"/>
    </w:lvl>
  </w:abstractNum>
  <w:abstractNum w:abstractNumId="105">
    <w:nsid w:val="5D888A08"/>
    <w:multiLevelType w:val="hybridMultilevel"/>
    <w:lvl w:ilvl="0">
      <w:lvlJc w:val="left"/>
      <w:lvlText w:val="•"/>
      <w:numFmt w:val="bullet"/>
      <w:start w:val="1"/>
    </w:lvl>
  </w:abstractNum>
  <w:abstractNum w:abstractNumId="106">
    <w:nsid w:val="2A082C70"/>
    <w:multiLevelType w:val="hybridMultilevel"/>
    <w:lvl w:ilvl="0">
      <w:lvlJc w:val="left"/>
      <w:lvlText w:val="%1."/>
      <w:numFmt w:val="decimal"/>
      <w:start w:val="1"/>
    </w:lvl>
  </w:abstractNum>
  <w:abstractNum w:abstractNumId="107">
    <w:nsid w:val="5EC6AFD4"/>
    <w:multiLevelType w:val="hybridMultilevel"/>
    <w:lvl w:ilvl="0">
      <w:lvlJc w:val="left"/>
      <w:lvlText w:val="%1."/>
      <w:numFmt w:val="decimal"/>
      <w:start w:val="2"/>
    </w:lvl>
  </w:abstractNum>
  <w:abstractNum w:abstractNumId="108">
    <w:nsid w:val="19E21BB2"/>
    <w:multiLevelType w:val="hybridMultilevel"/>
    <w:lvl w:ilvl="0">
      <w:lvlJc w:val="left"/>
      <w:lvlText w:val="%1."/>
      <w:numFmt w:val="decimal"/>
      <w:start w:val="3"/>
    </w:lvl>
  </w:abstractNum>
  <w:abstractNum w:abstractNumId="109">
    <w:nsid w:val="75E0858A"/>
    <w:multiLevelType w:val="hybridMultilevel"/>
    <w:lvl w:ilvl="0">
      <w:lvlJc w:val="left"/>
      <w:lvlText w:val="(%1)"/>
      <w:numFmt w:val="lowerLetter"/>
      <w:start w:val="1"/>
    </w:lvl>
  </w:abstractNum>
  <w:abstractNum w:abstractNumId="110">
    <w:nsid w:val="57A61A29"/>
    <w:multiLevelType w:val="hybridMultilevel"/>
    <w:lvl w:ilvl="0">
      <w:lvlJc w:val="left"/>
      <w:lvlText w:val="(%1)"/>
      <w:numFmt w:val="lowerLetter"/>
      <w:start w:val="7"/>
    </w:lvl>
  </w:abstractNum>
  <w:abstractNum w:abstractNumId="111">
    <w:nsid w:val="5399C654"/>
    <w:multiLevelType w:val="hybridMultilevel"/>
    <w:lvl w:ilvl="0">
      <w:lvlJc w:val="left"/>
      <w:lvlText w:val="(%1)"/>
      <w:numFmt w:val="lowerLetter"/>
      <w:start w:val="12"/>
    </w:lvl>
  </w:abstractNum>
  <w:abstractNum w:abstractNumId="112">
    <w:nsid w:val="20EE1348"/>
    <w:multiLevelType w:val="hybridMultilevel"/>
    <w:lvl w:ilvl="0">
      <w:lvlJc w:val="left"/>
      <w:lvlText w:val="(%1)"/>
      <w:numFmt w:val="lowerLetter"/>
      <w:start w:val="20"/>
    </w:lvl>
  </w:abstractNum>
  <w:abstractNum w:abstractNumId="113">
    <w:nsid w:val="4427069A"/>
    <w:multiLevelType w:val="hybridMultilevel"/>
    <w:lvl w:ilvl="0">
      <w:lvlJc w:val="left"/>
      <w:lvlText w:val="(%1)"/>
      <w:numFmt w:val="lowerLetter"/>
      <w:start w:val="27"/>
    </w:lvl>
  </w:abstractNum>
  <w:abstractNum w:abstractNumId="114">
    <w:nsid w:val="B37E80A"/>
    <w:multiLevelType w:val="hybridMultilevel"/>
    <w:lvl w:ilvl="0">
      <w:lvlJc w:val="left"/>
      <w:lvlText w:val="(%1)"/>
      <w:numFmt w:val="lowerLetter"/>
      <w:start w:val="34"/>
    </w:lvl>
  </w:abstractNum>
  <w:abstractNum w:abstractNumId="115">
    <w:nsid w:val="2157F6BC"/>
    <w:multiLevelType w:val="hybridMultilevel"/>
    <w:lvl w:ilvl="0">
      <w:lvlJc w:val="left"/>
      <w:lvlText w:val="%1."/>
      <w:numFmt w:val="decimal"/>
      <w:start w:val="4"/>
    </w:lvl>
  </w:abstractNum>
  <w:abstractNum w:abstractNumId="116">
    <w:nsid w:val="704E1DD5"/>
    <w:multiLevelType w:val="hybridMultilevel"/>
    <w:lvl w:ilvl="0">
      <w:lvlJc w:val="left"/>
      <w:lvlText w:val="(%1)"/>
      <w:numFmt w:val="lowerRoman"/>
      <w:start w:val="2"/>
    </w:lvl>
  </w:abstractNum>
  <w:abstractNum w:abstractNumId="117">
    <w:nsid w:val="57D2F10E"/>
    <w:multiLevelType w:val="hybridMultilevel"/>
    <w:lvl w:ilvl="0">
      <w:lvlJc w:val="left"/>
      <w:lvlText w:val="%1."/>
      <w:numFmt w:val="decimal"/>
      <w:start w:val="5"/>
    </w:lvl>
  </w:abstractNum>
  <w:abstractNum w:abstractNumId="118">
    <w:nsid w:val="BFFAE18"/>
    <w:multiLevelType w:val="hybridMultilevel"/>
    <w:lvl w:ilvl="0">
      <w:lvlJc w:val="left"/>
      <w:lvlText w:val="(%1)"/>
      <w:numFmt w:val="lowerLetter"/>
      <w:start w:val="1"/>
    </w:lvl>
  </w:abstractNum>
  <w:abstractNum w:abstractNumId="119">
    <w:nsid w:val="E3E47A8"/>
    <w:multiLevelType w:val="hybridMultilevel"/>
    <w:lvl w:ilvl="0">
      <w:lvlJc w:val="left"/>
      <w:lvlText w:val="(%1)"/>
      <w:numFmt w:val="lowerLetter"/>
      <w:start w:val="3"/>
    </w:lvl>
  </w:abstractNum>
  <w:abstractNum w:abstractNumId="120">
    <w:nsid w:val="2E48F044"/>
    <w:multiLevelType w:val="hybridMultilevel"/>
    <w:lvl w:ilvl="0">
      <w:lvlJc w:val="left"/>
      <w:lvlText w:val="%1."/>
      <w:numFmt w:val="decimal"/>
      <w:start w:val="6"/>
    </w:lvl>
  </w:abstractNum>
  <w:abstractNum w:abstractNumId="121">
    <w:nsid w:val="49D0FEAC"/>
    <w:multiLevelType w:val="hybridMultilevel"/>
    <w:lvl w:ilvl="0">
      <w:lvlJc w:val="left"/>
      <w:lvlText w:val="%1."/>
      <w:numFmt w:val="decimal"/>
      <w:start w:val="7"/>
    </w:lvl>
  </w:abstractNum>
  <w:abstractNum w:abstractNumId="122">
    <w:nsid w:val="4BEE5A5B"/>
    <w:multiLevelType w:val="hybridMultilevel"/>
    <w:lvl w:ilvl="0">
      <w:lvlJc w:val="left"/>
      <w:lvlText w:val="(%1)"/>
      <w:numFmt w:val="lowerLetter"/>
      <w:start w:val="1"/>
    </w:lvl>
  </w:abstractNum>
  <w:abstractNum w:abstractNumId="123">
    <w:nsid w:val="5551B9F3"/>
    <w:multiLevelType w:val="hybridMultilevel"/>
    <w:lvl w:ilvl="0">
      <w:lvlJc w:val="left"/>
      <w:lvlText w:val="(%1)"/>
      <w:numFmt w:val="lowerLetter"/>
      <w:start w:val="2"/>
    </w:lvl>
  </w:abstractNum>
  <w:abstractNum w:abstractNumId="124">
    <w:nsid w:val="24F6AB8E"/>
    <w:multiLevelType w:val="hybridMultilevel"/>
    <w:lvl w:ilvl="0">
      <w:lvlJc w:val="left"/>
      <w:lvlText w:val="%1."/>
      <w:numFmt w:val="decimal"/>
      <w:start w:val="8"/>
    </w:lvl>
  </w:abstractNum>
  <w:abstractNum w:abstractNumId="125">
    <w:nsid w:val="634C574C"/>
    <w:multiLevelType w:val="hybridMultilevel"/>
    <w:lvl w:ilvl="0">
      <w:lvlJc w:val="left"/>
      <w:lvlText w:val="%1."/>
      <w:numFmt w:val="decimal"/>
      <w:start w:val="9"/>
    </w:lvl>
  </w:abstractNum>
  <w:abstractNum w:abstractNumId="126">
    <w:nsid w:val="24E99DD7"/>
    <w:multiLevelType w:val="hybridMultilevel"/>
    <w:lvl w:ilvl="0">
      <w:lvlJc w:val="left"/>
      <w:lvlText w:val="%1."/>
      <w:numFmt w:val="decimal"/>
      <w:start w:val="10"/>
    </w:lvl>
  </w:abstractNum>
  <w:abstractNum w:abstractNumId="127">
    <w:nsid w:val="2A31B62D"/>
    <w:multiLevelType w:val="hybridMultilevel"/>
    <w:lvl w:ilvl="0">
      <w:lvlJc w:val="left"/>
      <w:lvlText w:val="(%1)"/>
      <w:numFmt w:val="lowerLetter"/>
      <w:start w:val="1"/>
    </w:lvl>
  </w:abstractNum>
  <w:abstractNum w:abstractNumId="128">
    <w:nsid w:val="1849C29B"/>
    <w:multiLevelType w:val="hybridMultilevel"/>
    <w:lvl w:ilvl="0">
      <w:lvlJc w:val="left"/>
      <w:lvlText w:val="%1."/>
      <w:numFmt w:val="decimal"/>
      <w:start w:val="11"/>
    </w:lvl>
  </w:abstractNum>
  <w:abstractNum w:abstractNumId="129">
    <w:nsid w:val="7DFF9D09"/>
    <w:multiLevelType w:val="hybridMultilevel"/>
    <w:lvl w:ilvl="0">
      <w:lvlJc w:val="left"/>
      <w:lvlText w:val="(%1)"/>
      <w:numFmt w:val="lowerLetter"/>
      <w:start w:val="1"/>
    </w:lvl>
  </w:abstractNum>
  <w:abstractNum w:abstractNumId="130">
    <w:nsid w:val="754342"/>
    <w:multiLevelType w:val="hybridMultilevel"/>
    <w:lvl w:ilvl="0">
      <w:lvlJc w:val="left"/>
      <w:lvlText w:val="(%1)"/>
      <w:numFmt w:val="lowerLetter"/>
      <w:start w:val="3"/>
    </w:lvl>
  </w:abstractNum>
  <w:abstractNum w:abstractNumId="131">
    <w:nsid w:val="69E7F3E5"/>
    <w:multiLevelType w:val="hybridMultilevel"/>
    <w:lvl w:ilvl="0">
      <w:lvlJc w:val="left"/>
      <w:lvlText w:val="%1."/>
      <w:numFmt w:val="decimal"/>
      <w:start w:val="12"/>
    </w:lvl>
  </w:abstractNum>
  <w:abstractNum w:abstractNumId="132">
    <w:nsid w:val="2A6DE806"/>
    <w:multiLevelType w:val="hybridMultilevel"/>
    <w:lvl w:ilvl="0">
      <w:lvlJc w:val="left"/>
      <w:lvlText w:val="%1."/>
      <w:numFmt w:val="decimal"/>
      <w:start w:val="13"/>
    </w:lvl>
  </w:abstractNum>
  <w:abstractNum w:abstractNumId="133">
    <w:nsid w:val="1816F8C4"/>
    <w:multiLevelType w:val="hybridMultilevel"/>
    <w:lvl w:ilvl="0">
      <w:lvlJc w:val="left"/>
      <w:lvlText w:val="%1."/>
      <w:numFmt w:val="decimal"/>
      <w:start w:val="14"/>
    </w:lvl>
  </w:abstractNum>
  <w:abstractNum w:abstractNumId="134">
    <w:nsid w:val="37DF2233"/>
    <w:multiLevelType w:val="hybridMultilevel"/>
    <w:lvl w:ilvl="0">
      <w:lvlJc w:val="left"/>
      <w:lvlText w:val="(%1)"/>
      <w:numFmt w:val="lowerLetter"/>
      <w:start w:val="1"/>
    </w:lvl>
  </w:abstractNum>
  <w:abstractNum w:abstractNumId="135">
    <w:nsid w:val="7AB49DAF"/>
    <w:multiLevelType w:val="hybridMultilevel"/>
    <w:lvl w:ilvl="0">
      <w:lvlJc w:val="left"/>
      <w:lvlText w:val="%1."/>
      <w:numFmt w:val="decimal"/>
      <w:start w:val="15"/>
    </w:lvl>
  </w:abstractNum>
  <w:abstractNum w:abstractNumId="136">
    <w:nsid w:val="759F82CD"/>
    <w:multiLevelType w:val="hybridMultilevel"/>
    <w:lvl w:ilvl="0">
      <w:lvlJc w:val="left"/>
      <w:lvlText w:val="(%1)"/>
      <w:numFmt w:val="lowerLetter"/>
      <w:start w:val="1"/>
    </w:lvl>
  </w:abstractNum>
  <w:abstractNum w:abstractNumId="137">
    <w:nsid w:val="61E74EA3"/>
    <w:multiLevelType w:val="hybridMultilevel"/>
    <w:lvl w:ilvl="0">
      <w:lvlJc w:val="left"/>
      <w:lvlText w:val="%1."/>
      <w:numFmt w:val="decimal"/>
      <w:start w:val="16"/>
    </w:lvl>
  </w:abstractNum>
  <w:abstractNum w:abstractNumId="138">
    <w:nsid w:val="597B4D84"/>
    <w:multiLevelType w:val="hybridMultilevel"/>
    <w:lvl w:ilvl="0">
      <w:lvlJc w:val="left"/>
      <w:lvlText w:val="%1."/>
      <w:numFmt w:val="decimal"/>
      <w:start w:val="17"/>
    </w:lvl>
  </w:abstractNum>
  <w:abstractNum w:abstractNumId="139">
    <w:nsid w:val="F819E7F"/>
    <w:multiLevelType w:val="hybridMultilevel"/>
    <w:lvl w:ilvl="0">
      <w:lvlJc w:val="left"/>
      <w:lvlText w:val="%1."/>
      <w:numFmt w:val="decimal"/>
      <w:start w:val="18"/>
    </w:lvl>
  </w:abstractNum>
  <w:abstractNum w:abstractNumId="140">
    <w:nsid w:val="57C7D42D"/>
    <w:multiLevelType w:val="hybridMultilevel"/>
    <w:lvl w:ilvl="0">
      <w:lvlJc w:val="left"/>
      <w:lvlText w:val="%1."/>
      <w:numFmt w:val="decimal"/>
      <w:start w:val="19"/>
    </w:lvl>
  </w:abstractNum>
  <w:abstractNum w:abstractNumId="141">
    <w:nsid w:val="312167AD"/>
    <w:multiLevelType w:val="hybridMultilevel"/>
    <w:lvl w:ilvl="0">
      <w:lvlJc w:val="left"/>
      <w:lvlText w:val="%1."/>
      <w:numFmt w:val="decimal"/>
      <w:start w:val="20"/>
    </w:lvl>
  </w:abstractNum>
  <w:abstractNum w:abstractNumId="142">
    <w:nsid w:val="631B64D4"/>
    <w:multiLevelType w:val="hybridMultilevel"/>
    <w:lvl w:ilvl="0">
      <w:lvlJc w:val="left"/>
      <w:lvlText w:val="(%1)"/>
      <w:numFmt w:val="lowerLetter"/>
      <w:start w:val="1"/>
    </w:lvl>
  </w:abstractNum>
  <w:abstractNum w:abstractNumId="143">
    <w:nsid w:val="78B5E776"/>
    <w:multiLevelType w:val="hybridMultilevel"/>
    <w:lvl w:ilvl="0">
      <w:lvlJc w:val="left"/>
      <w:lvlText w:val="(%1)"/>
      <w:numFmt w:val="lowerLetter"/>
      <w:start w:val="2"/>
    </w:lvl>
  </w:abstractNum>
  <w:abstractNum w:abstractNumId="144">
    <w:nsid w:val="75486E47"/>
    <w:multiLevelType w:val="hybridMultilevel"/>
    <w:lvl w:ilvl="0">
      <w:lvlJc w:val="left"/>
      <w:lvlText w:val="%1."/>
      <w:numFmt w:val="decimal"/>
      <w:start w:val="21"/>
    </w:lvl>
  </w:abstractNum>
  <w:abstractNum w:abstractNumId="145">
    <w:nsid w:val="6E534CDE"/>
    <w:multiLevelType w:val="hybridMultilevel"/>
    <w:lvl w:ilvl="0">
      <w:lvlJc w:val="left"/>
      <w:lvlText w:val="%1."/>
      <w:numFmt w:val="decimal"/>
      <w:start w:val="22"/>
    </w:lvl>
  </w:abstractNum>
  <w:abstractNum w:abstractNumId="146">
    <w:nsid w:val="1A0DDE32"/>
    <w:multiLevelType w:val="hybridMultilevel"/>
    <w:lvl w:ilvl="0">
      <w:lvlJc w:val="left"/>
      <w:lvlText w:val="%1."/>
      <w:numFmt w:val="decimal"/>
      <w:start w:val="23"/>
    </w:lvl>
  </w:abstractNum>
  <w:abstractNum w:abstractNumId="147">
    <w:nsid w:val="65968C1C"/>
    <w:multiLevelType w:val="hybridMultilevel"/>
    <w:lvl w:ilvl="0">
      <w:lvlJc w:val="left"/>
      <w:lvlText w:val="%1."/>
      <w:numFmt w:val="decimal"/>
      <w:start w:val="24"/>
    </w:lvl>
  </w:abstractNum>
  <w:abstractNum w:abstractNumId="148">
    <w:nsid w:val="46263DEC"/>
    <w:multiLevelType w:val="hybridMultilevel"/>
    <w:lvl w:ilvl="0">
      <w:lvlJc w:val="left"/>
      <w:lvlText w:val="%1."/>
      <w:numFmt w:val="decimal"/>
      <w:start w:val="1"/>
    </w:lvl>
    <w:lvl w:ilvl="1">
      <w:lvlJc w:val="left"/>
      <w:lvlText w:val="(%2)"/>
      <w:numFmt w:val="lowerLetter"/>
      <w:start w:val="1"/>
    </w:lvl>
  </w:abstractNum>
  <w:abstractNum w:abstractNumId="149">
    <w:nsid w:val="260D8C4A"/>
    <w:multiLevelType w:val="hybridMultilevel"/>
    <w:lvl w:ilvl="0">
      <w:lvlJc w:val="left"/>
      <w:lvlText w:val="%1."/>
      <w:numFmt w:val="decimal"/>
      <w:start w:val="1"/>
    </w:lvl>
    <w:lvl w:ilvl="1">
      <w:lvlJc w:val="left"/>
      <w:lvlText w:val="(%2)"/>
      <w:numFmt w:val="lowerLetter"/>
      <w:start w:val="1"/>
    </w:lvl>
  </w:abstractNum>
  <w:abstractNum w:abstractNumId="150">
    <w:nsid w:val="73D4D3C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jpe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jpe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jpe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jpe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337" Type="http://schemas.openxmlformats.org/officeDocument/2006/relationships/hyperlink" Target="https://www.sec.gov/Archives/edgar/data/1140536/000119312524059380/d790296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2024-04-25T14:07:59Z</dcterms:created>
  <dcterms:modified xsi:type="dcterms:W3CDTF">2024-04-25T14:07:59Z</dcterms:modified>
</cp:coreProperties>
</file>