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748030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93980</wp:posOffset>
            </wp:positionV>
            <wp:extent cx="2115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-125095</wp:posOffset>
            </wp:positionV>
            <wp:extent cx="21151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4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200" w:right="1720" w:hanging="4192"/>
        <w:spacing w:after="0" w:line="364" w:lineRule="auto"/>
        <w:tabs>
          <w:tab w:leader="none" w:pos="36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-41275</wp:posOffset>
            </wp:positionV>
            <wp:extent cx="2115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518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34925</wp:posOffset>
            </wp:positionV>
            <wp:extent cx="1113155" cy="359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3155" cy="359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WILLIS TOWERS WATSON PUBLIC LIMITED COMPANY</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94615</wp:posOffset>
            </wp:positionV>
            <wp:extent cx="2115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188"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4480" w:type="dxa"/>
            <w:vAlign w:val="bottom"/>
          </w:tcPr>
          <w:p>
            <w:pPr>
              <w:jc w:val="center"/>
              <w:ind w:right="1243"/>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4360" w:type="dxa"/>
            <w:vAlign w:val="bottom"/>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rPr>
              <w:t>98-0352587</w:t>
            </w:r>
          </w:p>
        </w:tc>
        <w:tc>
          <w:tcPr>
            <w:tcW w:w="0" w:type="dxa"/>
            <w:vAlign w:val="bottom"/>
          </w:tcPr>
          <w:p>
            <w:pPr>
              <w:spacing w:after="0"/>
              <w:rPr>
                <w:sz w:val="1"/>
                <w:szCs w:val="1"/>
                <w:color w:val="auto"/>
              </w:rPr>
            </w:pPr>
          </w:p>
        </w:tc>
      </w:tr>
      <w:tr>
        <w:trPr>
          <w:trHeight w:val="204"/>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(Jurisdiction of incorporation or organization)</w:t>
            </w:r>
          </w:p>
        </w:tc>
        <w:tc>
          <w:tcPr>
            <w:tcW w:w="4360" w:type="dxa"/>
            <w:vAlign w:val="bottom"/>
          </w:tcPr>
          <w:p>
            <w:pPr>
              <w:ind w:left="178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320"/>
        </w:trPr>
        <w:tc>
          <w:tcPr>
            <w:tcW w:w="4480" w:type="dxa"/>
            <w:vAlign w:val="bottom"/>
          </w:tcPr>
          <w:p>
            <w:pPr>
              <w:jc w:val="center"/>
              <w:ind w:right="1243"/>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4360" w:type="dxa"/>
            <w:vAlign w:val="bottom"/>
            <w:vMerge w:val="restart"/>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80"/>
        </w:trPr>
        <w:tc>
          <w:tcPr>
            <w:tcW w:w="4480" w:type="dxa"/>
            <w:vAlign w:val="bottom"/>
          </w:tcPr>
          <w:p>
            <w:pPr>
              <w:jc w:val="center"/>
              <w:ind w:right="1243"/>
              <w:spacing w:after="0" w:line="180" w:lineRule="exact"/>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80" w:type="dxa"/>
            <w:vAlign w:val="bottom"/>
          </w:tcPr>
          <w:p>
            <w:pPr>
              <w:jc w:val="center"/>
              <w:ind w:right="1243"/>
              <w:spacing w:after="0"/>
              <w:rPr>
                <w:sz w:val="20"/>
                <w:szCs w:val="20"/>
                <w:color w:val="auto"/>
              </w:rPr>
            </w:pPr>
            <w:r>
              <w:rPr>
                <w:rFonts w:ascii="Times New Roman" w:cs="Times New Roman" w:eastAsia="Times New Roman" w:hAnsi="Times New Roman"/>
                <w:sz w:val="13"/>
                <w:szCs w:val="13"/>
                <w:i w:val="1"/>
                <w:iCs w:val="1"/>
                <w:color w:val="auto"/>
                <w:w w:val="96"/>
              </w:rPr>
              <w:t>(Address of principal executive offices)</w:t>
            </w:r>
          </w:p>
        </w:tc>
        <w:tc>
          <w:tcPr>
            <w:tcW w:w="4360" w:type="dxa"/>
            <w:vAlign w:val="bottom"/>
          </w:tcPr>
          <w:p>
            <w:pPr>
              <w:ind w:left="130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60" w:type="dxa"/>
            <w:vAlign w:val="bottom"/>
            <w:vMerge w:val="restart"/>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6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3"/>
            <w:vMerge w:val="restart"/>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WTW</w:t>
            </w:r>
          </w:p>
        </w:tc>
        <w:tc>
          <w:tcPr>
            <w:tcW w:w="3860" w:type="dxa"/>
            <w:vAlign w:val="bottom"/>
            <w:vMerge w:val="restart"/>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3"/>
        </w:trPr>
        <w:tc>
          <w:tcPr>
            <w:tcW w:w="3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80" w:type="dxa"/>
            <w:vAlign w:val="bottom"/>
            <w:gridSpan w:val="3"/>
            <w:vMerge w:val="continue"/>
          </w:tcPr>
          <w:p>
            <w:pPr>
              <w:spacing w:after="0"/>
              <w:rPr>
                <w:sz w:val="3"/>
                <w:szCs w:val="3"/>
                <w:color w:val="auto"/>
              </w:rPr>
            </w:pPr>
          </w:p>
        </w:tc>
        <w:tc>
          <w:tcPr>
            <w:tcW w:w="3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600" w:type="dxa"/>
            <w:vAlign w:val="bottom"/>
          </w:tcPr>
          <w:p>
            <w:pPr>
              <w:spacing w:after="0"/>
              <w:rPr>
                <w:sz w:val="24"/>
                <w:szCs w:val="24"/>
                <w:color w:val="auto"/>
              </w:rPr>
            </w:pPr>
          </w:p>
        </w:tc>
        <w:tc>
          <w:tcPr>
            <w:tcW w:w="76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201"/>
        </w:trPr>
        <w:tc>
          <w:tcPr>
            <w:tcW w:w="73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8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73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860" w:type="dxa"/>
            <w:vAlign w:val="bottom"/>
          </w:tcPr>
          <w:p>
            <w:pPr>
              <w:ind w:left="2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1194" w:right="339" w:bottom="1440" w:gutter="0" w:footer="0" w:header="0"/>
        </w:sectPr>
      </w:pPr>
    </w:p>
    <w:p>
      <w:pPr>
        <w:spacing w:after="0" w:line="95"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ectPr>
          <w:pgSz w:w="11900" w:h="16838" w:orient="portrait"/>
          <w:cols w:equalWidth="0" w:num="8">
            <w:col w:w="2220" w:space="60"/>
            <w:col w:w="900" w:space="720"/>
            <w:col w:w="900" w:space="80"/>
            <w:col w:w="500" w:space="720"/>
            <w:col w:w="1140" w:space="80"/>
            <w:col w:w="780" w:space="720"/>
            <w:col w:w="1460" w:space="80"/>
            <w:col w:w="880"/>
          </w:cols>
          <w:pgMar w:left="320" w:top="1194" w:right="339" w:bottom="1440" w:gutter="0" w:footer="0" w:header="0"/>
          <w:type w:val="continuous"/>
        </w:sectPr>
      </w:pP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43" w:lineRule="exact"/>
        <w:rPr>
          <w:sz w:val="24"/>
          <w:szCs w:val="24"/>
          <w:color w:val="auto"/>
        </w:rPr>
      </w:pPr>
    </w:p>
    <w:p>
      <w:pPr>
        <w:sectPr>
          <w:pgSz w:w="11900" w:h="16838" w:orient="portrait"/>
          <w:cols w:equalWidth="0" w:num="2">
            <w:col w:w="2320" w:space="160"/>
            <w:col w:w="8760"/>
          </w:cols>
          <w:pgMar w:left="320" w:top="1194" w:right="339" w:bottom="1440" w:gutter="0" w:footer="0" w:header="0"/>
          <w:type w:val="continuous"/>
        </w:sect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right="20"/>
        <w:spacing w:after="0" w:line="15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14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ind w:right="260"/>
        <w:spacing w:after="0" w:line="16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66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voting common equity held by non-affiliates of the Registrant, computed by reference to the last reported price at which the Registrant’s common equity was sold on June 30, 2023 (the last day of the Registrant’s most recently completed second quarter) was $24,662,440,773.</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16, 2024, there were outstanding 102,481,452 ordinary shares, nominal value $0.000304635 per share, of the Registrant.</w:t>
      </w:r>
    </w:p>
    <w:p>
      <w:pPr>
        <w:spacing w:after="0" w:line="9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Part III will be incorporated by reference in accordance with Instruction G(3) to Form 10-K no later than 120 days after the end of the Company’s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FORM 10-K</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the year ended 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20" w:type="dxa"/>
            <w:vAlign w:val="bottom"/>
          </w:tcPr>
          <w:p>
            <w:pPr>
              <w:spacing w:after="0"/>
              <w:rPr>
                <w:sz w:val="15"/>
                <w:szCs w:val="15"/>
                <w:color w:val="auto"/>
              </w:rPr>
            </w:pPr>
          </w:p>
        </w:tc>
        <w:tc>
          <w:tcPr>
            <w:tcW w:w="10620" w:type="dxa"/>
            <w:vAlign w:val="bottom"/>
            <w:gridSpan w:val="34"/>
          </w:tcPr>
          <w:p>
            <w:pPr>
              <w:spacing w:after="0" w:line="182" w:lineRule="exact"/>
              <w:rPr>
                <w:sz w:val="20"/>
                <w:szCs w:val="20"/>
                <w:color w:val="auto"/>
              </w:rPr>
            </w:pPr>
            <w:r>
              <w:rPr>
                <w:rFonts w:ascii="Times New Roman" w:cs="Times New Roman" w:eastAsia="Times New Roman" w:hAnsi="Times New Roman"/>
                <w:sz w:val="18"/>
                <w:szCs w:val="18"/>
                <w:color w:val="0000FF"/>
              </w:rPr>
              <w:t>Certain Definitions</w:t>
            </w: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71"/>
        </w:trPr>
        <w:tc>
          <w:tcPr>
            <w:tcW w:w="20" w:type="dxa"/>
            <w:vAlign w:val="bottom"/>
          </w:tcPr>
          <w:p>
            <w:pPr>
              <w:spacing w:after="0"/>
              <w:rPr>
                <w:sz w:val="24"/>
                <w:szCs w:val="24"/>
                <w:color w:val="auto"/>
              </w:rPr>
            </w:pPr>
          </w:p>
        </w:tc>
        <w:tc>
          <w:tcPr>
            <w:tcW w:w="6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20" w:type="dxa"/>
            <w:vAlign w:val="bottom"/>
            <w:tcBorders>
              <w:top w:val="single" w:sz="8" w:color="0000FF"/>
            </w:tcBorders>
            <w:gridSpan w:val="5"/>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8700" w:type="dxa"/>
            <w:vAlign w:val="bottom"/>
            <w:gridSpan w:val="2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1"/>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8440" w:type="dxa"/>
            <w:vAlign w:val="bottom"/>
            <w:gridSpan w:val="2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32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71"/>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360" w:type="dxa"/>
            <w:vAlign w:val="bottom"/>
            <w:gridSpan w:val="21"/>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560" w:type="dxa"/>
            <w:vAlign w:val="bottom"/>
            <w:gridSpan w:val="4"/>
          </w:tcPr>
          <w:p>
            <w:pPr>
              <w:spacing w:after="0"/>
              <w:rPr>
                <w:sz w:val="24"/>
                <w:szCs w:val="24"/>
                <w:color w:val="auto"/>
              </w:rPr>
            </w:pPr>
          </w:p>
        </w:tc>
        <w:tc>
          <w:tcPr>
            <w:tcW w:w="80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8"/>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2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502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90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0" w:type="dxa"/>
            <w:vAlign w:val="bottom"/>
            <w:gridSpan w:val="17"/>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85"/>
        </w:trPr>
        <w:tc>
          <w:tcPr>
            <w:tcW w:w="20" w:type="dxa"/>
            <w:vAlign w:val="bottom"/>
          </w:tcPr>
          <w:p>
            <w:pPr>
              <w:spacing w:after="0"/>
              <w:rPr>
                <w:sz w:val="24"/>
                <w:szCs w:val="24"/>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2260" w:type="dxa"/>
            <w:vAlign w:val="bottom"/>
            <w:tcBorders>
              <w:top w:val="single" w:sz="8" w:color="0000FF"/>
            </w:tcBorders>
            <w:gridSpan w:val="7"/>
          </w:tcPr>
          <w:p>
            <w:pPr>
              <w:spacing w:after="0"/>
              <w:rPr>
                <w:sz w:val="24"/>
                <w:szCs w:val="24"/>
                <w:color w:val="auto"/>
              </w:rPr>
            </w:pPr>
          </w:p>
        </w:tc>
        <w:tc>
          <w:tcPr>
            <w:tcW w:w="528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72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8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54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92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85"/>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520" w:type="dxa"/>
            <w:vAlign w:val="bottom"/>
            <w:gridSpan w:val="3"/>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15</w:t>
            </w:r>
          </w:p>
        </w:tc>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31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22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1254"/>
        </w:trPr>
        <w:tc>
          <w:tcPr>
            <w:tcW w:w="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3" w:right="339" w:bottom="1099"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Annual Report on Form 10-K unless the context requires otherwise: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‘Us’, ‘Company’, ‘WTW’, ‘Willis Towers Watson’,</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w:t>
            </w:r>
          </w:p>
        </w:tc>
      </w:tr>
      <w:tr>
        <w:trPr>
          <w:trHeight w:val="234"/>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or ‘Willis Towers Watson plc’</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Ireland, and its subsidiaries</w:t>
            </w:r>
          </w:p>
        </w:tc>
      </w:tr>
      <w:tr>
        <w:trPr>
          <w:trHeight w:val="37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$0.000304635 per share</w:t>
            </w:r>
          </w:p>
        </w:tc>
      </w:tr>
      <w:tr>
        <w:trPr>
          <w:trHeight w:val="37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Willis’ or ‘Willis’</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Willis Group Holdings Public Limited Company and its subsidiaries, predecessor to WTW,</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to the Merger</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Towers Watson’ or ‘Towers Watson’</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Towers Watson &amp; Co. and its subsidiaries</w:t>
            </w:r>
          </w:p>
        </w:tc>
      </w:tr>
      <w:tr>
        <w:trPr>
          <w:trHeight w:val="37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of Willis Group Holdings Public Limited Company and Towers Watson &amp; Co.</w:t>
            </w:r>
          </w:p>
        </w:tc>
      </w:tr>
      <w:tr>
        <w:trPr>
          <w:trHeight w:val="216"/>
        </w:trPr>
        <w:tc>
          <w:tcPr>
            <w:tcW w:w="444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the Agreement and Plan of Merger, dated June 29, 2015, as amended on</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19, 2015, and completed on January 4, 2016</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‘Miller’</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Miller Insurance Services LLP and its subsidiaries</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‘TRANZACT’</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CD&amp;R TZ Holdings, Inc. and its subsidiaries, doing business as TRANZACT</w:t>
            </w:r>
          </w:p>
        </w:tc>
      </w:tr>
      <w:tr>
        <w:trPr>
          <w:trHeight w:val="458"/>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7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‘Brexit’</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United Kingdom’s exit from the European Union, which occurred on January 31,</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2020.</w:t>
            </w:r>
          </w:p>
        </w:tc>
      </w:tr>
      <w:tr>
        <w:trPr>
          <w:trHeight w:val="37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GAAP’</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661"/>
        </w:trPr>
        <w:tc>
          <w:tcPr>
            <w:tcW w:w="4440" w:type="dxa"/>
            <w:vAlign w:val="bottom"/>
          </w:tcPr>
          <w:p>
            <w:pPr>
              <w:spacing w:after="0"/>
              <w:rPr>
                <w:sz w:val="24"/>
                <w:szCs w:val="24"/>
                <w:color w:val="auto"/>
              </w:rPr>
            </w:pPr>
          </w:p>
        </w:tc>
        <w:tc>
          <w:tcPr>
            <w:tcW w:w="68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w:t>
            </w:r>
          </w:p>
        </w:tc>
      </w:tr>
      <w:tr>
        <w:trPr>
          <w:trHeight w:val="762"/>
        </w:trPr>
        <w:tc>
          <w:tcPr>
            <w:tcW w:w="444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future capital expenditures; ongoing working capital efforts; future share repurchases; financial results (including our revenue, costs or margins) and the impact of changes to tax laws on our financial results; existing and evolving business strategies and acquisitions and dispositions, including our completed sale of Willis Re to Arthur J. Gallagher &amp; Co. (‘Gallagher’) and transitional arrangements related thereto; demand for our services and competitive strengths; strategic goals; the benefits of new initiatives;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initiatives including the multi-year operational Transformation program;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revenue,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3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 number of risks and uncertainties that could cause actual results to differ materially from the results reflected in these forward-looking statements are identified under ‘Risk Factors’ in Item 1A of this Annual Report on Form 10-K. These statements are based on assumptions that may not come true and are subject to significant risks and uncertainties.</w:t>
      </w:r>
    </w:p>
    <w:p>
      <w:pPr>
        <w:spacing w:after="0" w:line="12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Annual Report on Form 10-K, our inclusion of this information is not a representation or guarantee by us that our objectives and plans will be achieved.</w:t>
      </w:r>
    </w:p>
    <w:p>
      <w:pPr>
        <w:spacing w:after="0" w:line="1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WTW is a leading global advisory, broking and solutions company that provides data-driven, insight-led solutions in the areas of people, risk and capital. Utilizing the global view and local expertise of our 48,000 colleagues serving more than 140 countries and markets, we help organizations sharpen strategies, enhance resilience, motivate workforces and maximize performance. We design and deliver solutions that manage risk, optimize benefits, cultivate talent and expand the power of capital to protect and strengthen institutions and individuals. Working closely with our clients, we uncover opportunities for sustainable success.</w:t>
      </w:r>
    </w:p>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clients operate on a global and local scale in a multitude of businesses and industries throughout the world and generally range in size from large, major multinational corporations to middle-market domestic and international companies. Our clients include many of the world’s leading corporations, including approximately 95% of the FTSE 100, 89% of the Fortune 1000, and 91% of the Fortune Global 500 companies. We also advise the majority of the world’s leading insurance companies. We work with major corporations, emerging growth companies, governmental agencies and not-for-profit institutions in a wide variety of industries, with many of our client relationships spanning decades. None of the Company’s customers individually represented more than 10% of its consolidated revenue for each of the years ended December 31, 2023, 2022 and 2021. We place insurance with more than 2,500 insurance carriers, none of which individually accounted for a significant concentration of the total premiums we placed on behalf of our clients in 2023, 2022 or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SEC maintains a website that contains annual, quarterly and current reports, proxy statements and other information that issuers (including WTW) file electronically with the SEC. The SEC’s website is www.sec.gov.</w:t>
      </w:r>
    </w:p>
    <w:p>
      <w:pPr>
        <w:spacing w:after="0" w:line="12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makes available, free of charge through our website, www.wtwco.com, our Annual Report on Form 10-K, our quarterly reports on Form 10-Q, our proxy statement, current reports on Form 8-K and Forms 3, 4, and 5 filed on behalf of directors and Section 16 officers, as well as any amendments to those reports filed or furnished pursuant to the Securities Exchange Act of 1934 (the ‘Exchange Act’) as soon as reasonably practicable after such material is electronically filed with, or furnished to, the SEC. Unless specifically incorporated by reference, information on our website is not a part of this Form 10-K.</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Memorandum and Articles of Association, Corporate Governance Guidelines, Audit and Risk Committee Charter, Operational Transformation Committee Charter, Human Capital and Compensation Committee Charter, and Corporate Governance and Nominating Committee Charter are available on our website, www.wtwco.com, in the Investor Relations section, or upon request. Requests for copies of these documents should be directed in writing to the Company Secretary c/o Office of General Counsel, Willis Towers Watson Public Limited Company, Brookfield Place, 200 Liberty Street, New York, NY 10281.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WTW offers its clients a broad range of services and solutions to help them to identify and control their risks, and to enhance business performance by improving their ability to attract, retain and engage a talented workforce. Our risk control services range from strategic risk consulting (including providing actuarial analysis) to a variety of due diligence services, to the provision of practical on-site risk control services (such as health and safety or property loss control consulting), as well as analytical and advisory services (such as hazard modeling and climate risk quantification). We assist clients in planning how to manage incidents or crises when they occur. These services include contingency planning, security audits and product tampering plans. 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3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our clients on their risk management requirements, helping them to determine the best means of managing risk and negotiating and placing insurance with insurance carriers through our global distribution network.</w:t>
      </w:r>
    </w:p>
    <w:p>
      <w:pPr>
        <w:spacing w:after="0" w:line="12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p>
      <w:pPr>
        <w:ind w:right="980"/>
        <w:spacing w:after="0" w:line="281"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derive the majority of our revenue from either commissions or fees for brokerage or consulting services. We do not determine the insurance premiums on which our commissions are generally based. Commission levels generally follow the same trend as premium levels as they are derived from a percentage of the premiums paid by the insureds. Fluctuations in these premiums charged by the insurance carriers can therefore have a direct and potentially material impact on our results of operations. Our fees for consulting services are spread across a variety of complementary businesses that generally remain steady during times of uncertainty. We have some businesses, such as our health and benefits and administration businesses, which can be counter cyclical during the early period of a significant economic change.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We believe that a unified and integrated approach to advisory, broking and solutions can be a path to growth for organizations around the world. We harness our collective power as ‘One WTW’ to make smart connections to serve and support our clients.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attractive markets – both growing and mature – with a diversified platform across industries, segments and businesses globally.</w:t>
      </w:r>
    </w:p>
    <w:p>
      <w:pPr>
        <w:spacing w:after="0" w:line="171"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Our vision is to be the best advisory, broking and solutions company for the benefit of all our stakeholders – creating a competitive advantage and delivering sustainable, profitable growth.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can achieve this through executing on our three strategic priorities – grow, simplify and transform:</w:t>
      </w:r>
    </w:p>
    <w:p>
      <w:pPr>
        <w:spacing w:after="0" w:line="167" w:lineRule="exact"/>
        <w:rPr>
          <w:sz w:val="20"/>
          <w:szCs w:val="20"/>
          <w:color w:val="auto"/>
        </w:rPr>
      </w:pPr>
    </w:p>
    <w:p>
      <w:pPr>
        <w:ind w:left="760" w:right="12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 at or above market in priority areas</w:t>
      </w:r>
      <w:r>
        <w:rPr>
          <w:rFonts w:ascii="Times New Roman" w:cs="Times New Roman" w:eastAsia="Times New Roman" w:hAnsi="Times New Roman"/>
          <w:sz w:val="18"/>
          <w:szCs w:val="18"/>
          <w:color w:val="auto"/>
        </w:rPr>
        <w:t>: Focus on core opportunities with the highest growth and return; innovate and accelerate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through a dynamic, yet disciplined, approach; bring targeted solutions to clients reflecting more connected offerings; and increase scale to fill gaps in capabilities through inorganic expansion.</w:t>
      </w:r>
    </w:p>
    <w:p>
      <w:pPr>
        <w:spacing w:after="0" w:line="115" w:lineRule="exact"/>
        <w:rPr>
          <w:rFonts w:ascii="Times New Roman" w:cs="Times New Roman" w:eastAsia="Times New Roman" w:hAnsi="Times New Roman"/>
          <w:sz w:val="18"/>
          <w:szCs w:val="18"/>
          <w:color w:val="auto"/>
        </w:rPr>
      </w:pPr>
    </w:p>
    <w:p>
      <w:pPr>
        <w:ind w:left="760" w:right="140" w:hanging="378"/>
        <w:spacing w:after="0" w:line="26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Simplify the business to increase agility and effectiveness</w:t>
      </w:r>
      <w:r>
        <w:rPr>
          <w:rFonts w:ascii="Times New Roman" w:cs="Times New Roman" w:eastAsia="Times New Roman" w:hAnsi="Times New Roman"/>
          <w:sz w:val="18"/>
          <w:szCs w:val="18"/>
          <w:color w:val="auto"/>
        </w:rPr>
        <w:t>: Implement the Company’s streamlined structure of two business segments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Wealth &amp; Career and Risk &amp; Broking) and three geographies (Europe, International and North America); develop a globally consistent client management model and enhance operations to improve sales and retention outcomes; manage our portfolio of businesses intentionally to drive optimal value; and increase speed of execution through agile decision-making processes.</w:t>
      </w:r>
    </w:p>
    <w:p>
      <w:pPr>
        <w:spacing w:after="0" w:line="120" w:lineRule="exact"/>
        <w:rPr>
          <w:rFonts w:ascii="Times New Roman" w:cs="Times New Roman" w:eastAsia="Times New Roman" w:hAnsi="Times New Roman"/>
          <w:sz w:val="18"/>
          <w:szCs w:val="18"/>
          <w:color w:val="auto"/>
        </w:rPr>
      </w:pPr>
    </w:p>
    <w:p>
      <w:pPr>
        <w:jc w:val="both"/>
        <w:ind w:left="760" w:right="22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Transform operations to drive savings while enhancing our client and colleague experiences</w:t>
      </w:r>
      <w:r>
        <w:rPr>
          <w:rFonts w:ascii="Times New Roman" w:cs="Times New Roman" w:eastAsia="Times New Roman" w:hAnsi="Times New Roman"/>
          <w:sz w:val="18"/>
          <w:szCs w:val="18"/>
          <w:color w:val="auto"/>
        </w:rPr>
        <w:t>: Maximize global platforms to be as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possible and as distinct as necessary; right-shore operations to capitalize on our scale; rationalize real estate and build new ways of working; and modernize technology to enhance the digital experience.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these strategies we aim to grow revenue, improve margins and increase cash flow, EBITDA and earnings.</w:t>
      </w:r>
    </w:p>
    <w:p>
      <w:pPr>
        <w:spacing w:after="0" w:line="171"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We care as much about how we work as we do about the impact that we make. This means commitment to a shared purpose and values, a framework that guides how we run our business and serve clients. Our values of client focus, teamwork, integrity, respect and excellence underlie all that we do, and how we behave and interact with each other, our clients and our partners.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risks to our strategic plans, see Part I, Item 1A Risk Factors of this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Services</w:t>
      </w:r>
    </w:p>
    <w:p>
      <w:pPr>
        <w:spacing w:after="0" w:line="17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manage our business across two integrated reportable operating segments: Health, Wealth &amp; Career and Risk &amp; Broking. Below are the percentages of revenue generated by each segment for each of the years ended December 31, 2023, 2022 and 2021. These percentages exclude revenue that has been classified as discontinued operations in our consolidated statements of comprehensive income.</w:t>
      </w:r>
    </w:p>
    <w:p>
      <w:pPr>
        <w:spacing w:after="0" w:line="18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28"/>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Wealth &amp; Career</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9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8"/>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&amp; Broking</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9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661"/>
        </w:trPr>
        <w:tc>
          <w:tcPr>
            <w:tcW w:w="6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65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73" w:right="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following presents descriptions of our segments: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 the interrelated challenges that the management teams of our clients face across human resources (‘HR’) and finance.</w:t>
      </w:r>
    </w:p>
    <w:p>
      <w:pPr>
        <w:spacing w:after="0" w:line="12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w:t>
      </w:r>
    </w:p>
    <w:p>
      <w:pPr>
        <w:spacing w:after="0" w:line="17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Health &amp; Benefits (‘H&amp;B’) business provides strategy and design consulting, plan management service and support, broking and administration across the full spectrum of health, wellbeing and other group benefit programs, including medical, dental, disability, life, voluntary benefits and other coverage. Our reach extends from small/mid-market clients to large-market and multinational clients, across the full geographic footprint of the Company, and to most industries. We can address our clients’ needs in more than 140 countries.</w:t>
      </w:r>
    </w:p>
    <w:p>
      <w:pPr>
        <w:spacing w:after="0" w:line="12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Our consultants help clients make strategic decisions on topics such as optimizing program spend; evaluating emerging vendors, point solutions and coverage options (including publicly-subsidized health insurance exchanges and private exchanges in the U.S.); and dealing with above-inflation-rate increases in healthcare costs. We also assist clients in selecting the appropriate insurance carriers to cover benefit risks and administer the programs. In addition to our consulting and broking services, we manage a number of collective purchasing initiatives, such as pharmacy and stop-loss, that allow employers to realize greater value from third-party service providers than they can achieve on their own.</w:t>
      </w:r>
    </w:p>
    <w:p>
      <w:pPr>
        <w:spacing w:after="0" w:line="12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With Global Benefits Management, our suite of global services supporting medical, dental and risk (e.g., life, disability) programs, we have a tailored offering for multinationals. This offering includes a flexible set of ready-made solutions, proven technology and an integrated approach to service delivery that translates to a globally consistent, high-quality experience for our clients.</w:t>
      </w:r>
    </w:p>
    <w:p>
      <w:pPr>
        <w:spacing w:after="0" w:line="1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meaningful portion of revenue in this business is from recurring work, though contracts may be annual or multi-year. Given the balance of revenue across consulting, broking and solutions, our revenue is somewhat weighted to the first half of the year.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i w:val="1"/>
          <w:iCs w:val="1"/>
          <w:color w:val="auto"/>
        </w:rPr>
        <w:t>ealth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wealth-related businesses include Retirement and Investments.</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Retirement </w:t>
      </w:r>
      <w:r>
        <w:rPr>
          <w:rFonts w:ascii="Times New Roman" w:cs="Times New Roman" w:eastAsia="Times New Roman" w:hAnsi="Times New Roman"/>
          <w:sz w:val="18"/>
          <w:szCs w:val="18"/>
          <w:color w:val="auto"/>
        </w:rPr>
        <w:t>— Our Retirement business provides actuarial support, plan design, and administrative services for all forms of pension and retirement savings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Our colleagues help our clients assess the costs and risks of retirement plans on cash flow, earnings and the balance sheet, the effects of changing workforce demographics on their retirement plans, and retiree benefit adequacy and security. We offer clients a full range of integrated retirement consulting services and solutions to meet the needs of all types of employers. We help multinationals coordinate plan design and actuarial services across their complex global plans. We bring in-depth data analysis and perspective to their decision-making process as we have tracked the retirement designs and financing strategies of companies around the world over many decades.</w:t>
      </w:r>
    </w:p>
    <w:p>
      <w:pPr>
        <w:spacing w:after="0" w:line="13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clients that want to outsource some or all of their pension plan management, we offer broking services, as well as integrated solutions that can combine investment discretionary management, pension administration, core actuarial services, and communication and change management assistance.</w:t>
      </w:r>
    </w:p>
    <w:p>
      <w:pPr>
        <w:spacing w:after="0" w:line="10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Retirement relationships are generally long-term in nature, and client retention rates for this business are high. A significant portion of the revenue in this business is from recurring work, with multi-year contracts that are driven by the heavily regulated nature of pension plans and our clients’ annual needs for these services.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 Our Investments business provides advice and discretionary investment management solutions to defined benefit and defined contribution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pension plans as well as to a range of other client types including insurers, endowments and foundations, and private wealth investors. We provide a solution to a significant business problem faced by our clients, namely sustaining the resources and skills required to deliver a financial services product in highly competitive capital markets. We offer a flexible approach that adapts to a wide range of client needs and circumstances, with the objective of higher returns, lower risk and lower costs within each client’s unique situation.</w:t>
      </w:r>
    </w:p>
    <w:p>
      <w:pPr>
        <w:spacing w:after="0" w:line="13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Our solutions range from single asset class activity, through complete management of entire pension plan assets including sophisticated liability hedging programs.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7" w:name="page8"/>
    <w:bookmarkEnd w:id="7"/>
    <w:p>
      <w:pPr>
        <w:ind w:right="200"/>
        <w:spacing w:after="0" w:line="312" w:lineRule="auto"/>
        <w:rPr>
          <w:sz w:val="20"/>
          <w:szCs w:val="20"/>
          <w:color w:val="auto"/>
        </w:rPr>
      </w:pPr>
      <w:r>
        <w:rPr>
          <w:rFonts w:ascii="Times New Roman" w:cs="Times New Roman" w:eastAsia="Times New Roman" w:hAnsi="Times New Roman"/>
          <w:sz w:val="17"/>
          <w:szCs w:val="17"/>
          <w:color w:val="auto"/>
        </w:rPr>
        <w:t>We bring together a broad array of specialist investment knowledge and skills across all asset classes, a high-quality execution platform, a cost advantage through our scale, and expert advisors with experience across all client types from the largest plans in the world to small corporate pension plans.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long-term relationships with our Investments clients, with the majority of our revenue driven by retainer contracts.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Career</w:t>
      </w:r>
    </w:p>
    <w:p>
      <w:pPr>
        <w:spacing w:after="0" w:line="17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Our career-related offerings include advice, data, software and products to address clients’ total rewards and talent issues across the globe delivered through our Work &amp; Rewards and Employee Experience businesses.</w:t>
      </w:r>
    </w:p>
    <w:p>
      <w:pPr>
        <w:spacing w:after="0" w:line="1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Work &amp; Rewards </w:t>
      </w:r>
      <w:r>
        <w:rPr>
          <w:rFonts w:ascii="Times New Roman" w:cs="Times New Roman" w:eastAsia="Times New Roman" w:hAnsi="Times New Roman"/>
          <w:sz w:val="18"/>
          <w:szCs w:val="18"/>
          <w:color w:val="auto"/>
        </w:rPr>
        <w:t>— Within our Work &amp; Rewards business, we help clients determine the best ways to get work done, the skills needed for jobs, and how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reward employees. We address executive compensation and broad-based rewards. We advise our clients’ management and boards of directors on all aspects of executive pay programs, including base pay, annual bonuses, long-term incentives, perquisites and other benefits. Our focus is on aligning pay plans with an organization’s business strategy and driving desired performance. Our solutions incorporate proprietary market benchmarking data and software to support compensation administration.</w:t>
      </w:r>
    </w:p>
    <w:p>
      <w:pPr>
        <w:spacing w:after="0" w:line="128"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Employee Experience </w:t>
      </w:r>
      <w:r>
        <w:rPr>
          <w:rFonts w:ascii="Times New Roman" w:cs="Times New Roman" w:eastAsia="Times New Roman" w:hAnsi="Times New Roman"/>
          <w:sz w:val="18"/>
          <w:szCs w:val="18"/>
          <w:color w:val="auto"/>
        </w:rPr>
        <w:t>— Our Employee Experience business focuses on the provision of solutions including employee insight and listening tools,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platform that connects users across our HWC segment, communication and change management services.</w:t>
      </w:r>
    </w:p>
    <w:p>
      <w:pPr>
        <w:spacing w:after="0" w:line="1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Revenue for our career-related businesses is partly seasonal in nature, with heightened activity in the second half of the calendar year during the annual compensation, benefits and survey cycles. While these businesses enjoy long-term relationships with many clients, work in several practices is often project-based and can be sensitive to economic changes. The businesses benefit from regulatory changes affecting our clients that require strategic advice, program changes and communication, the redefinition of jobs, work location and career paths as technology disaggregates work, and the recalibration of pay and the employee experience amidst shifting labor markets.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Delivery &amp; Outsourcing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Benefits Delivery &amp; Outsourcing businesses include Benefits Delivery &amp; Administration (‘BDA’) and Global Outsourcing.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Benefits Delivery &amp; Administration </w:t>
      </w:r>
      <w:r>
        <w:rPr>
          <w:rFonts w:ascii="Times New Roman" w:cs="Times New Roman" w:eastAsia="Times New Roman" w:hAnsi="Times New Roman"/>
          <w:sz w:val="18"/>
          <w:szCs w:val="18"/>
          <w:color w:val="auto"/>
        </w:rPr>
        <w:t>— The BDA business includes Individual Marketplace and Benefits Accounts.</w:t>
      </w:r>
    </w:p>
    <w:p>
      <w:pPr>
        <w:spacing w:after="0" w:line="171" w:lineRule="exact"/>
        <w:rPr>
          <w:sz w:val="20"/>
          <w:szCs w:val="20"/>
          <w:color w:val="auto"/>
        </w:rPr>
      </w:pPr>
    </w:p>
    <w:p>
      <w:pPr>
        <w:ind w:left="38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Individual Marketplace </w:t>
      </w:r>
      <w:r>
        <w:rPr>
          <w:rFonts w:ascii="Times New Roman" w:cs="Times New Roman" w:eastAsia="Times New Roman" w:hAnsi="Times New Roman"/>
          <w:sz w:val="18"/>
          <w:szCs w:val="18"/>
          <w:color w:val="auto"/>
        </w:rPr>
        <w:t>— Individual Marketplace offers decision support processes and tools to connect consumers with insurance carriers in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and Medicare markets. Individual Marketplace serves both employer-based and direct-to-consumer populations through its end-to-end consumer acquisition and engagement platforms, which tightly integrate call routing technology, an efficient quoting and enrollment engine, a customer relations management system and deep links with insurance carriers. By leveraging its multiple distribution channels and diverse product portfolio, Individual Marketplace offers solutions to a broad consumer base, helping individuals compare, purchase and use health insurance products, tools and information for life.</w:t>
      </w:r>
    </w:p>
    <w:p>
      <w:pPr>
        <w:spacing w:after="0" w:line="132" w:lineRule="exact"/>
        <w:rPr>
          <w:sz w:val="20"/>
          <w:szCs w:val="20"/>
          <w:color w:val="auto"/>
        </w:rPr>
      </w:pPr>
    </w:p>
    <w:p>
      <w:pPr>
        <w:ind w:left="380"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Benefits Accounts </w:t>
      </w:r>
      <w:r>
        <w:rPr>
          <w:rFonts w:ascii="Times New Roman" w:cs="Times New Roman" w:eastAsia="Times New Roman" w:hAnsi="Times New Roman"/>
          <w:sz w:val="18"/>
          <w:szCs w:val="18"/>
          <w:color w:val="auto"/>
        </w:rPr>
        <w:t>— Benefits Accounts provides employees and retirees with tax-advantaged medical spending and savings accounts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savings accounts (‘HSA’), health care flexible spending accounts (‘HCFSA’), dependent care flexible spending accounts (‘DCFSA’), limited purpose flexible spending accounts (‘LPFSA’) and health reimbursement arrangements (‘HRA’). Benefits Accounts is an important component of our holistic solutions suite, allowing employers to choose among an array of funding accounts when offering employees and retirees account-based health plans.</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Global Outsourcing </w:t>
      </w:r>
      <w:r>
        <w:rPr>
          <w:rFonts w:ascii="Times New Roman" w:cs="Times New Roman" w:eastAsia="Times New Roman" w:hAnsi="Times New Roman"/>
          <w:sz w:val="18"/>
          <w:szCs w:val="18"/>
          <w:color w:val="auto"/>
        </w:rPr>
        <w:t>— Global Outsourcing administers the health, welfare and retirement plans of clients using our proprietary technology, including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enable benefit modeling, decision support, enrollment and benefit choice, records management and self-service functions. Drawing on expertise in H&amp;B and Retirement to create high-performing benefit plan designs, we believe we are well-positioned to help clients of all sizes simplify their benefits delivery, while lowering the total costs of benefits and related administration. Our technology also provides trustees and HR teams with timely management information to monitor activity and service levels and reduce administration costs.</w:t>
      </w:r>
    </w:p>
    <w:p>
      <w:pPr>
        <w:spacing w:after="0" w:line="13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With ongoing servicing requirements and multi-year contracts in place, we have high client retention rates. We are the leading administrator among the 200 largest pension plans in the U.K., as well as a leader in Germany.</w:t>
      </w:r>
    </w:p>
    <w:p>
      <w:pPr>
        <w:spacing w:after="0" w:line="10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A significant portion of the revenue in Benefits Delivery &amp; Outsourcing is recurring in nature, driven by either the commissions from the policies we sell, or from long-term service contracts with our clients that typically range from three to five years. Revenue across this business is seasonal and is generally higher in the fourth quarter as it is driven when typical annual enrollment activity occurs.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globally, ranging from small businesses to multinational corporations.</w:t>
      </w:r>
    </w:p>
    <w:p>
      <w:pPr>
        <w:spacing w:after="0" w:line="109" w:lineRule="exact"/>
        <w:rPr>
          <w:sz w:val="20"/>
          <w:szCs w:val="20"/>
          <w:color w:val="auto"/>
        </w:rPr>
      </w:pPr>
    </w:p>
    <w:p>
      <w:pPr>
        <w:ind w:right="1260"/>
        <w:spacing w:after="0" w:line="437" w:lineRule="auto"/>
        <w:rPr>
          <w:sz w:val="20"/>
          <w:szCs w:val="20"/>
          <w:color w:val="auto"/>
        </w:rPr>
      </w:pPr>
      <w:r>
        <w:rPr>
          <w:rFonts w:ascii="Times New Roman" w:cs="Times New Roman" w:eastAsia="Times New Roman" w:hAnsi="Times New Roman"/>
          <w:sz w:val="18"/>
          <w:szCs w:val="18"/>
          <w:color w:val="auto"/>
        </w:rPr>
        <w:t xml:space="preserve">The segment comprises two primary businesses: our Corporate Risk &amp; Broking and our Insurance Consulting and Technology businesses. </w:t>
      </w:r>
      <w:r>
        <w:rPr>
          <w:rFonts w:ascii="Times New Roman" w:cs="Times New Roman" w:eastAsia="Times New Roman" w:hAnsi="Times New Roman"/>
          <w:sz w:val="18"/>
          <w:szCs w:val="18"/>
          <w:i w:val="1"/>
          <w:iCs w:val="1"/>
          <w:color w:val="auto"/>
        </w:rPr>
        <w:t>Corporate Risk &amp; Broking (‘CRB’)</w:t>
      </w:r>
    </w:p>
    <w:p>
      <w:pPr>
        <w:spacing w:after="0" w:line="1"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The CRB business places more than $30 billion of premiums into the insurance markets on an annual basis and delivers integrated global solutions tailored to client needs. This is underpinned by data and analytics through a balanced matrix of global lines of business and local Property and Casualty businesses, across three geographical areas: North America, Europe and International. Globally, and across the businesses, our specialized and data-driven approach is underpinned by our risk analytics and climate analytics propositions.</w:t>
      </w:r>
    </w:p>
    <w:p>
      <w:pPr>
        <w:spacing w:after="0" w:line="12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Across all businesses, our experts take an industry-focused approach to risk management and assessment, delivering broader perspectives and data-informed decision making to our clients. Our lines of business include Property and Casualty, Affinity, Risk &amp; Analytics and our specialty global lines of business.</w:t>
      </w:r>
    </w:p>
    <w:p>
      <w:pPr>
        <w:spacing w:after="0" w:line="12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Property and Casualty </w:t>
      </w:r>
      <w:r>
        <w:rPr>
          <w:rFonts w:ascii="Times New Roman" w:cs="Times New Roman" w:eastAsia="Times New Roman" w:hAnsi="Times New Roman"/>
          <w:sz w:val="18"/>
          <w:szCs w:val="18"/>
          <w:color w:val="auto"/>
        </w:rPr>
        <w:t>— Property and Casualty, in each of our geographical areas, provides property and liability insurance brokerage services across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wide range of industries and segments including real estate, healthcare and retail.</w:t>
      </w:r>
    </w:p>
    <w:p>
      <w:pPr>
        <w:spacing w:after="0" w:line="105"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Affinity </w:t>
      </w:r>
      <w:r>
        <w:rPr>
          <w:rFonts w:ascii="Times New Roman" w:cs="Times New Roman" w:eastAsia="Times New Roman" w:hAnsi="Times New Roman"/>
          <w:sz w:val="18"/>
          <w:szCs w:val="18"/>
          <w:color w:val="auto"/>
        </w:rPr>
        <w:t>— Through Affinity, we arrange insurance products and services for our affinity client partners to offer to their customers, employees, or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alongside, or in addition to, their principal business offerings.</w:t>
      </w:r>
    </w:p>
    <w:p>
      <w:pPr>
        <w:spacing w:after="0" w:line="105"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Risk &amp; Analytics (‘R&amp;A’) </w:t>
      </w:r>
      <w:r>
        <w:rPr>
          <w:rFonts w:ascii="Times New Roman" w:cs="Times New Roman" w:eastAsia="Times New Roman" w:hAnsi="Times New Roman"/>
          <w:sz w:val="18"/>
          <w:szCs w:val="18"/>
          <w:color w:val="auto"/>
        </w:rPr>
        <w:t>— Our R&amp;A offering includes deep expertise on specific client needs. Through the use of holistic analysis, R&amp;A brings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risk quantification and development of a robust portfolio risk strategy, ultimately delivering a sound financial approach to all clients.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specialty global lines of business include:</w:t>
      </w:r>
    </w:p>
    <w:p>
      <w:pPr>
        <w:spacing w:after="0" w:line="16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Aerospace </w:t>
      </w:r>
      <w:r>
        <w:rPr>
          <w:rFonts w:ascii="Times New Roman" w:cs="Times New Roman" w:eastAsia="Times New Roman" w:hAnsi="Times New Roman"/>
          <w:sz w:val="18"/>
          <w:szCs w:val="18"/>
          <w:color w:val="auto"/>
        </w:rPr>
        <w:t>— Aerospace provides specialist expertise to the aerospace and space industries. Our aerospace business provides insurance broking,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services, contractual and technical advisory expertise to aerospace clients globally, including the world’s leading airlines, aircraft manufacturers, air cargo handlers and other airport and general aviation companies. The specialist InSpace team is also prominent in providing insurance and risk management services to the space industry.</w:t>
      </w:r>
    </w:p>
    <w:p>
      <w:pPr>
        <w:spacing w:after="0" w:line="124"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 Our Construction business provides services that include insurance broking, claims, loss control and specialized risk advice for a 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construction projects and activities. Clients include contractors, project owners, public entities, project managers, consultants and financiers, among others.</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Global Markets Direct &amp; Facultative </w:t>
      </w:r>
      <w:r>
        <w:rPr>
          <w:rFonts w:ascii="Times New Roman" w:cs="Times New Roman" w:eastAsia="Times New Roman" w:hAnsi="Times New Roman"/>
          <w:sz w:val="18"/>
          <w:szCs w:val="18"/>
          <w:color w:val="auto"/>
        </w:rPr>
        <w:t>— Operating in the major wholesale reinsurance hubs across the globe, including London, Bermuda, Singapore,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Hong Kong and Shanghai, solutions are delivered both directly to clients for the most complex property and casualty risks and as facultative reinsurance placements where we serve as an intermediary for insurance companies. Facultative solutions are provided across various classes of risk for our insurer clients, some of which may also be direct clients of WTW. The aim is to deliver optimum results for our clients by getting the right risk to the right market by the right broker, be it local, wholesale or facultative every time.</w:t>
      </w:r>
    </w:p>
    <w:p>
      <w:pPr>
        <w:spacing w:after="0" w:line="1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Financial, Executive and Professional Risks (‘FINEX’) </w:t>
      </w:r>
      <w:r>
        <w:rPr>
          <w:rFonts w:ascii="Times New Roman" w:cs="Times New Roman" w:eastAsia="Times New Roman" w:hAnsi="Times New Roman"/>
          <w:sz w:val="18"/>
          <w:szCs w:val="18"/>
          <w:color w:val="auto"/>
        </w:rPr>
        <w:t>— FINEX encompasses all financial and executive risks, delivering client solutions that range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professional liability, employment practices liability, crime, cyber and M&amp;A-related insurances to risk consulting and advisory services. Specialist teams provide risk consulting and risk transfer solutions to a broad spectrum of clients across a multitude of industries, as well as the financial and professional service sectors.</w:t>
      </w:r>
    </w:p>
    <w:p>
      <w:pPr>
        <w:spacing w:after="0" w:line="124"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Solutions </w:t>
      </w:r>
      <w:r>
        <w:rPr>
          <w:rFonts w:ascii="Times New Roman" w:cs="Times New Roman" w:eastAsia="Times New Roman" w:hAnsi="Times New Roman"/>
          <w:sz w:val="18"/>
          <w:szCs w:val="18"/>
          <w:color w:val="auto"/>
        </w:rPr>
        <w:t>— Financial Solutions provides insurance broking services and specialized risk advice related to credit and political risk and crisis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terrorism, kidnap and ransom and contingency risk. Clients include international banks, leasing companies, commodity traders, export credit agencies and multinational corporations.</w:t>
      </w:r>
    </w:p>
    <w:p>
      <w:pPr>
        <w:spacing w:after="0" w:line="1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Crisis Management </w:t>
      </w:r>
      <w:r>
        <w:rPr>
          <w:rFonts w:ascii="Times New Roman" w:cs="Times New Roman" w:eastAsia="Times New Roman" w:hAnsi="Times New Roman"/>
          <w:sz w:val="18"/>
          <w:szCs w:val="18"/>
          <w:color w:val="auto"/>
        </w:rPr>
        <w:t>— Our global practice delivers crisis management and contingency risk management to multinational clients, providing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around terrorism, political violence, accident and health, special crime and active assailant.</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9" w:right="379" w:bottom="1440" w:gutter="0" w:footer="0" w:header="0"/>
        </w:sectPr>
      </w:pPr>
    </w:p>
    <w:bookmarkStart w:id="9" w:name="page10"/>
    <w:bookmarkEnd w:id="9"/>
    <w:p>
      <w:pPr>
        <w:ind w:right="3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Surety </w:t>
      </w:r>
      <w:r>
        <w:rPr>
          <w:rFonts w:ascii="Times New Roman" w:cs="Times New Roman" w:eastAsia="Times New Roman" w:hAnsi="Times New Roman"/>
          <w:sz w:val="18"/>
          <w:szCs w:val="18"/>
          <w:color w:val="auto"/>
        </w:rPr>
        <w:t>— The Global Surety team provides expertise in placing bonds across all industries and around the globe. A surety bond is a financial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guarantees contractual performance, statutory compliance, and financial assurance for domestic and international companies.</w:t>
      </w:r>
    </w:p>
    <w:p>
      <w:pPr>
        <w:spacing w:after="0" w:line="1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w:t>
      </w:r>
      <w:r>
        <w:rPr>
          <w:rFonts w:ascii="Times New Roman" w:cs="Times New Roman" w:eastAsia="Times New Roman" w:hAnsi="Times New Roman"/>
          <w:sz w:val="18"/>
          <w:szCs w:val="18"/>
          <w:color w:val="auto"/>
        </w:rPr>
        <w:t>— Marine provides specialist expertise to the maritime and logistics industries. Our Marine business provides insurance broking services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hull and machinery, cargo, protection and indemnity, fine art and general marine liabilities, among others. Our Marine clients include, but are not limited to, ship owners and operators, shipbuilders, logistics operations, port authorities, traders, shippers, exhibitors and secure transport companies.</w:t>
      </w:r>
    </w:p>
    <w:p>
      <w:pPr>
        <w:spacing w:after="0" w:line="11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Natural Resources </w:t>
      </w:r>
      <w:r>
        <w:rPr>
          <w:rFonts w:ascii="Times New Roman" w:cs="Times New Roman" w:eastAsia="Times New Roman" w:hAnsi="Times New Roman"/>
          <w:sz w:val="18"/>
          <w:szCs w:val="18"/>
          <w:color w:val="auto"/>
        </w:rPr>
        <w:t>— Our Natural Resources practice encompasses the oil, gas and chemicals, mining and metals, power and utilities and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sectors. It provides sector-specific risk transfer solutions and insights, which include insurance broking, risk engineering, contractual reviews, wording analysis and claims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Consulting and Technology (‘ICT’)</w:t>
      </w:r>
    </w:p>
    <w:p>
      <w:pPr>
        <w:spacing w:after="0" w:line="1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ICT is a global business that provides advice and technology solutions to the insurance industry. We leverage our industry experience, strategic perspective and analytical skills to help clients measure and manage risk and capital, improve business performance and create a sustainable competitive advantage. Our services include software and technology, risk and capital management, products and product pricing, financial and regulatory reporting, financial and capital modeling, M&amp;A, outsourcing and business management.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1"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Colleague experience – </w:t>
      </w:r>
      <w:r>
        <w:rPr>
          <w:rFonts w:ascii="Times New Roman" w:cs="Times New Roman" w:eastAsia="Times New Roman" w:hAnsi="Times New Roman"/>
          <w:sz w:val="18"/>
          <w:szCs w:val="18"/>
          <w:color w:val="auto"/>
        </w:rPr>
        <w:t>Our colleague experience is an important differentiating factor for WTW and a key enabler of our grow, simplify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It is designed to provide colleagues with a strong sense of purpose and belonging where everyone is heard and valued, the opportunity to build great connections with people and leaders, meaningful and interesting work</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opportunities to grow and thrive with recognition and reward in return. This means we strive to foster an inclusive environment where everyone can be their authentic self, where we encourage curiosity, innovation and a continuous improvement mindset and an environment where we are bold in our thinking and care about the impact we have.</w:t>
      </w:r>
    </w:p>
    <w:p>
      <w:pPr>
        <w:spacing w:after="0" w:line="1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Our values, vision, purpose, and Colleague Value Proposition (‘CVP’) — we’re Authentic, Curious and Bold, sets the tone for what to expect at WTW. In addition, our ‘grow, simplify and transform’ strategic priorities enhance our focus on how to continually support and improve our colleague experience. We continually build on our CVP through execution of a colleague experience roadmap and a robust portfolio of colleague listening activities to attract, engage and retain the most accomplished and aspiring talent.</w:t>
      </w:r>
    </w:p>
    <w:p>
      <w:pPr>
        <w:spacing w:after="0" w:line="12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Colleagues – </w:t>
      </w:r>
      <w:r>
        <w:rPr>
          <w:rFonts w:ascii="Times New Roman" w:cs="Times New Roman" w:eastAsia="Times New Roman" w:hAnsi="Times New Roman"/>
          <w:sz w:val="18"/>
          <w:szCs w:val="18"/>
          <w:color w:val="auto"/>
        </w:rPr>
        <w:t>Our success depends on our ability to bring to our clients the most accomplished and aspiring talent in the industry. We provide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colleagues with meaningful long-term careers across our base of full-time (the majority), part-time and seasonal/temporary colleagues to meet the specific needs of our various businesses.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employees by segment as of the year ended December 31, 2023 is approximated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80" w:type="dxa"/>
            <w:vAlign w:val="bottom"/>
          </w:tcPr>
          <w:p>
            <w:pPr>
              <w:spacing w:after="0"/>
              <w:rPr>
                <w:sz w:val="16"/>
                <w:szCs w:val="16"/>
                <w:color w:val="auto"/>
              </w:rPr>
            </w:pPr>
          </w:p>
        </w:tc>
        <w:tc>
          <w:tcPr>
            <w:tcW w:w="1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6"/>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Wealth &amp; Career</w:t>
            </w:r>
          </w:p>
        </w:tc>
        <w:tc>
          <w:tcPr>
            <w:tcW w:w="1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24,100</w:t>
            </w:r>
          </w:p>
        </w:tc>
        <w:tc>
          <w:tcPr>
            <w:tcW w:w="0" w:type="dxa"/>
            <w:vAlign w:val="bottom"/>
          </w:tcPr>
          <w:p>
            <w:pPr>
              <w:spacing w:after="0"/>
              <w:rPr>
                <w:sz w:val="1"/>
                <w:szCs w:val="1"/>
                <w:color w:val="auto"/>
              </w:rPr>
            </w:pPr>
          </w:p>
        </w:tc>
      </w:tr>
      <w:tr>
        <w:trPr>
          <w:trHeight w:val="23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&amp; Broking</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14,300</w:t>
            </w:r>
          </w:p>
        </w:tc>
        <w:tc>
          <w:tcPr>
            <w:tcW w:w="0" w:type="dxa"/>
            <w:vAlign w:val="bottom"/>
          </w:tcPr>
          <w:p>
            <w:pPr>
              <w:spacing w:after="0"/>
              <w:rPr>
                <w:sz w:val="1"/>
                <w:szCs w:val="1"/>
                <w:color w:val="auto"/>
              </w:rPr>
            </w:pPr>
          </w:p>
        </w:tc>
      </w:tr>
      <w:tr>
        <w:trPr>
          <w:trHeight w:val="243"/>
        </w:trPr>
        <w:tc>
          <w:tcPr>
            <w:tcW w:w="9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34"/>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Employees</w:t>
            </w:r>
          </w:p>
        </w:tc>
        <w:tc>
          <w:tcPr>
            <w:tcW w:w="1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number of employees by geography as of the year ended December 31, 2023 is approximated below:</w:t>
            </w: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28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280" w:type="dxa"/>
            <w:vAlign w:val="bottom"/>
          </w:tcPr>
          <w:p>
            <w:pPr>
              <w:spacing w:after="0"/>
              <w:rPr>
                <w:sz w:val="24"/>
                <w:szCs w:val="24"/>
                <w:color w:val="auto"/>
              </w:rPr>
            </w:pPr>
          </w:p>
        </w:tc>
        <w:tc>
          <w:tcPr>
            <w:tcW w:w="1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6"/>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3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3"/>
        </w:trPr>
        <w:tc>
          <w:tcPr>
            <w:tcW w:w="9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36"/>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Employees</w:t>
            </w:r>
          </w:p>
        </w:tc>
        <w:tc>
          <w:tcPr>
            <w:tcW w:w="1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Voluntary turnover excluding TRANZACT employees (rolling 12-month attrition) has continued on a consistent downward trend throughout 2023 (10.8% compared to 15.2% in 2022). This percentage excludes individuals who are hired, but do not commence employment with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Hiring – </w:t>
      </w:r>
      <w:r>
        <w:rPr>
          <w:rFonts w:ascii="Times New Roman" w:cs="Times New Roman" w:eastAsia="Times New Roman" w:hAnsi="Times New Roman"/>
          <w:sz w:val="18"/>
          <w:szCs w:val="18"/>
          <w:color w:val="auto"/>
        </w:rPr>
        <w:t>Hiring in 2023 stabilized with the favorable reduction in attrition, resulting in a decrease year over year.</w:t>
      </w:r>
    </w:p>
    <w:p>
      <w:pPr>
        <w:spacing w:after="0" w:line="175" w:lineRule="exact"/>
        <w:rPr>
          <w:sz w:val="20"/>
          <w:szCs w:val="20"/>
          <w:color w:val="auto"/>
        </w:rPr>
      </w:pPr>
    </w:p>
    <w:p>
      <w:pPr>
        <w:ind w:left="760" w:right="20" w:hanging="378"/>
        <w:spacing w:after="0" w:line="26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seen a shift in hiring demand from our larger markets (North America, Great Britain and Europe) to our Global Service Delivery Centers (Latin America, Southern Europe and Asia) for Operations and Technology positions, as we continue to prioritize transformational hiring and the right shoring of roles.</w:t>
      </w:r>
    </w:p>
    <w:p>
      <w:pPr>
        <w:spacing w:after="0" w:line="123" w:lineRule="exact"/>
        <w:rPr>
          <w:rFonts w:ascii="Times New Roman" w:cs="Times New Roman" w:eastAsia="Times New Roman" w:hAnsi="Times New Roman"/>
          <w:sz w:val="18"/>
          <w:szCs w:val="18"/>
          <w:color w:val="auto"/>
        </w:rPr>
      </w:pPr>
    </w:p>
    <w:p>
      <w:pPr>
        <w:ind w:left="760" w:right="280" w:hanging="378"/>
        <w:spacing w:after="0" w:line="28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into the Early Careers programs remained largely consistent with 2022, with an increased focus on building a diverse pipeline of talent through attraction and development programs that deliver inclusive and diverse undergraduate classes.</w:t>
      </w:r>
    </w:p>
    <w:p>
      <w:pPr>
        <w:spacing w:after="0" w:line="16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Hiring and internal movement statistics, summarized below, consistent with prior years excludes colleagues in TRANZACT as the volumes are material and fluctuate significantly in light of the nature of hiring in that business, which is materially dependent on seasonal colleagues:</w:t>
      </w:r>
    </w:p>
    <w:p>
      <w:pPr>
        <w:spacing w:after="0" w:line="109" w:lineRule="exact"/>
        <w:rPr>
          <w:sz w:val="20"/>
          <w:szCs w:val="20"/>
          <w:color w:val="auto"/>
        </w:rPr>
      </w:pPr>
    </w:p>
    <w:p>
      <w:pPr>
        <w:ind w:left="76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exceeded 8,100, a decrease of 16% as compared to 2022, attributable to a favorable reduction in global attrition, and the higher-than-typical hiring volumes in 2022.</w:t>
      </w:r>
    </w:p>
    <w:p>
      <w:pPr>
        <w:spacing w:after="0" w:line="108" w:lineRule="exact"/>
        <w:rPr>
          <w:rFonts w:ascii="Times New Roman" w:cs="Times New Roman" w:eastAsia="Times New Roman" w:hAnsi="Times New Roman"/>
          <w:sz w:val="18"/>
          <w:szCs w:val="18"/>
          <w:color w:val="auto"/>
        </w:rPr>
      </w:pPr>
    </w:p>
    <w:p>
      <w:pPr>
        <w:ind w:left="760" w:right="26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Promotions and direct appointments into new roles brought additional opportunities for career growth and advancement and contributed to the improvement of female representation in senior leadership.</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have a strong rate of alumni returning to WTW, with rehires representing 6% of total hires in 2023 compared to 5% in 2022.</w:t>
      </w:r>
    </w:p>
    <w:p>
      <w:pPr>
        <w:spacing w:after="0" w:line="16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Inclusion and Diversity (‘I&amp;D’) – </w:t>
      </w:r>
      <w:r>
        <w:rPr>
          <w:rFonts w:ascii="Times New Roman" w:cs="Times New Roman" w:eastAsia="Times New Roman" w:hAnsi="Times New Roman"/>
          <w:sz w:val="18"/>
          <w:szCs w:val="18"/>
          <w:color w:val="auto"/>
        </w:rPr>
        <w:t>We believe that when our individual talents are combined, we unlock our collective potential. We further believe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better together because each of us is different. We are taking action that we expect will have the effect of increasing representation and overall diversity throughout our talent pipeline, as reflected in the three focus areas of our ongoing multiyear I&amp;D strategy:</w:t>
      </w:r>
    </w:p>
    <w:p>
      <w:pPr>
        <w:spacing w:after="0" w:line="120"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hire to grow our talent pipeline of colleagues from diverse communities.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promote in an inclusive and thoughtful manner, with the aspiration of increasing the overall diversity in business leadership.</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an inclusive culture that respects each other’s differences and celebrates what is unique about each of us.</w:t>
      </w:r>
    </w:p>
    <w:p>
      <w:pPr>
        <w:spacing w:after="0" w:line="17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At December 31, 2023, we had the following global female representation, and in the U.S. where we have the most complete data, we had the following ethnic and racial diversity representation: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Colleague Group</w:t>
            </w: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All Colleagues</w:t>
            </w:r>
          </w:p>
        </w:tc>
        <w:tc>
          <w:tcPr>
            <w:tcW w:w="200" w:type="dxa"/>
            <w:vAlign w:val="bottom"/>
          </w:tcPr>
          <w:p>
            <w:pPr>
              <w:spacing w:after="0"/>
              <w:rPr>
                <w:sz w:val="18"/>
                <w:szCs w:val="18"/>
                <w:color w:val="auto"/>
              </w:rPr>
            </w:pPr>
          </w:p>
        </w:tc>
        <w:tc>
          <w:tcPr>
            <w:tcW w:w="16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xml:space="preserve">Senior Leadership </w:t>
            </w:r>
            <w:r>
              <w:rPr>
                <w:rFonts w:ascii="Times New Roman" w:cs="Times New Roman" w:eastAsia="Times New Roman" w:hAnsi="Times New Roman"/>
                <w:sz w:val="19"/>
                <w:szCs w:val="19"/>
                <w:b w:val="1"/>
                <w:bCs w:val="1"/>
                <w:color w:val="auto"/>
                <w:vertAlign w:val="superscript"/>
              </w:rPr>
              <w:t>(ii)</w:t>
            </w:r>
          </w:p>
        </w:tc>
      </w:tr>
      <w:tr>
        <w:trPr>
          <w:trHeight w:val="23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Female (global)</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line="236" w:lineRule="exact"/>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24"/>
                <w:szCs w:val="24"/>
                <w:color w:val="auto"/>
                <w:vertAlign w:val="superscript"/>
              </w:rPr>
              <w:t>(iii)</w:t>
            </w:r>
          </w:p>
        </w:tc>
      </w:tr>
      <w:tr>
        <w:trPr>
          <w:trHeight w:val="23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Ethnic and racial diversity (U.S. only)</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7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8"/>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Black</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7"/>
        </w:trPr>
        <w:tc>
          <w:tcPr>
            <w:tcW w:w="7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Hispanic</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98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Other non-white </w:t>
            </w:r>
            <w:r>
              <w:rPr>
                <w:rFonts w:ascii="Times New Roman" w:cs="Times New Roman" w:eastAsia="Times New Roman" w:hAnsi="Times New Roman"/>
                <w:sz w:val="24"/>
                <w:szCs w:val="24"/>
                <w:color w:val="auto"/>
                <w:vertAlign w:val="superscript"/>
              </w:rPr>
              <w:t>(i)</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6"/>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top w:val="single" w:sz="8" w:color="auto"/>
              <w:bottom w:val="single" w:sz="8" w:color="auto"/>
            </w:tcBorders>
            <w:shd w:val="clear" w:color="auto" w:fill="CFF0FC"/>
          </w:tcPr>
          <w:p>
            <w:pPr>
              <w:jc w:val="right"/>
              <w:spacing w:after="0" w:line="236" w:lineRule="exact"/>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24"/>
                <w:szCs w:val="24"/>
                <w:color w:val="auto"/>
                <w:vertAlign w:val="superscript"/>
              </w:rPr>
              <w:t>(iv)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-24765</wp:posOffset>
            </wp:positionV>
            <wp:extent cx="120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20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950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non-white includes American Indian, Native Hawaiian or other Pacific Islander and two or more races.</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leadership represents about 4% of our colleagues and includes those with titles of Managing and Senior Directors.</w:t>
      </w:r>
    </w:p>
    <w:p>
      <w:pPr>
        <w:spacing w:after="0" w:line="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was 31.0% at December 31, 2022</w:t>
      </w:r>
    </w:p>
    <w:p>
      <w:pPr>
        <w:spacing w:after="0" w:line="1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was 8.7% at December 31, 2022</w:t>
      </w:r>
    </w:p>
    <w:p>
      <w:pPr>
        <w:spacing w:after="0" w:line="154"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Our commitment to diversity is also demonstrated by the range of diversity represented on our board, which reflects diversity of gender, ethnicity and nationality, and varied backgrounds and skill sets. As of December 31, 2023, 40% of directors identify as female, 10% as LGBT+ and 10% as Black. In addition, 75% of our board committee chairs are female and 50% identify as Black or LGBT+. Further, 60% of our directors have non-US citizenship.</w:t>
      </w:r>
    </w:p>
    <w:p>
      <w:pPr>
        <w:spacing w:after="0" w:line="10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Additionally, I&amp;D aspirational priorities are included in our executive officers’ overall individual performance objectives and individual efforts are considered as one factor in the determination of their short-term incentive awards. Each year our leaders cascade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1" w:name="page12"/>
    <w:bookmarkEnd w:id="11"/>
    <w:p>
      <w:pPr>
        <w:ind w:right="420"/>
        <w:spacing w:after="0" w:line="281" w:lineRule="auto"/>
        <w:rPr>
          <w:sz w:val="20"/>
          <w:szCs w:val="20"/>
          <w:color w:val="auto"/>
        </w:rPr>
      </w:pPr>
      <w:r>
        <w:rPr>
          <w:rFonts w:ascii="Times New Roman" w:cs="Times New Roman" w:eastAsia="Times New Roman" w:hAnsi="Times New Roman"/>
          <w:sz w:val="18"/>
          <w:szCs w:val="18"/>
          <w:color w:val="auto"/>
        </w:rPr>
        <w:t>I&amp;D aspirational priorities throughout the organization, and we continue to reinforce objective and fair processes that aim to mitigate bias in our talent programs and hiring practices. Examples of key activities include:</w:t>
      </w:r>
    </w:p>
    <w:p>
      <w:pPr>
        <w:spacing w:after="0" w:line="109" w:lineRule="exact"/>
        <w:rPr>
          <w:sz w:val="20"/>
          <w:szCs w:val="20"/>
          <w:color w:val="auto"/>
        </w:rPr>
      </w:pPr>
    </w:p>
    <w:p>
      <w:pPr>
        <w:ind w:left="760" w:right="200" w:hanging="378"/>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I&amp;D council, sponsored by our Chief Executive Officer and Chief Human Resources Officer, sets the goals for our global I&amp;D initiatives. It is supported by regional councils that provide local perspectives and help to translate our global priorities into actions within each region.</w:t>
      </w:r>
    </w:p>
    <w:p>
      <w:pPr>
        <w:spacing w:after="0" w:line="123"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I&amp;D processes and learning curriculums in place that are intended to ensure progression of our I&amp;D priorities and create an inclusive culture that fosters and promotes diversity.</w:t>
      </w:r>
    </w:p>
    <w:p>
      <w:pPr>
        <w:spacing w:after="0" w:line="108" w:lineRule="exact"/>
        <w:rPr>
          <w:rFonts w:ascii="Times New Roman" w:cs="Times New Roman" w:eastAsia="Times New Roman" w:hAnsi="Times New Roman"/>
          <w:sz w:val="18"/>
          <w:szCs w:val="18"/>
          <w:color w:val="auto"/>
        </w:rPr>
      </w:pPr>
    </w:p>
    <w:p>
      <w:pPr>
        <w:jc w:val="both"/>
        <w:ind w:left="760" w:right="60" w:hanging="378"/>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networks are designed to engage our talent and better connect us to each other, our clients, and the communities in which we work and live. Current inclusion networks include: Gender Equity, LGBT+, Multicultural, Workability (Asia, North America, the U.K.), Early Careers Professionals (Asia, the U.K., Western Europe), Veterans (North America) and Caregivers (U.K.).</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rewards – </w:t>
      </w:r>
      <w:r>
        <w:rPr>
          <w:rFonts w:ascii="Times New Roman" w:cs="Times New Roman" w:eastAsia="Times New Roman" w:hAnsi="Times New Roman"/>
          <w:sz w:val="18"/>
          <w:szCs w:val="18"/>
          <w:color w:val="auto"/>
        </w:rPr>
        <w:t>We invest significant resources in our most important asset, our colleagues, and having the right total rewards programs to support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colleague experience is an important part of our commitment to being the best company we can be. We offer market competitive arrangements in aggregate, aligned to a pay-for-performance culture that delivers optimized value to WTW for the benefit of all our stakeholders, and alongside our colleague experience, positions WTW as a magnet for the most accomplished and aspiring talent in the industry.</w:t>
      </w:r>
    </w:p>
    <w:p>
      <w:pPr>
        <w:spacing w:after="0" w:line="1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total rewards comprise a wide array of programs, including pay, benefits, wellbeing, time off, career development opportunities and other aspects of the work environment. At its core, our total rewards programs are designed to:</w:t>
      </w:r>
    </w:p>
    <w:p>
      <w:pPr>
        <w:spacing w:after="0" w:line="10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 in the local marketplace;</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colleague performance and engagement;</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an inclusive and diverse working environment and workforce;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for meaningful choice, where appropriate, to address individual needs.</w:t>
      </w:r>
    </w:p>
    <w:p>
      <w:pPr>
        <w:spacing w:after="0" w:line="17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At WTW, we continually assess our total rewards strategy, seeking to understand colleague preferences to ensure we are investing in rewards that provide the greatest return. Insights gathered from colleague listening inform focus areas and adjustments that align with our grow, simplify, and transform strategic priorities and colleague experience — ensuring we are offering the right mix of meaningful and competitive programs now and in the future to deliver our growth strategy.</w:t>
      </w:r>
    </w:p>
    <w:p>
      <w:pPr>
        <w:spacing w:after="0" w:line="12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Work Styles </w:t>
      </w:r>
      <w:r>
        <w:rPr>
          <w:rFonts w:ascii="Times New Roman" w:cs="Times New Roman" w:eastAsia="Times New Roman" w:hAnsi="Times New Roman"/>
          <w:sz w:val="17"/>
          <w:szCs w:val="17"/>
          <w:color w:val="auto"/>
        </w:rPr>
        <w:t>– We have a flexible and adaptable approach to where colleagues work, aligned to the distinct needs of our businesses and leveraging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distinct working solutions: office-based, hybrid and remote. This framework has flexibility at its core and is based on the principle that the work itself drives where and how the work gets done. In-office interactions are encouraged for all colleagues, with some moving to more frequent and regular in-person collaboration, including minimum in-office requirements in some areas of our business. As we continue to grow, simplify, and transform, WTW Work Styles continues to be a key differentiator for us in the market and is an important part of our ongoing strategy to attract, engage and retain top talent.</w:t>
      </w:r>
    </w:p>
    <w:p>
      <w:pPr>
        <w:spacing w:after="0" w:line="116"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The failure to successfully attract and retain qualified personnel could materially adversely affect our results of operations and prospects. For more information see Part I, Item 1A Risk Factors of this Annual Report on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face competition in all fields in which we operate, based on factors including global capability, product breadth, innovation, quality of service and price.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compete with companies such as Aon plc, Arthur J. Gallagher &amp; Co., Brown &amp; Brown Inc., Cognizant Technology Solutions Corporation, Marsh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McLennan Companies, Inc. (‘Marsh &amp; McLennan’) and Robert Half International Inc., as well as with numerous specialty, regional and local firms.</w:t>
      </w:r>
    </w:p>
    <w:p>
      <w:pPr>
        <w:spacing w:after="0" w:line="1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Competition on premium rates has also exacerbated the pressures caused by a continuing reduction in demand in some classes of business. For example, rather than purchase additional insurance through brokers, some insureds have been retaining a greater proportion of their risk portfolios than previously. Industrial and commercial companies increasingly rely upon their own subsidiary insurance companies, known as captive insurance companies, self-insurance pools, risk retention groups, mutual insurance companies and other mechanisms for funding their risks, rather than buy insurance. Additional competitive pressures have arisen and are expected to continue to arise from the entry and expansion of new market participants, such as banks, accounting firms, new brokers and insurance carriers themselves, offering risk management or transfer services.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2" w:name="page13"/>
    <w:bookmarkEnd w:id="12"/>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human capital and risk management consulting industries are highly competitive. We believe we have developed competitive advantages in providing HR consulting and risk management consulting services. We face strong competition from numerous sources, including from large consulting firms, accounting firms and specialized firms focused on these services as further identified below. See Part I, Item 1A Risk Factors – </w:t>
      </w:r>
      <w:r>
        <w:rPr>
          <w:rFonts w:ascii="Times New Roman" w:cs="Times New Roman" w:eastAsia="Times New Roman" w:hAnsi="Times New Roman"/>
          <w:sz w:val="18"/>
          <w:szCs w:val="18"/>
          <w:i w:val="1"/>
          <w:iCs w:val="1"/>
          <w:color w:val="auto"/>
        </w:rPr>
        <w:t>‘Demand for our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decrease for various reasons, including a general economic downturn, increased competition, or a decline in a client’s or an industry’s financial condition or prospects, all of which could substantially and negatively affect us’</w:t>
      </w:r>
      <w:r>
        <w:rPr>
          <w:rFonts w:ascii="Times New Roman" w:cs="Times New Roman" w:eastAsia="Times New Roman" w:hAnsi="Times New Roman"/>
          <w:sz w:val="18"/>
          <w:szCs w:val="18"/>
          <w:color w:val="auto"/>
        </w:rPr>
        <w:t>, for a description of competition-related risks that may affect demand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services.</w:t>
      </w:r>
    </w:p>
    <w:p>
      <w:pPr>
        <w:spacing w:after="0" w:line="13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Our largest competitors in the pension consulting industry are Mercer HR Consulting (a Marsh &amp; McLennan company) and Aon plc. In addition, we face vigorous competition from numerous other companies in the global HR consulting industry.</w:t>
      </w:r>
    </w:p>
    <w:p>
      <w:pPr>
        <w:spacing w:after="0" w:line="1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major competitors in the insurance consulting and software industry include Milliman, Oliver Wyman (a Marsh &amp; McLennan company), the big four accounting firms (Deloitte LLP, Ernst &amp; Young, PricewaterhouseCoopers, and KPMG), and SunGard. Aon plc, Buck Consultants (an HIG Capital Company), Connextions (a United Healthcare company), Mercer (a Marsh &amp; McLennan company), Automatic Data Processing and Fidelity are among our largest competitors in the insurance exchange industry. With the implementation of the Patient Protection and Affordable Care Act, we also compete with the public exchanges currently run by the U.S. federal, and state governments. We also compete with providers of account-based health plans and consumer-directed benefits such as WageWorks and HealthEquity.</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market for our services is subject to change as a result of economic, regulatory and legislative changes, technological developments, and increased competition from established and new competitors. Regulatory and legislative actions, along with continuously evolving technological developments, will likely have the greatest impact on the overall market for our exchange products. See Part I, Item 1A Risk Factors – </w:t>
      </w:r>
      <w:r>
        <w:rPr>
          <w:rFonts w:ascii="Times New Roman" w:cs="Times New Roman" w:eastAsia="Times New Roman" w:hAnsi="Times New Roman"/>
          <w:sz w:val="18"/>
          <w:szCs w:val="18"/>
          <w:i w:val="1"/>
          <w:iCs w:val="1"/>
          <w:color w:val="auto"/>
        </w:rPr>
        <w:t>‘Our business will be negatively 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if we are not able to anticipate and keep pace with rapid changes in government laws or regulations, or if government laws or regulations decrease the need for our services, increase our costs or limit our compensation’ </w:t>
      </w:r>
      <w:r>
        <w:rPr>
          <w:rFonts w:ascii="Times New Roman" w:cs="Times New Roman" w:eastAsia="Times New Roman" w:hAnsi="Times New Roman"/>
          <w:sz w:val="18"/>
          <w:szCs w:val="18"/>
          <w:color w:val="auto"/>
        </w:rPr>
        <w:t>and related risk factors for a description of legal, non-financial/-regulatory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risks to the Company.</w:t>
      </w:r>
    </w:p>
    <w:p>
      <w:pPr>
        <w:spacing w:after="0" w:line="13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We believe the primary factors in selecting an HR consulting or risk management services firm include reputation; the ability to provide measurable increases to shareholder value and return on investment; geographic scope; quality of service; and the ability to tailor services to clients’ unique needs.</w:t>
      </w:r>
    </w:p>
    <w:p>
      <w:pPr>
        <w:spacing w:after="0" w:line="85"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8"/>
          <w:szCs w:val="18"/>
          <w:color w:val="auto"/>
        </w:rPr>
        <w:t>With regard to the marketplace for individuals and active employee exchanges, we believe that clients base their decisions on a variety of factors that include the ability of the provider to deliver measurable cost savings, a strong reputation for efficient execution, a provider’s capability in delivering a broad number of configurations to serve various population segments, and an innovative service delivery model and platform.</w:t>
      </w:r>
    </w:p>
    <w:p>
      <w:pPr>
        <w:spacing w:after="0" w:line="12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our traditional consulting and risk management services and the rapidly evolving exchange products, we believe we compete favorably with respect to these factors.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business activities are subject to legal requirements and governmental and quasi-governmental regulatory supervision in all countries in which we operate. Also, such regulations may require individual or company licensing to conduct our business activities. While these requirements may vary from location to location, they are generally designed to protect our clients by establishing minimum standards of conduct and practice, particularly regarding the provision of advice and product information, as well as financial criteria. We are also subject to data privacy regulations that apply to health, medical, financial and other types of personal information belonging to our employees, clients and their employees and other third parties across most jurisdictions, including, among others, the E.U. and U.K. General Data Protection Regulations, the Personal Information Protection Law (‘PIPL’) in China and privacy legislation in certain U.S. states, including the California Privacy Rights Act (‘CPRA’). Sustainable investing and environmental, social and governance initiatives continue to be the focus of increased regulatory scrutiny across jurisdictions, with emerging regulation of greenhouse gas emissions and disclosures of their impact on the climate, including in the state of California, proposed rules of the U.S. Securities and Exchange Commission, the Corporate Sustainability Reporting Directive and other regulations across the E.U. Across many jurisdictions we are subject to various financial crime laws and regulations through our activities, activities of associated persons, the products and services we provide and our business and client relationships. Such laws and regulations relate to, among other areas, sanctions and export control, anti-bribery, anti-corruption, anti-money-laundering and counter-terrorist financing. Similarly, we are subject in many jurisdictions to antitrust laws, which are designed to promote robust competition in the markets in which we participate.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Our most significant regulatory regions are further described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activities in connection with insurance brokerage services within the U.S. are subject to regulation and supervision by state authorities. Although the scope of regulation and form of supervision may vary from state to state, insurance laws in the United States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states in which we currently operate is dependent upon our compliance with the rules and regulations promulgated by the regulatory authorities in each of these states. Additionally, some of our private exchange activities, including our TRANZACT business which focuses on direct-to-consumer Medicare policy sales, are overseen by the Centers for Medicare &amp; Medicaid Services (‘CMS’), which is part of the U.S. Department of Health and Human Services. See Part I, Item 1A Risk Factors under the heading ‘</w:t>
      </w:r>
      <w:r>
        <w:rPr>
          <w:rFonts w:ascii="Times New Roman" w:cs="Times New Roman" w:eastAsia="Times New Roman" w:hAnsi="Times New Roman"/>
          <w:sz w:val="18"/>
          <w:szCs w:val="18"/>
          <w:i w:val="1"/>
          <w:iCs w:val="1"/>
          <w:color w:val="auto"/>
        </w:rPr>
        <w:t>Our business will be negatively affected if we are not able to anticipate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keep pace with rapid changes in government laws or regulations, or if government laws or regulations decrease the need for our services, increase our costs or limit our compensation’ </w:t>
      </w:r>
      <w:r>
        <w:rPr>
          <w:rFonts w:ascii="Times New Roman" w:cs="Times New Roman" w:eastAsia="Times New Roman" w:hAnsi="Times New Roman"/>
          <w:sz w:val="18"/>
          <w:szCs w:val="18"/>
          <w:color w:val="auto"/>
        </w:rPr>
        <w:t>for a description of the risks related to our private exchange activities.</w:t>
      </w:r>
    </w:p>
    <w:p>
      <w:pPr>
        <w:spacing w:after="0" w:line="1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Furthermore, certain of our activities are subject to regulation under the Health Insurance Portability and Accountability Act (‘HIPAA’), which is enforced by the Office for Civil Rights within the Department of Health and Human Services. As we implement and expand our direct-to-consumer sales and marketing solutions through our Benefits Delivery &amp; Administration business,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 for Medicare Services).</w:t>
      </w:r>
    </w:p>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of our activities are governed by other regulatory bodies, such as investment and securities licensing authorities. Our activities in connection with investment services within the United States are subject to regulation and supervision at both the federal and state levels. At the federal level, certain of our operating subsidiaries are regulated by the SEC through the Investment Company Act of 1940 and the Investment Advisers’ Act of 1940 and by the Department of Labor through the Employee Retirement Income Security Act, or ERISA. In connection with the SEC regulations, we are required to file certain reports, and are subject to various marketing restrictions, among other requirements. In connection with ERISA regulations, we are limited in the actions we can take for plans for which we serve as fiduciaries, among other matters. Our U.S. investment activities are also subject to certain state regulatory schemes, and some activities also are subject to regulation by the Commodities and Futures Trading Commission under the Commodities Exchange Act.</w:t>
      </w:r>
    </w:p>
    <w:p>
      <w:pPr>
        <w:spacing w:after="0" w:line="13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Our activities in connection with Third Party Administrator (‘TPA’) services in the United States are also subject to regulation and supervision by many state authorities. Licensing requirements and supervision vary from state to state. As with insurance brokerage services, our continuing ability to provide these services in states that regulate our activities is dependent upon our compliance with the rules and regulations promulgated from time to time by the regulatory authorities in each of these states.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U.K., our business is regulated by the Financial Conduct Authority (‘FCA’).</w:t>
      </w:r>
    </w:p>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FCA has a sole strategic objective: to ensure that the relevant markets function well. Its operational objectives are to secure an appropriate degree of protection for consumers, to protect and enhance the integrity of the U.K. financial system, and to promote effective competition in the interests of consumers. The FCA has a wide range of rule-making, investigatory and enforcement powers (including the power to censure and fine) and conducts monitoring visits to assess our compliance with regulatory requirements. In addition, the FCA extended the Senior Managers and Certification Regime (‘SMCR’) which became effective on December 9, 2019 in relation to our U.K. FCA-regulated businesses. The SMCR is designed to drive improvements in culture and governance within financial services firms and to deter misconduct by increasing individual accountability to the FCA.</w:t>
      </w:r>
    </w:p>
    <w:p>
      <w:pPr>
        <w:spacing w:after="0" w:line="132"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New regulations and modifications to existing regulations that are specific to the U.K. have and will continue to result in differences from the regulatory requirements of the E.U. See Part I, Item 1A Risk Factors, for a description of Brexit-related risks to the Company.</w:t>
      </w:r>
    </w:p>
    <w:p>
      <w:pPr>
        <w:spacing w:after="0" w:line="1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Furthermore, as a result of Brexit, the WTW Brexit broking solution (the U.K. branch of Willis Towers Watson SA/NV) was required to seek authorization from the FCA as a third country branch. Full authorization was granted by the FCA on September 29, 2023 following completion of the application process. As a result of full FCA authorization, the branch is no longer operating under the FCA’s Temporary Permissions Regime. The branch is therefore subject to requirements in key areas such as SMCR and continues to be subject, in addition, to the supervisory oversight of the Belgian Financial Services &amp; Markets Authority.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European Union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2005, the European Union Insurance Mediation Directive introduced rules to enable insurance and reinsurance intermediaries to operate and provide services within each member state of the E.U. on a basis consistent with the E.U. single market and customer protection aims. Each E.U. member state in which we operate is required to ensure that the insurance and reinsurance intermediaries resident in their country are registered with a statutory body in that country and that each intermediary meets professional requirements in relation to their competence, good repute, professional indemnity cover and financial capacity. The E.U. issued an additional Insurance Distribution Directive that expands the 2005 directive, and all E.U. member states in which we operate were required to enact the directive and adopt local country laws by October 1, 2018.</w:t>
      </w:r>
    </w:p>
    <w:p>
      <w:pPr>
        <w:spacing w:after="0" w:line="13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Certain of our entities that undertake pension scheme management are subject to MiFID (Markets in Financial Instruments Directive) and MiFIR (the Markets in Financial Instruments Regulation). In addition, revisions to MiFID (‘MiFID II’) took effect in January 2018. These revisions are aimed at strengthening investor protection and improving the function of financial markets. MiFID II imposes a variety of requirements that include, among others, rules relating to product governance and independent investment advice, responsibility of management bodies, inducements, information and reporting to clients, cross-selling, remuneration of staff, and best execution of trades for clients. Further, some of our entities are also authorized and regulated by certain financial services authorities in countries such as Sweden, Ireland, the Netherlands and the U.K.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All companies carrying on similar activities discussed above in a given jurisdiction are subject to regulations which are not dissimilar to the requirements for our operations in the U.S. and U.K. We do not consider these regulatory requirements as adversely affecting our competitive position.</w:t>
      </w:r>
    </w:p>
    <w:p>
      <w:pPr>
        <w:spacing w:after="0" w:line="10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Our failure, or that of our employees, to satisfy the regulatory compliance requirements or the legal requirements governing our activities, can result in disciplinary action, fines, reputational damage and financial harm.</w:t>
      </w:r>
    </w:p>
    <w:p>
      <w:pPr>
        <w:spacing w:after="0" w:line="109"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See Part I, Item 1A Risk Factors, for an analysis of how actions by regulatory authorities or changes in legislation and regulation as well as compliance with evolving laws, including with respect to data privacy and cybersecurity, in the jurisdictions in which we operate may have an adverse effect on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Executive Officers of the Registrant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officers of the Company as of February 22, 2024 were as follows:</w:t>
      </w:r>
    </w:p>
    <w:p>
      <w:pPr>
        <w:spacing w:after="0" w:line="1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212529"/>
        </w:rPr>
        <w:t xml:space="preserve">Kristy D. Banas (age 52)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000000"/>
        </w:rPr>
        <w:t>Ms. Banas has served as Chief Human Resources Officer since August 16, 2021, and also oversees marketing and</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000000"/>
        </w:rPr>
        <w:t>communication functions. She served as the Senior Director, Global Talent Advisor for Human Capital &amp; Benefits from March 2019 to August 2021 and as Senior Director and Head of Global Total Rewards, HR Integration and the HR Business Office from November 2016 to March 2019. From January 2016 to November 2016, Ms. Banas served as Senior Director and Global HR Leader, WTW Operations and Technology. From July 2011 to January 2016, Ms. Banas served as Senior Vice President, Global HR Director for WTW Corporate Functions, and was the Executive HR Sponsor for Global Operations Improvement. Ms. Banas was Vice President and Global HR Partner with XL Capital / XL Global Services / XL Insurance from November 2001 to June 2011. Ms. Banas has a BS in Business Management from Fairfield University and a partial MS in Human Resource Management from the University of Connecticut.</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Alexis Faber (age 46) - </w:t>
      </w:r>
      <w:r>
        <w:rPr>
          <w:rFonts w:ascii="Times New Roman" w:cs="Times New Roman" w:eastAsia="Times New Roman" w:hAnsi="Times New Roman"/>
          <w:sz w:val="18"/>
          <w:szCs w:val="18"/>
          <w:color w:val="2F2C31"/>
        </w:rPr>
        <w:t>Ms. Faber has served as Chief Operating Officer at WTW since August 30,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F2C31"/>
        </w:rPr>
        <w:t>served as 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F2C31"/>
        </w:rPr>
        <w:t>Officer for Corporate Risk &amp; Broking f</w:t>
      </w:r>
      <w:r>
        <w:rPr>
          <w:rFonts w:ascii="Times New Roman" w:cs="Times New Roman" w:eastAsia="Times New Roman" w:hAnsi="Times New Roman"/>
          <w:sz w:val="18"/>
          <w:szCs w:val="18"/>
          <w:color w:val="000000"/>
        </w:rPr>
        <w:t>rom</w:t>
      </w:r>
      <w:r>
        <w:rPr>
          <w:rFonts w:ascii="Times New Roman" w:cs="Times New Roman" w:eastAsia="Times New Roman" w:hAnsi="Times New Roman"/>
          <w:sz w:val="18"/>
          <w:szCs w:val="18"/>
          <w:color w:val="2F2C31"/>
        </w:rPr>
        <w:t xml:space="preserve"> March 2018 to August 2021. Prior to that, </w:t>
      </w:r>
      <w:r>
        <w:rPr>
          <w:rFonts w:ascii="Times New Roman" w:cs="Times New Roman" w:eastAsia="Times New Roman" w:hAnsi="Times New Roman"/>
          <w:sz w:val="18"/>
          <w:szCs w:val="18"/>
          <w:color w:val="000000"/>
        </w:rPr>
        <w:t>Ms. Faber</w:t>
      </w:r>
      <w:r>
        <w:rPr>
          <w:rFonts w:ascii="Times New Roman" w:cs="Times New Roman" w:eastAsia="Times New Roman" w:hAnsi="Times New Roman"/>
          <w:sz w:val="18"/>
          <w:szCs w:val="18"/>
          <w:color w:val="2F2C31"/>
        </w:rPr>
        <w:t xml:space="preserve"> served as </w:t>
      </w:r>
      <w:r>
        <w:rPr>
          <w:rFonts w:ascii="Times New Roman" w:cs="Times New Roman" w:eastAsia="Times New Roman" w:hAnsi="Times New Roman"/>
          <w:sz w:val="18"/>
          <w:szCs w:val="18"/>
          <w:color w:val="000000"/>
        </w:rPr>
        <w:t>G</w:t>
      </w:r>
      <w:r>
        <w:rPr>
          <w:rFonts w:ascii="Times New Roman" w:cs="Times New Roman" w:eastAsia="Times New Roman" w:hAnsi="Times New Roman"/>
          <w:sz w:val="18"/>
          <w:szCs w:val="18"/>
          <w:color w:val="2F2C31"/>
        </w:rPr>
        <w:t xml:space="preserve">lobal </w:t>
      </w:r>
      <w:r>
        <w:rPr>
          <w:rFonts w:ascii="Times New Roman" w:cs="Times New Roman" w:eastAsia="Times New Roman" w:hAnsi="Times New Roman"/>
          <w:sz w:val="18"/>
          <w:szCs w:val="18"/>
          <w:color w:val="000000"/>
        </w:rPr>
        <w:t>H</w:t>
      </w:r>
      <w:r>
        <w:rPr>
          <w:rFonts w:ascii="Times New Roman" w:cs="Times New Roman" w:eastAsia="Times New Roman" w:hAnsi="Times New Roman"/>
          <w:sz w:val="18"/>
          <w:szCs w:val="18"/>
          <w:color w:val="2F2C31"/>
        </w:rPr>
        <w:t xml:space="preserve">ead of Financial Lines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January 2016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F2C31"/>
        </w:rPr>
        <w:t xml:space="preserve"> Head of FINEX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2F2C31"/>
        </w:rPr>
        <w:t xml:space="preserve"> North America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April 2014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F2C31"/>
        </w:rPr>
        <w:t xml:space="preserve"> Risk Control and Claim Advocacy Practice Leader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2F2C31"/>
        </w:rPr>
        <w:t xml:space="preserve"> North America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July 2012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F2C31"/>
        </w:rPr>
        <w:t xml:space="preserve"> Chief Operating Officer for Willis North America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August 2009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F2C31"/>
        </w:rPr>
        <w:t xml:space="preserve"> as Chief Operating Officer for the Executive Risks practice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September 2006</w:t>
      </w:r>
      <w:r>
        <w:rPr>
          <w:rFonts w:ascii="Times New Roman" w:cs="Times New Roman" w:eastAsia="Times New Roman" w:hAnsi="Times New Roman"/>
          <w:sz w:val="18"/>
          <w:szCs w:val="18"/>
          <w:color w:val="000000"/>
        </w:rPr>
        <w:t>. Prior</w:t>
      </w:r>
      <w:r>
        <w:rPr>
          <w:rFonts w:ascii="Times New Roman" w:cs="Times New Roman" w:eastAsia="Times New Roman" w:hAnsi="Times New Roman"/>
          <w:sz w:val="18"/>
          <w:szCs w:val="18"/>
          <w:color w:val="2F2C31"/>
        </w:rPr>
        <w:t xml:space="preserve"> </w:t>
      </w:r>
      <w:r>
        <w:rPr>
          <w:rFonts w:ascii="Times New Roman" w:cs="Times New Roman" w:eastAsia="Times New Roman" w:hAnsi="Times New Roman"/>
          <w:sz w:val="18"/>
          <w:szCs w:val="18"/>
          <w:color w:val="000000"/>
        </w:rPr>
        <w:t xml:space="preserve">to that, Ms. Faber served as </w:t>
      </w:r>
      <w:r>
        <w:rPr>
          <w:rFonts w:ascii="Times New Roman" w:cs="Times New Roman" w:eastAsia="Times New Roman" w:hAnsi="Times New Roman"/>
          <w:sz w:val="18"/>
          <w:szCs w:val="18"/>
          <w:color w:val="2F2C31"/>
        </w:rPr>
        <w:t>Regional Finance Officer for North America since July 2004, and as Financial and Operations Controller for Global Specialties,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F2C31"/>
        </w:rPr>
        <w:t>North America since August 2003. Before joining WTW, Ms. Faber worked in investment banking at Schroder Salomon Smith Barney and at Citigroup. Ms. Faber holds a bachelor’s degree in economics from Williams College and an M.B.A from Columbia Business School.</w:t>
      </w:r>
    </w:p>
    <w:p>
      <w:pPr>
        <w:spacing w:after="0" w:line="1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Matthew S. Furman (age 54) </w:t>
      </w:r>
      <w:r>
        <w:rPr>
          <w:rFonts w:ascii="Times New Roman" w:cs="Times New Roman" w:eastAsia="Times New Roman" w:hAnsi="Times New Roman"/>
          <w:sz w:val="18"/>
          <w:szCs w:val="18"/>
          <w:color w:val="auto"/>
        </w:rPr>
        <w:t>- Mr. Furman has served as General Counsel at WTW since January 4, 2016. Previously, Mr. Furman served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and Group General Counsel at Willis Group Holdings, where he was a member of the Operating Committee since April 2015. From 2007 until March 2015, Mr. Furman was Senior Vice President, Group General Counsel-Corporate and Governance, and Corporate Secretary for The Travelers Companies, Inc. From 2000 until 2007, Mr. Furman was an attorney at Goldman, Sachs &amp; Co. in New York, where he was Vice President and Associate General Counsel in the finance and corporate legal group. Prior to that, he was in private practice, with almost six years’ experience at Simpson Thacher &amp; Bartlett in New York. Mr. Furman also serves as a Trustee of the Jewish Theological Seminary and a Director of the Legal Aid Society. He previously served as a member of the U.S. Securities and Exchange Commission’s Investor Advisory Committee, where he served on the Executive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5" w:name="page16"/>
    <w:bookmarkEnd w:id="15"/>
    <w:p>
      <w:pPr>
        <w:ind w:right="440"/>
        <w:spacing w:after="0" w:line="281" w:lineRule="auto"/>
        <w:rPr>
          <w:sz w:val="20"/>
          <w:szCs w:val="20"/>
          <w:color w:val="auto"/>
        </w:rPr>
      </w:pPr>
      <w:r>
        <w:rPr>
          <w:rFonts w:ascii="Times New Roman" w:cs="Times New Roman" w:eastAsia="Times New Roman" w:hAnsi="Times New Roman"/>
          <w:sz w:val="18"/>
          <w:szCs w:val="18"/>
          <w:color w:val="auto"/>
        </w:rPr>
        <w:t>Committee and chaired the Market Structure Subcommittee. He holds a bachelor’s degree magna cum laude from Brown University and a law degree magna cum laude from Harvard Law School.</w:t>
      </w:r>
    </w:p>
    <w:p>
      <w:pPr>
        <w:spacing w:after="0" w:line="10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Adam L. Garrard (age 58) </w:t>
      </w:r>
      <w:r>
        <w:rPr>
          <w:rFonts w:ascii="Times New Roman" w:cs="Times New Roman" w:eastAsia="Times New Roman" w:hAnsi="Times New Roman"/>
          <w:sz w:val="17"/>
          <w:szCs w:val="17"/>
          <w:color w:val="auto"/>
        </w:rPr>
        <w:t>- Mr. Garrard has served as Head of Risk and Broking since January 1, 2022. In the third quarter of 2024, Mr. Garrard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assume the role of chairman, Risk and Broking. Previously, Mr. Garrard served as Head of Corporate Risk and Broking, and International since August 14, 2019 and, prior to that, as Head of International at WTW since January 4, 2016. Previously, Mr. Garrard served as Chief Executive Officer for Willis Group Holdings in Asia since September 2012. Prior to that, Mr. Garrard served as Chief Executive Officer for Willis in Europe since January 2009, Chief Executive Officer for Willis in Australasia since May 2005 and Chief Executive Officer for Asia since January 2002. Mr. Garrard has resided in Singapore, Shanghai, Sydney and London while undertaking his Chief Executive Officer roles. Prior to joining WTW in 1994, Mr. Garrard started his insurance career at SBJ Stephenson Insurance Brokers in 1992 as a graduate trainee. He holds a bachelor’s degree in business administration from De Montfort University.</w:t>
      </w:r>
    </w:p>
    <w:p>
      <w:pPr>
        <w:spacing w:after="0" w:line="1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Julie J. Gebauer (age 62) </w:t>
      </w:r>
      <w:r>
        <w:rPr>
          <w:rFonts w:ascii="Times New Roman" w:cs="Times New Roman" w:eastAsia="Times New Roman" w:hAnsi="Times New Roman"/>
          <w:sz w:val="18"/>
          <w:szCs w:val="18"/>
          <w:color w:val="auto"/>
        </w:rPr>
        <w:t>- Ms. Gebauer has served as Head of Health, Wealth and Career at WTW since January 1, 2022. Previously, Ms. Gebauer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Head of Human Capital &amp; Benefits at WTW since January 4, 2016 and, prior to that, as Managing Director of Towers Watson’s Talent and Rewards business segment since January 1, 2010. Beginning in 2002, Ms. Gebauer served as a Managing Director of Towers Perrin and led Towers Perrin’s global Workforce Effectiveness practice and the global Towers Perrin-International Survey Research Corporation line of business. Ms. Gebauer was a member of Towers Perrin’s board of directors from 2003 through 2006. She joined Towers Perrin in 1986 as a consultant and held several leadership positions at Towers Perrin, serving as the Managing Principal for the New York office from 1999 to 2001 and the U.S. East Region Leader for the Human Capital Group from 2002 to 2006. Ms. Gebauer is a Fellow of the Society of Actuaries. Ms. Gebauer graduated Phi Beta Kappa and with high distinction from the University of Nebraska-Lincoln with a bachelor’s degree in mathematics and was designated a Chancellor’s Scholar.</w:t>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Carl A. Hess (age 62) </w:t>
      </w:r>
      <w:r>
        <w:rPr>
          <w:rFonts w:ascii="Times New Roman" w:cs="Times New Roman" w:eastAsia="Times New Roman" w:hAnsi="Times New Roman"/>
          <w:sz w:val="18"/>
          <w:szCs w:val="18"/>
          <w:color w:val="auto"/>
        </w:rPr>
        <w:t>- Mr. Hess has served as Chief Executive Officer at WTW since January 1, 2022 and, prior to that, served as President since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 2021. Mr. Hess was formerly Head of Investment, Risk and Reinsurance from October 27, 2016 to August 16, 2021. Previously, Mr. Hess served as the Co-Head of North America at WTW since January 4, 2016. Prior to that, Mr. Hess served as Managing Director, The Americas of Towers Watson since February 1, 2014, and before that, he served as the Managing Director of Towers Watson’s Investment business since January 1, 2010. Before his service at Towers Watson, Mr. Hess worked in a variety of roles for over 20 years at Watson Wyatt, lastly as Global Practice Director of Watson Wyatt’s Investment business. Mr. Hess is a Fellow of the Society of Actuaries and the Conference of Consulting Actuaries and a Chartered Enterprise Risk Analyst. He has a bachelor’s degree cum laude in logic and language from Yale University.</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Andrew J. Krasner (age 48) </w:t>
      </w:r>
      <w:r>
        <w:rPr>
          <w:rFonts w:ascii="Times New Roman" w:cs="Times New Roman" w:eastAsia="Times New Roman" w:hAnsi="Times New Roman"/>
          <w:sz w:val="18"/>
          <w:szCs w:val="18"/>
          <w:color w:val="auto"/>
        </w:rPr>
        <w:t>- Mr. Krasner has served as Chief Financial Officer at WTW since September 7, 2021. From February 2021 to August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Krasner served as Chief Financial Officer for Assured Partners. From June 2018 to January 2021, Mr. Krasner was Global Treasurer and Head of M&amp;A of WTW, and from 2012 to June 2018, was Head of M&amp;A, responsible for the M&amp;A, joint venture, divestiture, and strategic investment activity. Mr. Krasner started with Legacy Willis in June 2009 as Senior Vice President, working on the client side with Willis Capital Markets &amp; Advisory between June 2009 to June 2012. Prior to joining WTW, Mr. Krasner was a Principal with Banc of America Securities from October 2003 to June 2009, an Associate with Deutsche Bank from July 2002 to October 2003 and a Senior Associate with PricewaterhouseCoopers from August 1997 to August 2000. Mr. Krasner has a B.S. degree in applied economics and business management and an M.B.A. with distinction from Cornell University. He is also a Certified Public Accountant.</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Anne Pullum (age 41) </w:t>
      </w:r>
      <w:r>
        <w:rPr>
          <w:rFonts w:ascii="Times New Roman" w:cs="Times New Roman" w:eastAsia="Times New Roman" w:hAnsi="Times New Roman"/>
          <w:sz w:val="18"/>
          <w:szCs w:val="18"/>
          <w:color w:val="auto"/>
        </w:rPr>
        <w:t>- Ms. Pullum has served as Head of Europe at WTW since August 30, 2021 and, prior to that, as Head of Western Europe from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2019 to August 30, 2021. Previously, she served as the Chief Administrative Officer and Head of Strategy and Innovation since October 27, 2016. Beginning on January 4, 2016, Ms. Pullum served as WTW’s Head of Strategy, where she has played a key role in determining the Company’s strategy and worked across all business segments and functional areas. Previously, Ms. Pullum served as the Head of Strategy for Willis Group since May 2014. Before joining Willis, Ms. Pullum worked at McKinsey &amp; Company, where she served financial services and natural resource clients since October 2010. Prior to that, Ms. Pullum conducted economic research at Greenspan Associates in Washington, D.C. and served as an analyst in the Goldman Sachs Equities Division in London. Ms. Pullum holds an M.B.A. from INSEAD and a bachelor’s degree in international economics from Georgetown University’s School of Foreign Service.</w:t>
      </w:r>
    </w:p>
    <w:p>
      <w:pPr>
        <w:spacing w:after="0" w:line="12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Imran Qureshi (age 53) </w:t>
      </w:r>
      <w:r>
        <w:rPr>
          <w:rFonts w:ascii="Times New Roman" w:cs="Times New Roman" w:eastAsia="Times New Roman" w:hAnsi="Times New Roman"/>
          <w:sz w:val="17"/>
          <w:szCs w:val="17"/>
          <w:color w:val="auto"/>
        </w:rPr>
        <w:t>- Mr. Qureshi has served as Head of North America at WTW since August 30, 2021. Prior to that, he served as the Co-Leader,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from February 2017 to August 30, 2021. He also chaired the North American Inclusion &amp; Diversity Council during this time. He served as Region Leader, U.S. Midwest from February 2017 to October 2019, and was Market Leader, Greater Chicago and Wisconsin from February 2016 to February 2017. Mr. Qureshi was Managing Consultant of the Chicago office from January 2013 to January 2016, and has been with WTW in other roles since March</w:t>
      </w:r>
    </w:p>
    <w:p>
      <w:pPr>
        <w:spacing w:after="0" w:line="2"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1999. Mr. Qureshi is currently a board director at Smithbucklin and The Executives' Club of Chicago. Previously, he was the board chair of the Human Resources Management Association of Chicago, and he served on the M&amp;A Faculty of WorldatWork where he taught M&amp;A and taught the International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16" w:name="page17"/>
    <w:bookmarkEnd w:id="16"/>
    <w:p>
      <w:pPr>
        <w:ind w:right="120"/>
        <w:spacing w:after="0" w:line="260" w:lineRule="auto"/>
        <w:rPr>
          <w:sz w:val="20"/>
          <w:szCs w:val="20"/>
          <w:color w:val="auto"/>
        </w:rPr>
      </w:pPr>
      <w:r>
        <w:rPr>
          <w:rFonts w:ascii="Times New Roman" w:cs="Times New Roman" w:eastAsia="Times New Roman" w:hAnsi="Times New Roman"/>
          <w:sz w:val="18"/>
          <w:szCs w:val="18"/>
          <w:color w:val="auto"/>
        </w:rPr>
        <w:t>Benefits Course for the International Foundation of Employee Benefit Plans. In 2004, Mr. Qureshi was honored by Business Insurance magazine as one of “40 Under 40 People to Watch” in the commercial insurance and risk/benefits management services industries. He also has lectured on governance and globalization at The Kellogg School of Management at Northwestern University and The University of Chicago Booth School of Business. Mr. Qureshi holds a bachelor’s degree in pure mathematics and statistics with honors from the University of Manchester in the U.K. and has an actuarial background.</w:t>
      </w:r>
    </w:p>
    <w:p>
      <w:pPr>
        <w:spacing w:after="0" w:line="12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Pamela Thomson-Hall (age 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F2C31"/>
        </w:rPr>
        <w:t>Ms. Thomson-Hall has served as the Head of International at WTW since August 30, 2021. Previously, she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F2C31"/>
        </w:rPr>
        <w:t>Head of CEEMEA since July 2018, Managing Director of International since January 2017 and Chief of Staff of International since January 2016. Prior to that, Ms. Thomson-Hall served as Program Director for business integration since September 2014 and before that, as General Counsel of International since April 1999. Prior to joining WTW, Ms. Thomson-Hall worked as a solicitor for Clyde &amp; Co and DLA Piper. Ms. Thomson-Hall holds an LLB from the University College London and completed her LPC at the College of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A list of the members of the board of directors of the Company as of this date of this Annual Report on Form 10-K and their principal occupations are provided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Carl Hess</w:t>
            </w:r>
          </w:p>
        </w:tc>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Dame Inga Beale</w:t>
            </w:r>
          </w:p>
        </w:tc>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Fumbi Chima</w:t>
            </w:r>
          </w:p>
        </w:tc>
        <w:tc>
          <w:tcPr>
            <w:tcW w:w="0" w:type="dxa"/>
            <w:vAlign w:val="bottom"/>
          </w:tcPr>
          <w:p>
            <w:pPr>
              <w:spacing w:after="0"/>
              <w:rPr>
                <w:sz w:val="1"/>
                <w:szCs w:val="1"/>
                <w:color w:val="auto"/>
              </w:rPr>
            </w:pP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Chief Executive Officer</w:t>
            </w:r>
          </w:p>
        </w:tc>
        <w:tc>
          <w:tcPr>
            <w:tcW w:w="120" w:type="dxa"/>
            <w:vAlign w:val="bottom"/>
            <w:vMerge w:val="continue"/>
          </w:tcPr>
          <w:p>
            <w:pPr>
              <w:spacing w:after="0"/>
              <w:rPr>
                <w:sz w:val="15"/>
                <w:szCs w:val="15"/>
                <w:color w:val="auto"/>
              </w:rPr>
            </w:pPr>
          </w:p>
        </w:tc>
        <w:tc>
          <w:tcPr>
            <w:tcW w:w="36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Former Chief Executive Officer of Lloyd’s of London</w:t>
            </w:r>
          </w:p>
        </w:tc>
        <w:tc>
          <w:tcPr>
            <w:tcW w:w="120" w:type="dxa"/>
            <w:vAlign w:val="bottom"/>
            <w:vMerge w:val="continue"/>
          </w:tcPr>
          <w:p>
            <w:pPr>
              <w:spacing w:after="0"/>
              <w:rPr>
                <w:sz w:val="15"/>
                <w:szCs w:val="15"/>
                <w:color w:val="auto"/>
              </w:rPr>
            </w:pPr>
          </w:p>
        </w:tc>
        <w:tc>
          <w:tcPr>
            <w:tcW w:w="38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Former Executive Vice President and Chief Information</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Officer of Boeing Employees’ Credit Union</w:t>
            </w:r>
          </w:p>
        </w:tc>
        <w:tc>
          <w:tcPr>
            <w:tcW w:w="0" w:type="dxa"/>
            <w:vAlign w:val="bottom"/>
          </w:tcPr>
          <w:p>
            <w:pPr>
              <w:spacing w:after="0"/>
              <w:rPr>
                <w:sz w:val="1"/>
                <w:szCs w:val="1"/>
                <w:color w:val="auto"/>
              </w:rPr>
            </w:pPr>
          </w:p>
        </w:tc>
      </w:tr>
      <w:tr>
        <w:trPr>
          <w:trHeight w:val="44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Stephen Chipman</w:t>
            </w:r>
          </w:p>
        </w:tc>
        <w:tc>
          <w:tcPr>
            <w:tcW w:w="120" w:type="dxa"/>
            <w:vAlign w:val="bottom"/>
          </w:tcPr>
          <w:p>
            <w:pPr>
              <w:spacing w:after="0"/>
              <w:rPr>
                <w:sz w:val="24"/>
                <w:szCs w:val="24"/>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Michael Hammond</w:t>
            </w:r>
          </w:p>
        </w:tc>
        <w:tc>
          <w:tcPr>
            <w:tcW w:w="12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Jacqueline Hunt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Former Chief Executive Officer of Grant Thornton</w:t>
            </w:r>
          </w:p>
        </w:tc>
        <w:tc>
          <w:tcPr>
            <w:tcW w:w="120" w:type="dxa"/>
            <w:vAlign w:val="bottom"/>
          </w:tcPr>
          <w:p>
            <w:pPr>
              <w:spacing w:after="0"/>
              <w:rPr>
                <w:sz w:val="15"/>
                <w:szCs w:val="15"/>
                <w:color w:val="auto"/>
              </w:rPr>
            </w:pPr>
          </w:p>
        </w:tc>
        <w:tc>
          <w:tcPr>
            <w:tcW w:w="36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Former Chief Executive Officer and Chair, Lockton</w:t>
            </w:r>
          </w:p>
        </w:tc>
        <w:tc>
          <w:tcPr>
            <w:tcW w:w="120" w:type="dxa"/>
            <w:vAlign w:val="bottom"/>
          </w:tcPr>
          <w:p>
            <w:pPr>
              <w:spacing w:after="0"/>
              <w:rPr>
                <w:sz w:val="15"/>
                <w:szCs w:val="15"/>
                <w:color w:val="auto"/>
              </w:rPr>
            </w:pPr>
          </w:p>
        </w:tc>
        <w:tc>
          <w:tcPr>
            <w:tcW w:w="38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Former Chief Executive Officer of Prudential UK, Europe</w:t>
            </w: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LLP</w:t>
            </w:r>
          </w:p>
        </w:tc>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Holdings Ltd.</w:t>
            </w:r>
          </w:p>
        </w:tc>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Africa</w:t>
            </w:r>
          </w:p>
        </w:tc>
        <w:tc>
          <w:tcPr>
            <w:tcW w:w="0" w:type="dxa"/>
            <w:vAlign w:val="bottom"/>
          </w:tcPr>
          <w:p>
            <w:pPr>
              <w:spacing w:after="0"/>
              <w:rPr>
                <w:sz w:val="1"/>
                <w:szCs w:val="1"/>
                <w:color w:val="auto"/>
              </w:rPr>
            </w:pPr>
          </w:p>
        </w:tc>
      </w:tr>
      <w:tr>
        <w:trPr>
          <w:trHeight w:val="44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Paul Reilly</w:t>
            </w:r>
          </w:p>
        </w:tc>
        <w:tc>
          <w:tcPr>
            <w:tcW w:w="120" w:type="dxa"/>
            <w:vAlign w:val="bottom"/>
          </w:tcPr>
          <w:p>
            <w:pPr>
              <w:spacing w:after="0"/>
              <w:rPr>
                <w:sz w:val="24"/>
                <w:szCs w:val="24"/>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Michelle Swanback</w:t>
            </w:r>
          </w:p>
        </w:tc>
        <w:tc>
          <w:tcPr>
            <w:tcW w:w="12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Paul Thomas</w:t>
            </w:r>
          </w:p>
        </w:tc>
        <w:tc>
          <w:tcPr>
            <w:tcW w:w="0" w:type="dxa"/>
            <w:vAlign w:val="bottom"/>
          </w:tcPr>
          <w:p>
            <w:pPr>
              <w:spacing w:after="0"/>
              <w:rPr>
                <w:sz w:val="1"/>
                <w:szCs w:val="1"/>
                <w:color w:val="auto"/>
              </w:rPr>
            </w:pP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Chief Executive Officer and Chair of Raymond James</w:t>
            </w:r>
          </w:p>
        </w:tc>
        <w:tc>
          <w:tcPr>
            <w:tcW w:w="120" w:type="dxa"/>
            <w:vAlign w:val="bottom"/>
          </w:tcPr>
          <w:p>
            <w:pPr>
              <w:spacing w:after="0"/>
              <w:rPr>
                <w:sz w:val="15"/>
                <w:szCs w:val="15"/>
                <w:color w:val="auto"/>
              </w:rPr>
            </w:pPr>
          </w:p>
        </w:tc>
        <w:tc>
          <w:tcPr>
            <w:tcW w:w="36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Chief Executive Officer, TTEC Engage, and President</w:t>
            </w:r>
          </w:p>
        </w:tc>
        <w:tc>
          <w:tcPr>
            <w:tcW w:w="120" w:type="dxa"/>
            <w:vAlign w:val="bottom"/>
          </w:tcPr>
          <w:p>
            <w:pPr>
              <w:spacing w:after="0"/>
              <w:rPr>
                <w:sz w:val="15"/>
                <w:szCs w:val="15"/>
                <w:color w:val="auto"/>
              </w:rPr>
            </w:pPr>
          </w:p>
        </w:tc>
        <w:tc>
          <w:tcPr>
            <w:tcW w:w="38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Former Chief Executive Officer of Reynolds Packaging</w:t>
            </w: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w:t>
            </w:r>
          </w:p>
        </w:tc>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TTEC Holdings, Inc.</w:t>
            </w:r>
          </w:p>
        </w:tc>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w:t>
            </w:r>
          </w:p>
        </w:tc>
        <w:tc>
          <w:tcPr>
            <w:tcW w:w="0" w:type="dxa"/>
            <w:vAlign w:val="bottom"/>
          </w:tcPr>
          <w:p>
            <w:pPr>
              <w:spacing w:after="0"/>
              <w:rPr>
                <w:sz w:val="1"/>
                <w:szCs w:val="1"/>
                <w:color w:val="auto"/>
              </w:rPr>
            </w:pPr>
          </w:p>
        </w:tc>
      </w:tr>
      <w:tr>
        <w:trPr>
          <w:trHeight w:val="44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Fredric Tomczyk</w:t>
            </w: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of Cboe Global Markets, Inc.</w:t>
            </w: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Summary of Risk Factors</w:t>
      </w:r>
    </w:p>
    <w:p>
      <w:pPr>
        <w:spacing w:after="0" w:line="17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The following contains a summary of each of our risk factors. For the complete disclosure of each risk factor contained herein, please click on the respective summary.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and Operational Transformation Risks</w:t>
      </w:r>
    </w:p>
    <w:p>
      <w:pPr>
        <w:spacing w:after="0" w:line="53" w:lineRule="exact"/>
        <w:rPr>
          <w:sz w:val="20"/>
          <w:szCs w:val="20"/>
          <w:color w:val="auto"/>
        </w:rPr>
      </w:pPr>
    </w:p>
    <w:p>
      <w:pPr>
        <w:ind w:left="760" w:right="40" w:hanging="378"/>
        <w:spacing w:after="0" w:line="26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and cost savings and efficiencies.</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may not be able to fully realize the anticipated benefits of our growth strategy or our expected product, service, and transaction pipelines.</w:t>
      </w:r>
    </w:p>
    <w:p>
      <w:pPr>
        <w:spacing w:after="0" w:line="35" w:lineRule="exact"/>
        <w:rPr>
          <w:rFonts w:ascii="Times New Roman" w:cs="Times New Roman" w:eastAsia="Times New Roman" w:hAnsi="Times New Roman"/>
          <w:sz w:val="18"/>
          <w:szCs w:val="18"/>
          <w:color w:val="auto"/>
        </w:rPr>
      </w:pPr>
    </w:p>
    <w:p>
      <w:pPr>
        <w:ind w:left="760" w:right="80" w:hanging="378"/>
        <w:spacing w:after="0" w:line="273"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ability to successfully manage ongoing organizational changes could impact our business results, where the level of costs and/or disruption may be significant and change over time, and the benefits may be less than we originally expect.</w:t>
      </w:r>
    </w:p>
    <w:p>
      <w:pPr>
        <w:spacing w:after="0" w:line="1" w:lineRule="exact"/>
        <w:rPr>
          <w:rFonts w:ascii="Times New Roman" w:cs="Times New Roman" w:eastAsia="Times New Roman" w:hAnsi="Times New Roman"/>
          <w:sz w:val="18"/>
          <w:szCs w:val="18"/>
          <w:color w:val="auto"/>
        </w:rPr>
      </w:pPr>
    </w:p>
    <w:p>
      <w:pPr>
        <w:ind w:left="760" w:right="300" w:hanging="378"/>
        <w:spacing w:after="0" w:line="26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growth strategy depends, in part, on our ability to make acquisitions or grow our business organically. We face risks when we acquire or divest businesses, and we could have difficulty in acquiring, integrating or managing acquired businesses, or with effecting internal reorganizations, all of which could harm our business, financial condition, results of operations or reputation.</w:t>
      </w:r>
    </w:p>
    <w:p>
      <w:pPr>
        <w:spacing w:after="0" w:line="2" w:lineRule="exact"/>
        <w:rPr>
          <w:rFonts w:ascii="Times New Roman" w:cs="Times New Roman" w:eastAsia="Times New Roman" w:hAnsi="Times New Roman"/>
          <w:sz w:val="18"/>
          <w:szCs w:val="18"/>
          <w:color w:val="auto"/>
        </w:rPr>
      </w:pPr>
    </w:p>
    <w:p>
      <w:pPr>
        <w:ind w:left="760" w:right="240" w:hanging="378"/>
        <w:spacing w:after="0" w:line="26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sale of Willis Re to Gallagher, including transitional arrangements, creates incremental business, operational, regulatory and reputational risks.</w:t>
      </w:r>
    </w:p>
    <w:p>
      <w:pPr>
        <w:spacing w:after="0" w:line="1"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business performance and growth 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-1929765</wp:posOffset>
            </wp:positionV>
            <wp:extent cx="63296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2968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-1793240</wp:posOffset>
            </wp:positionV>
            <wp:extent cx="6605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52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-1656080</wp:posOffset>
            </wp:positionV>
            <wp:extent cx="1522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220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-1493520</wp:posOffset>
            </wp:positionV>
            <wp:extent cx="64458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4588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-1339215</wp:posOffset>
            </wp:positionV>
            <wp:extent cx="65805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05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-1202055</wp:posOffset>
            </wp:positionV>
            <wp:extent cx="44049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049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-1039495</wp:posOffset>
            </wp:positionV>
            <wp:extent cx="6449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-902335</wp:posOffset>
            </wp:positionV>
            <wp:extent cx="60267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2678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-765810</wp:posOffset>
            </wp:positionV>
            <wp:extent cx="49860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8602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-602615</wp:posOffset>
            </wp:positionV>
            <wp:extent cx="6477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776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-466090</wp:posOffset>
            </wp:positionV>
            <wp:extent cx="2438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384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-311785</wp:posOffset>
            </wp:positionV>
            <wp:extent cx="61931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931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-174625</wp:posOffset>
            </wp:positionV>
            <wp:extent cx="6635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3575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-38100</wp:posOffset>
            </wp:positionV>
            <wp:extent cx="3962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624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Environment Risks</w:t>
      </w:r>
    </w:p>
    <w:p>
      <w:pPr>
        <w:spacing w:after="0" w:line="53" w:lineRule="exact"/>
        <w:rPr>
          <w:sz w:val="20"/>
          <w:szCs w:val="20"/>
          <w:color w:val="auto"/>
        </w:rPr>
      </w:pPr>
    </w:p>
    <w:p>
      <w:pPr>
        <w:ind w:left="760" w:right="160" w:hanging="378"/>
        <w:spacing w:after="0" w:line="265"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Macroeconomic trends, including inflation, changes in interest rates and trade policies, as well as political events, trade and other international disputes, war, terrorism, natural disasters, public health issues and other business interruptions, can adversely affect our business, results of operations or financial condition.</w:t>
      </w:r>
    </w:p>
    <w:p>
      <w:pPr>
        <w:spacing w:after="0" w:line="2" w:lineRule="exact"/>
        <w:rPr>
          <w:rFonts w:ascii="Times New Roman" w:cs="Times New Roman" w:eastAsia="Times New Roman" w:hAnsi="Times New Roman"/>
          <w:sz w:val="18"/>
          <w:szCs w:val="18"/>
          <w:color w:val="auto"/>
        </w:rPr>
      </w:pPr>
    </w:p>
    <w:p>
      <w:pPr>
        <w:ind w:left="760" w:right="260" w:hanging="378"/>
        <w:spacing w:after="0" w:line="265"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Demand for our services could decrease for various reasons, including a general economic downturn, increased competition, or a decline in a client’s or an industry’s financial condition or prospects, all of which could substantially and negatively affect us.</w:t>
      </w:r>
    </w:p>
    <w:p>
      <w:pPr>
        <w:spacing w:after="0" w:line="1" w:lineRule="exact"/>
        <w:rPr>
          <w:rFonts w:ascii="Times New Roman" w:cs="Times New Roman" w:eastAsia="Times New Roman" w:hAnsi="Times New Roman"/>
          <w:sz w:val="18"/>
          <w:szCs w:val="18"/>
          <w:color w:val="auto"/>
        </w:rPr>
      </w:pPr>
    </w:p>
    <w:p>
      <w:pPr>
        <w:ind w:left="760" w:right="460" w:hanging="378"/>
        <w:spacing w:after="0" w:line="27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business, financial condition, results of operations, and long-term goals may continue to be adversely affected, possibly materially, by negative impacts on the global economy and capital markets resulting from wars or any other geopolitical tensions.</w:t>
      </w:r>
    </w:p>
    <w:p>
      <w:pPr>
        <w:spacing w:after="0" w:line="1" w:lineRule="exact"/>
        <w:rPr>
          <w:rFonts w:ascii="Times New Roman" w:cs="Times New Roman" w:eastAsia="Times New Roman" w:hAnsi="Times New Roman"/>
          <w:sz w:val="18"/>
          <w:szCs w:val="18"/>
          <w:color w:val="auto"/>
        </w:rPr>
      </w:pPr>
    </w:p>
    <w:p>
      <w:pPr>
        <w:ind w:left="760" w:right="240" w:hanging="378"/>
        <w:spacing w:after="0" w:line="27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Damage to our business, including to our reputation arising from, among other things, the failure of third parties on whom we rely to perform services or maintain positive public perceptions, could adversely affect our business, operations and results.</w:t>
      </w:r>
    </w:p>
    <w:p>
      <w:pPr>
        <w:spacing w:after="0" w:line="1" w:lineRule="exact"/>
        <w:rPr>
          <w:rFonts w:ascii="Times New Roman" w:cs="Times New Roman" w:eastAsia="Times New Roman" w:hAnsi="Times New Roman"/>
          <w:sz w:val="18"/>
          <w:szCs w:val="18"/>
          <w:color w:val="auto"/>
        </w:rPr>
      </w:pPr>
    </w:p>
    <w:p>
      <w:pPr>
        <w:ind w:left="760" w:right="40" w:hanging="378"/>
        <w:spacing w:after="0" w:line="279"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business may be harmed by any negative developments that may occur in the insurance industry or if we fail to maintain good relationships with insurance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-1509395</wp:posOffset>
            </wp:positionV>
            <wp:extent cx="6534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-1372235</wp:posOffset>
            </wp:positionV>
            <wp:extent cx="637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728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-1235075</wp:posOffset>
            </wp:positionV>
            <wp:extent cx="1514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447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-1072515</wp:posOffset>
            </wp:positionV>
            <wp:extent cx="64706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7065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-935355</wp:posOffset>
            </wp:positionV>
            <wp:extent cx="51701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701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-781050</wp:posOffset>
            </wp:positionV>
            <wp:extent cx="63417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4174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-644525</wp:posOffset>
            </wp:positionV>
            <wp:extent cx="52578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5780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-481965</wp:posOffset>
            </wp:positionV>
            <wp:extent cx="64877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877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-344805</wp:posOffset>
            </wp:positionV>
            <wp:extent cx="49161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161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-182245</wp:posOffset>
            </wp:positionV>
            <wp:extent cx="660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46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-45085</wp:posOffset>
            </wp:positionV>
            <wp:extent cx="1068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Risks</w:t>
      </w:r>
    </w:p>
    <w:p>
      <w:pPr>
        <w:spacing w:after="0" w:line="40" w:lineRule="exact"/>
        <w:rPr>
          <w:sz w:val="20"/>
          <w:szCs w:val="20"/>
          <w:color w:val="auto"/>
        </w:rPr>
      </w:pPr>
    </w:p>
    <w:p>
      <w:pPr>
        <w:ind w:left="760" w:right="20" w:hanging="378"/>
        <w:spacing w:after="0" w:line="273"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depend on the continued services of our executive officers, senior management team, and skilled individual contributors, and any changes in our management structure and in senior leadership could affect our business and financial results.</w:t>
      </w:r>
    </w:p>
    <w:p>
      <w:pPr>
        <w:spacing w:after="0" w:line="1" w:lineRule="exact"/>
        <w:rPr>
          <w:rFonts w:ascii="Times New Roman" w:cs="Times New Roman" w:eastAsia="Times New Roman" w:hAnsi="Times New Roman"/>
          <w:sz w:val="18"/>
          <w:szCs w:val="18"/>
          <w:color w:val="auto"/>
        </w:rPr>
      </w:pPr>
    </w:p>
    <w:p>
      <w:pPr>
        <w:ind w:left="760" w:right="380" w:hanging="378"/>
        <w:spacing w:after="0" w:line="273"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loss of key colleagues or a large number of colleagues could damage or result in the loss of client relationships and could result in such colleagues competing against us.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Failure to maintain our corporate culture, including in a remote or hybrid work environment, could damage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-607060</wp:posOffset>
            </wp:positionV>
            <wp:extent cx="66179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-469900</wp:posOffset>
            </wp:positionV>
            <wp:extent cx="4446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469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-307340</wp:posOffset>
            </wp:positionV>
            <wp:extent cx="6399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995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-170815</wp:posOffset>
            </wp:positionV>
            <wp:extent cx="15024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0241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-7620</wp:posOffset>
            </wp:positionV>
            <wp:extent cx="5596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9689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Technology, Cybersecurity and Data Protection Risks</w:t>
      </w:r>
    </w:p>
    <w:p>
      <w:pPr>
        <w:spacing w:after="0" w:line="67" w:lineRule="exact"/>
        <w:rPr>
          <w:sz w:val="20"/>
          <w:szCs w:val="20"/>
          <w:color w:val="auto"/>
        </w:rPr>
      </w:pPr>
    </w:p>
    <w:p>
      <w:pPr>
        <w:ind w:left="760" w:right="66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Data and cybersecurity breaches or improper disclosure of confidential company or personal data could result in material financial loss, regulatory actions, reputational harm, and/or legal liability.</w:t>
      </w:r>
    </w:p>
    <w:p>
      <w:pPr>
        <w:ind w:left="760" w:right="52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inability to comply with complex and evolving laws and regulations related to data privacy and cybersecurity could result in material financial loss, regulatory actions, reputational harm and/or legal liability.</w:t>
      </w:r>
    </w:p>
    <w:p>
      <w:pPr>
        <w:ind w:left="760" w:right="32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inability to successfully mitigate and recover should we experience a disaster or other business continuity problem could cause material financial loss, loss of human capital, regulatory actions, reputational harm, and/or legal liability.</w:t>
      </w:r>
    </w:p>
    <w:p>
      <w:pPr>
        <w:ind w:left="760" w:right="660" w:hanging="378"/>
        <w:spacing w:after="0" w:line="312" w:lineRule="auto"/>
        <w:tabs>
          <w:tab w:leader="none" w:pos="7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Material interruption to or loss of our information processing capabilities or failure to effectively maintain and upgrade our information processing hardware or systems could cause material financial loss, regulatory actions, reputational harm, and/or legal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-1123950</wp:posOffset>
            </wp:positionV>
            <wp:extent cx="62172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1728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-986790</wp:posOffset>
            </wp:positionV>
            <wp:extent cx="2689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8922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-815340</wp:posOffset>
            </wp:positionV>
            <wp:extent cx="6309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-678815</wp:posOffset>
            </wp:positionV>
            <wp:extent cx="33229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29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-507365</wp:posOffset>
            </wp:positionV>
            <wp:extent cx="642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2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-370205</wp:posOffset>
            </wp:positionV>
            <wp:extent cx="4381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8150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-199390</wp:posOffset>
            </wp:positionV>
            <wp:extent cx="62122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122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-62230</wp:posOffset>
            </wp:positionV>
            <wp:extent cx="58013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01360" cy="8255"/>
                    </a:xfrm>
                    <a:prstGeom prst="rect">
                      <a:avLst/>
                    </a:prstGeom>
                    <a:noFill/>
                  </pic:spPr>
                </pic:pic>
              </a:graphicData>
            </a:graphic>
          </wp:anchor>
        </w:drawing>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7" w:right="419" w:bottom="1440" w:gutter="0" w:footer="0" w:header="0"/>
        </w:sectPr>
      </w:pPr>
    </w:p>
    <w:bookmarkStart w:id="18" w:name="page19"/>
    <w:bookmarkEnd w:id="18"/>
    <w:p>
      <w:pPr>
        <w:ind w:left="760" w:right="500" w:hanging="378"/>
        <w:spacing w:after="0" w:line="279"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Limited protection of our intellectual property could harm our business and our ability to compete effectively, and we face the risk that our services or products may infringe upon the intellectual property rights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-182245</wp:posOffset>
            </wp:positionV>
            <wp:extent cx="6360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601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-45085</wp:posOffset>
            </wp:positionV>
            <wp:extent cx="3650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506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Non-Financial/Regulatory and Compliance Risks</w:t>
      </w:r>
    </w:p>
    <w:p>
      <w:pPr>
        <w:spacing w:after="0" w:line="67" w:lineRule="exact"/>
        <w:rPr>
          <w:sz w:val="20"/>
          <w:szCs w:val="20"/>
          <w:color w:val="auto"/>
        </w:rPr>
      </w:pPr>
    </w:p>
    <w:p>
      <w:pPr>
        <w:ind w:left="760" w:right="32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From time to time, we receive claims and are party to lawsuits arising from our work, which could materially adversely affect our reputation, business and financial condition.</w:t>
      </w:r>
    </w:p>
    <w:p>
      <w:pPr>
        <w:ind w:left="760" w:right="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As a highly regulated company, we are subject from time to time to inquiries or investigations by governmental agencies or regulators that could have a material adverse effect on our business or results of operations.</w:t>
      </w:r>
    </w:p>
    <w:p>
      <w:pPr>
        <w:ind w:left="760" w:right="28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 conducting our businesses around the world, we are subject to political, economic, legal, regulatory, cultural, market, operational and other risks that are inherent in operating in many countries.</w:t>
      </w:r>
    </w:p>
    <w:p>
      <w:pPr>
        <w:ind w:left="760" w:right="68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Sanctions imposed by governments, or changes to such sanction regulations (such as sanctions imposed on Russia), and related counter-sanctions, could have a material adverse impact on our operations or financial results.</w:t>
      </w:r>
    </w:p>
    <w:p>
      <w:pPr>
        <w:ind w:left="7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ind w:left="760" w:right="120" w:hanging="378"/>
        <w:spacing w:after="0" w:line="265"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compliance systems and controls cannot guarantee that we comply with all applicable federal and state or foreign laws and regulations, and actions by regulatory authorities or changes in applicable laws and regulations in the jurisdictions in which we operate could impact our operations or have an adverse effect on our business.</w:t>
      </w:r>
    </w:p>
    <w:p>
      <w:pPr>
        <w:spacing w:after="0" w:line="15"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Allegations of conflicts of interest or anti-competitive behavior, including in connection with accepting market derived income (‘MDI’), may have a material adverse effect on our business, financial condition, results of operation or reputation.</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Changes and developments in the health insurance system in the United States could harm our business.</w:t>
      </w:r>
    </w:p>
    <w:p>
      <w:pPr>
        <w:spacing w:after="0" w:line="62" w:lineRule="exact"/>
        <w:rPr>
          <w:rFonts w:ascii="Times New Roman" w:cs="Times New Roman" w:eastAsia="Times New Roman" w:hAnsi="Times New Roman"/>
          <w:sz w:val="18"/>
          <w:szCs w:val="18"/>
          <w:color w:val="auto"/>
        </w:rPr>
      </w:pPr>
    </w:p>
    <w:p>
      <w:pPr>
        <w:ind w:left="760" w:right="60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global operations expose us to increasing, and sometimes conflicting, legal and regulatory requirements in environmental, social and governance (‘ESG’) matters, and violation of these regulations could harm our business.</w:t>
      </w:r>
    </w:p>
    <w:p>
      <w:pPr>
        <w:ind w:left="760" w:right="2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Increasing scrutiny and changing expectations from investors, clients and our colleagues with respect to our ESG practices can impose additional costs on us or expose us to reputational or other risks.</w:t>
      </w:r>
    </w:p>
    <w:p>
      <w:pPr>
        <w:ind w:left="760" w:right="360" w:hanging="378"/>
        <w:spacing w:after="0" w:line="279"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economic, regulatory and political impact of the United Kingdom’s exit from the European Union, which occurred on January 31, 2020, could adversely affect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-3264535</wp:posOffset>
            </wp:positionV>
            <wp:extent cx="64687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6874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-3127375</wp:posOffset>
            </wp:positionV>
            <wp:extent cx="14960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960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-2955925</wp:posOffset>
            </wp:positionV>
            <wp:extent cx="6628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-2819400</wp:posOffset>
            </wp:positionV>
            <wp:extent cx="32048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484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-2647950</wp:posOffset>
            </wp:positionV>
            <wp:extent cx="64922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9224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-2510790</wp:posOffset>
            </wp:positionV>
            <wp:extent cx="24371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371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-2339975</wp:posOffset>
            </wp:positionV>
            <wp:extent cx="6216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1601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-2202815</wp:posOffset>
            </wp:positionV>
            <wp:extent cx="39103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103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-2031365</wp:posOffset>
            </wp:positionV>
            <wp:extent cx="66573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5734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-1894205</wp:posOffset>
            </wp:positionV>
            <wp:extent cx="51212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2127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-1723390</wp:posOffset>
            </wp:positionV>
            <wp:extent cx="6594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9447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-1586230</wp:posOffset>
            </wp:positionV>
            <wp:extent cx="62337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337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-1449070</wp:posOffset>
            </wp:positionV>
            <wp:extent cx="24091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0919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-1278255</wp:posOffset>
            </wp:positionV>
            <wp:extent cx="64789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789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-1141095</wp:posOffset>
            </wp:positionV>
            <wp:extent cx="45961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961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-969645</wp:posOffset>
            </wp:positionV>
            <wp:extent cx="4747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478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-798195</wp:posOffset>
            </wp:positionV>
            <wp:extent cx="62909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094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-661670</wp:posOffset>
            </wp:positionV>
            <wp:extent cx="40341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341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-490220</wp:posOffset>
            </wp:positionV>
            <wp:extent cx="66573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5734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-353060</wp:posOffset>
            </wp:positionV>
            <wp:extent cx="24498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498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-182245</wp:posOffset>
            </wp:positionV>
            <wp:extent cx="64490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490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-45085</wp:posOffset>
            </wp:positionV>
            <wp:extent cx="11639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Related Regulatory Risks</w:t>
      </w:r>
    </w:p>
    <w:p>
      <w:pPr>
        <w:spacing w:after="0" w:line="67" w:lineRule="exact"/>
        <w:rPr>
          <w:sz w:val="20"/>
          <w:szCs w:val="20"/>
          <w:color w:val="auto"/>
        </w:rPr>
      </w:pPr>
    </w:p>
    <w:p>
      <w:pPr>
        <w:ind w:left="760" w:right="32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have material pension liabilities that can fluctuate significantly and adversely affect our financial position or net income or result in other financial impacts.</w:t>
      </w:r>
    </w:p>
    <w:p>
      <w:pPr>
        <w:ind w:left="760" w:right="36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outstanding debt could adversely affect our cash flows and financial flexibility, and we may not be able to obtain financing on favorable terms or at all.</w:t>
      </w:r>
    </w:p>
    <w:p>
      <w:pPr>
        <w:ind w:left="760" w:right="380" w:hanging="378"/>
        <w:spacing w:after="0" w:line="297" w:lineRule="auto"/>
        <w:tabs>
          <w:tab w:leader="none" w:pos="7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A downgrade to our corporate credit rating, the credit ratings of our outstanding debt or other market speculation may adversely affect our borrowing costs and financial flexibility and, under certain circumstances, may require us to offer to buy back some of our outstanding debt.</w:t>
      </w:r>
    </w:p>
    <w:p>
      <w:pPr>
        <w:spacing w:after="0" w:line="1" w:lineRule="exact"/>
        <w:rPr>
          <w:rFonts w:ascii="Times New Roman" w:cs="Times New Roman" w:eastAsia="Times New Roman" w:hAnsi="Times New Roman"/>
          <w:sz w:val="17"/>
          <w:szCs w:val="17"/>
          <w:color w:val="auto"/>
        </w:rPr>
      </w:pPr>
    </w:p>
    <w:p>
      <w:pPr>
        <w:ind w:left="760" w:right="16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significant non-U.S. operations, particularly our London market operations, expose us to exchange rate fluctuations and various other risks that could impact our business.</w:t>
      </w:r>
    </w:p>
    <w:p>
      <w:pPr>
        <w:ind w:left="760" w:right="34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Changes in accounting principles or in our accounting estimates and assumptions could negatively affect our financial position and results of operations.</w:t>
      </w:r>
    </w:p>
    <w:p>
      <w:pPr>
        <w:ind w:left="760" w:right="50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quarterly revenue and cash flow could fluctuate, including as a result of factors outside of our control, while our expenses may remain relatively fixed or be higher than expected.</w:t>
      </w: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a holding company and therefore, may not be able to receive dividends or other distributions in needed amounts from our subsidiaries.</w:t>
      </w:r>
    </w:p>
    <w:p>
      <w:pPr>
        <w:spacing w:after="0" w:line="5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Risks</w:t>
      </w:r>
    </w:p>
    <w:p>
      <w:pPr>
        <w:spacing w:after="0" w:line="6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a U.S. person is treated as owning at least 10% of our shares, such a holder may be subject to adverse U.S. federal income tax consequences.</w:t>
      </w:r>
    </w:p>
    <w:p>
      <w:pPr>
        <w:spacing w:after="0" w:line="62" w:lineRule="exact"/>
        <w:rPr>
          <w:rFonts w:ascii="Times New Roman" w:cs="Times New Roman" w:eastAsia="Times New Roman" w:hAnsi="Times New Roman"/>
          <w:sz w:val="18"/>
          <w:szCs w:val="18"/>
          <w:color w:val="auto"/>
        </w:rPr>
      </w:pPr>
    </w:p>
    <w:p>
      <w:pPr>
        <w:ind w:left="760" w:right="320" w:hanging="378"/>
        <w:spacing w:after="0" w:line="279"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Legislative or regulatory action or developments in case law in the U.S. or elsewhere could have a material adverse impact on our worldwide effective corporate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-2545080</wp:posOffset>
            </wp:positionV>
            <wp:extent cx="64662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662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-2407920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-2237105</wp:posOffset>
            </wp:positionV>
            <wp:extent cx="64427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4271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-2099945</wp:posOffset>
            </wp:positionV>
            <wp:extent cx="6591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91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-1928495</wp:posOffset>
            </wp:positionV>
            <wp:extent cx="63385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385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-1791970</wp:posOffset>
            </wp:positionV>
            <wp:extent cx="64058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0588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-1620520</wp:posOffset>
            </wp:positionV>
            <wp:extent cx="65697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6971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-1483360</wp:posOffset>
            </wp:positionV>
            <wp:extent cx="14166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1668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-1312545</wp:posOffset>
            </wp:positionV>
            <wp:extent cx="64566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5668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-1175385</wp:posOffset>
            </wp:positionV>
            <wp:extent cx="5035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35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-1003935</wp:posOffset>
            </wp:positionV>
            <wp:extent cx="6360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601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-866775</wp:posOffset>
            </wp:positionV>
            <wp:extent cx="1961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151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-695960</wp:posOffset>
            </wp:positionV>
            <wp:extent cx="64808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-353060</wp:posOffset>
            </wp:positionV>
            <wp:extent cx="6528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284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-182245</wp:posOffset>
            </wp:positionV>
            <wp:extent cx="6473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7382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-45085</wp:posOffset>
            </wp:positionV>
            <wp:extent cx="12522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Being an Irish-Incorporated Company</w:t>
      </w:r>
    </w:p>
    <w:p>
      <w:pPr>
        <w:spacing w:after="0" w:line="67"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laws of Ireland differ from the laws in effect in the United States and may afford less protection to holders of our securities.</w:t>
      </w:r>
    </w:p>
    <w:p>
      <w:pPr>
        <w:spacing w:after="0" w:line="62"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As an Irish public limited company, certain decisions related to our capital structure will require the approval of shareholders, which may limit our flexibility to manage our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-12700</wp:posOffset>
            </wp:positionV>
            <wp:extent cx="68929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92925" cy="1714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-355600</wp:posOffset>
            </wp:positionV>
            <wp:extent cx="58439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39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-184150</wp:posOffset>
            </wp:positionV>
            <wp:extent cx="65398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-46990</wp:posOffset>
            </wp:positionV>
            <wp:extent cx="21012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01215" cy="8255"/>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5" w:right="359" w:bottom="1440" w:gutter="0" w:footer="0" w:header="0"/>
        </w:sectPr>
      </w:pPr>
    </w:p>
    <w:bookmarkStart w:id="19" w:name="page20"/>
    <w:bookmarkEnd w:id="19"/>
    <w:p>
      <w:pPr>
        <w:jc w:val="center"/>
        <w:ind w:right="38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Our financial performance, including our business results, financial condition, result of operations, cash flows and price of our ordinary shares, is subject to various risks and uncertainties, including as described in this Item 1A of Part I of our Annual Report on Form 10-K. In addition to the factors discussed elsewhere in this Annual Report on Form 10-K, the following are some of the important factors that could cause our actual results to differ materially from those projected in any forward-looking statements. These risk factors should be carefully considered in evaluating our business. The descriptions below are not the only risks and uncertainties that we face. Additional risks and uncertainties that are presently unknown to us could also impair our business operations, financial condition or results. If any of the risks and uncertainties below or other risks were to occur, our business operations, financial condition or results of operations could be materially and adversely impacted. Risks in this section are grouped into categories; the headings of these categories are inserted for convenience of reference only and are not intended to be a part of or to affect the meaning or interpretation of any of the risk factors described herein. Many risks affect more than one category, and the risks are not in order of significance or probability of occurrence solely because they have been grouped by categories. </w:t>
      </w:r>
      <w:r>
        <w:rPr>
          <w:rFonts w:ascii="Times New Roman" w:cs="Times New Roman" w:eastAsia="Times New Roman" w:hAnsi="Times New Roman"/>
          <w:sz w:val="18"/>
          <w:szCs w:val="18"/>
          <w:b w:val="1"/>
          <w:bCs w:val="1"/>
          <w:color w:val="auto"/>
        </w:rPr>
        <w:t>With respect to the tax-related consequences of acquisition, ownership, and disposal of ordinary shares,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should consult with your own tax advisors.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and Operational Transformation Risks</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and cost savings and efficiencies.</w:t>
      </w:r>
    </w:p>
    <w:p>
      <w:pPr>
        <w:spacing w:after="0" w:line="12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future growth, profitability, and cash flows largely depend upon our ability to successfully establish and execute our global business strategy. As discussed under Item 1, ‘Business - Business Strategy’, we seek to be an advisory, broking and solutions provider of choice through an integrated global platform. While we have confidence that our strategic plan reflects opportunities that are appropriate and achievable, there is a possibility that our strategy may not deliver projected long-term growth in revenue and profitability due to inadequate execution, incorrect assumptions, global or local economic conditions, competition, changes in the industries in which we operate, sub-optimal resource allocation or any of the other risks described in this ‘Risk Factors’ section. In addition, our strategy continues to evolve, and it is possible that we will be unable to successfully execute the associated strategy changes, due to factors discussed above or elsewhere in this ‘Risk Factors’ section. In pursuit of our growth strategy, we may also invest significant time and resources into new product or service offerings, as well as investments in technology and infrastructure to support these offerings, and there is the possibility that we may not realize our expected return on these offerings or that these offerings may fail to yield sufficient return to cover the cost of investment. The failure to continually develop and execute optimally on our global business strategy could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realize the anticipated benefits of our growth strategy or our expected product, service, and transaction pipelines.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stated certain financial goals through the end of fiscal 2024, including with respect to our cash flows, our growth and margin targets, and our share repurchases. We have stated, and may in the future state, other goals for 2024 or future periods. Our initiatives aiming to implement our targets and future financial objectives pose potential operational risks and may result in distraction of management and colleagues. We cannot be certain whether we will be able to realize benefits from current revenue-generating or cost-saving initiatives, including our Transformation program, and ultimately realize our strategic objectives. In addition, costs necessary to realize the savings benefits of such initiatives may be greater, or require more time, than originally projected. There can be no assurance that our actual results will meet our stated financial goals.</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our pipeline estimates may prove to be unreliable either in a particular quarter or over a longer period of time. Should we be unable to succeed in our initiatives to drive growth and achieve our stated financial targets, we may have to delay, scale back or discontinue the development, deployment and commercialization of our products or services or delay our efforts to expand our transaction pipeline. As a result, our ability to deliver continued sustainable and profitable growth may be negatively impacted and financial performance across our segments and geographies may be adversely affected.</w:t>
      </w:r>
    </w:p>
    <w:p>
      <w:pPr>
        <w:spacing w:after="0" w:line="12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manage ongoing organizational changes could impact our business results, where the level of costs and/or disruption may be significant and change over time, and the benefits may be less than we originally expect.</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in the past few years undergone several significant business and organizational changes, including multi-year operational transformation programs and a new management and organizational structure, among others. There are also a number of other initiatives planned or ongoing to transform and update our systems and processes and gain efficiencies. In addition, our strategy continues to evolve, and such evolution may result in further organizational changes or more or different investments than we currently anticipate. In connection with all these changes, we may manage a number of large-scale and complex projects. Such projects may include multiple and connected phases, many of which may be dependent on factors that are outside of our control. While we plan to undertake these types of large, complex projects based on our determination that each is necessary or desirable for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18"/>
          <w:szCs w:val="18"/>
          <w:color w:val="auto"/>
        </w:rPr>
        <w:t>the execution of the Company’s business strategy, we cannot guarantee that the collective effect of all of these projects will not adversely impact our business or results of operations or that the benefits will be as we originally expected. Effectively managing these organizational changes (including ensuring that they are implemented on schedule, within budget and without interruption to the existing business, or that transitions to new systems do not create significant control vulnerabilities during the period of transition) is critical to retaining talent, servicing clients and our business success overall. We may have difficulty attracting, training, and retaining the talent that we need to successfully manage this change. Further, many of the risks described herein increase during periods of significant organizational change and transformation. The failure to effectively manage such risks could adversely impact our resources or business or financial results.</w:t>
      </w:r>
    </w:p>
    <w:p>
      <w:pPr>
        <w:spacing w:after="0" w:line="18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depends, in part, on our ability to make acquisitions or grow our business organically. We face risks when we acquire or divest businesses, and we could have difficulty in acquiring, integrating or managing acquired businesses, or with effecting internal reorganizations, all of which could harm our business, financial condition, results of operations or reputation.</w:t>
      </w:r>
    </w:p>
    <w:p>
      <w:pPr>
        <w:spacing w:after="0" w:line="1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growth depends in part on our ability to make acquisitions and grow organically. We may not be successful in identifying appropriate acquisition and disposition candidates or consummating acquisitions on terms acceptable or favorable to us. We also face additional risks related to acquisitions, including the ability to negotiate transactions on favorable terms, the ability to secure regulatory approval of transactions where required, the ability to successfully integrate them into our existing businesses and culture, and the potential that any acquired business could significantly underperform relative to our expectations. In addition, we may not repurchase as many of our outstanding shares as anticipated due to our acquisition activity or investment opportunities, as well as other market or business conditions. If we are unable to identify and successfully make, integrate and manage acquisitions, our business could be materially adversely affected. In addition, we face risks related to divesting businesses, including that we may not receive adequate consideration in return for the divested business, we may continue to be subject to the liabilities of the divested business after its divestiture (including with respect to work we might have performed on behalf of the divested business), and we may not be able to reduce overhead or redeploy assets or retain colleagues after the divestiture closes. For example, we completed the divestiture of the Willis Re business to Gallagher in 2022 which gives rise to such risks including those risks associated with managing transition arrangements.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we cannot be certain that our acquisitions will be accretive to earnings or that our acquisitions or divestitures will otherwise meet our operational or strategic expectations. Acquisitions involve special risks, including the potential assumption of unanticipated liabilities and contingencies and difficulties in integrating acquired businesses, and acquired businesses may not achieve the levels of revenue, profit, or productivity we anticipate or otherwise perform as we expect. In addition, if the operating performance of an acquired business deteriorates significantly, we may need to write down the value of the goodwill and other acquisition-related intangible assets recorded on our consolidated balance sheet.</w:t>
      </w:r>
    </w:p>
    <w:p>
      <w:pPr>
        <w:spacing w:after="0" w:line="1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Beyond inorganic acquisition activity, we may further our organic growth strategy by entering into lines of business or by offering new products and services within existing lines of business. These lines of business, products and services present us with additional risks, particularly in instances where the markets are heavily regulated, meaningfully competitive with high bars to entry, or new or not fully developed. Such risks include the investment of significant time and resources; the possibility that these efforts will not be successful and could result in reputational damage to us; the possibility that the marketplace does not accept our products or services or that we are unable to retain clients that adopt our new products or services; and the risk of new or additional liabilities associated with these efforts, including potential E&amp;O or other claims. In addition, many of the businesses that we acquire and develop will likely have significantly smaller scales of operations prior to the implementation of our growth strategy. External factors, such as compliance with new or revised regulations, competitive alternatives and shifting market preferences may also impact the successful implementation of a line of business, product or service.</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be unable to effectively integrate an acquired business into our organization and may not succeed in managing such acquired businesses or the larger company that results from such acquisitions. The process of integrating an acquired business may subject us to a number of risks, including, without limitation, an inability to retain the management, key personnel and other colleagues of the acquired business; an inability to establish uniform standards, controls, systems, procedures and policies or to achieve anticipated savings; and exposure to legal claims or regulatory censure for activities of the acquired business prior to acquisition.</w:t>
      </w:r>
    </w:p>
    <w:p>
      <w:pPr>
        <w:spacing w:after="0" w:line="12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With respect to any such acquisition transactions, we face the risk related to the potential impacts of the transaction and integration on relationships, including with colleagues, correspondents, suppliers, clients and competitors, as well as the risk related to contingent liabilities (including litigation) potentially creating material liabilities for the Company. The following risks, in addition to those described above, may also adversely affect our ability to successfully implement and integrate these acquisitions: material changes in U.S. and foreign jurisdiction regulations (including those related to the healthcare system and Medicare and insurance brokerage, pension advisory, and investment services); changes in general economic, business and political conditions in relevant markets, including changes in the financial markets; significant competition in the marketplace; and compliance with extensive and evolving government regulations in the U.S. and in foreign jurisdictions.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21" w:name="page22"/>
    <w:bookmarkEnd w:id="21"/>
    <w:p>
      <w:pPr>
        <w:ind w:right="560"/>
        <w:spacing w:after="0" w:line="280" w:lineRule="auto"/>
        <w:rPr>
          <w:sz w:val="20"/>
          <w:szCs w:val="20"/>
          <w:color w:val="auto"/>
        </w:rPr>
      </w:pPr>
      <w:r>
        <w:rPr>
          <w:rFonts w:ascii="Times New Roman" w:cs="Times New Roman" w:eastAsia="Times New Roman" w:hAnsi="Times New Roman"/>
          <w:sz w:val="17"/>
          <w:szCs w:val="17"/>
          <w:color w:val="auto"/>
        </w:rPr>
        <w:t>If acquisitions or entry into businesses, products or services are not successfully integrated and the intended benefits of the acquisitions or business developments are not achieved, our business, financial condition and results of operations could be materially adversely affected, as well as our professional reputation. We also own an interest in a number of associates and companies where we do not exercise management control and we are therefore limited in our ability to direct or manage the business to realize the anticipated benefits that we could achieve if we had full ownership.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The </w:t>
      </w:r>
      <w:r>
        <w:rPr>
          <w:rFonts w:ascii="Times New Roman" w:cs="Times New Roman" w:eastAsia="Times New Roman" w:hAnsi="Times New Roman"/>
          <w:sz w:val="18"/>
          <w:szCs w:val="18"/>
          <w:b w:val="1"/>
          <w:bCs w:val="1"/>
          <w:i w:val="1"/>
          <w:iCs w:val="1"/>
          <w:color w:val="212529"/>
        </w:rPr>
        <w:t>sale of Willis Re to Gallagher, including transitional arrangements, creates incremental business, operational, regulatory and reputational risks.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completion of the agreed-upon transaction to sell our Willis Re business to Gallagher, which has occurred in all jurisdictions globally, entails important risks, including, among others: the risk that the post-closing transition arrangements, which are complex, may impose costs or liabilities or may give rise to errors in execution, be distracting to our management, or cause disruption to our business or our relationships with clients, colleagues, suppliers, regulators, competitors, and other third parties; the risk that the triggers for the potential earnout payment may not be met; the risk that transaction and/or transition costs may be greater than expected, including as a result of the complexity of the transition arrangements in domestic and international jurisdictions across the globe; the risk that litigation associated with the Gallagher transaction or with contingent liabilities we have retained, if any, may arise; and other risks in this Annual Report on Form 10-K and in our other SEC filings.</w:t>
      </w:r>
    </w:p>
    <w:p>
      <w:pPr>
        <w:spacing w:after="0" w:line="12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performance and growth 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w:t>
      </w:r>
    </w:p>
    <w:p>
      <w:pPr>
        <w:spacing w:after="0" w:line="12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develop and implement technology, data and analytic solutions that anticipate, lead, or keep pace with rapid and continuing changes in technology both for internal operations and for maintaining industry standards and meeting client preferences. We may not be successful in anticipating or responding to these developments in a timely and cost-effective manner or in attracting and maintaining personnel with the necessary skills in this area. Additionally, our ideas may not lead to the desired internal efficiencies or be accepted in the marketplace. In addition, we may not be able to implement technology-based solutions as quickly as desired if, for example, greater resources are required than originally expected or resources are otherwise needed elsewhere. The effort to gain technological and data expertise and develop new technologies or analytic techniques in our business requires us to incur significant cost and attract qualified technical talent who are in high demand. Our competitors are seeking to develop competing or new technologies, and their success in this space may impact our ability to differentiate our services to our clients through the use of unique technological solutions. For example, incorporating artificial intelligence into certain product offerings may become more important in our operations over time. If we fail to keep pace with rapidly evolving artificial intelligence technological developments, our competitive position and business results may be negatively impacted. In certain cases, we may decide, based on perceived business needs, to make investments that may be greater than we currently anticipate. If we cannot offer new technologies or data and analytic services or solutions as quickly or effectively as our competitors, or if our competitors develop more cost-effective technologies or analytic tools, it could have a material adverse effect on our ability to obtain and complete client engagements.</w:t>
      </w:r>
    </w:p>
    <w:p>
      <w:pPr>
        <w:spacing w:after="0" w:line="1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depend on our technology systems for conducting business, as well as for providing the data and analytics we use to manage our business. As a result, our business success is dependent on maintaining the effectiveness of existing technology systems and on continuing to develop and enhance technology systems that support our business processes and strategic initiatives in a cost- and resource-efficient manner, particularly as our business processes become more digital.</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number of strategic initiatives involving investments in technology and infrastructure to support our own systems as well as partnerships with technology companies as part of our Transformation program and as a subset of our overall growth strategy. These investments may be costly and require significant capital expenditures and/or may not be profitable or may be less profitable than what we have experienced historically. In addition, investments in technology systems may not deliver the benefits or perform as expected or may be replaced or become obsolete more quickly than expected, which could result in operational difficulties or additional costs. If we do not keep up with technological changes or execute effectively on our strategic initiatives, our business and results of operations could be adversely impacted.</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part of our efforts to enhance our technological capabilities, from time to time, we may utilize artificial intelligence, machine learning, data analytics, and similar tools that collect, aggregate and analyze data (collectively, ‘Data Tools’). There are significant risks involved in utilizing Data Tools and no assurance can be provided that the usage of such Data Tools will enhance our business or assist us in being more efficient or profitable. While Data Tools may improve the efficiency of data analytics and reduce certain costs, there is no assurance that the expenses related to Data Tools directly or indirectly borne by us will outweigh such reduced investment costs or outweigh such risks. In addition, the use of Data Tools may enhance cybersecurity risks and operational and technological risks. The technologies underlying Data Tools and their use cases are rapidly developing, and remain subject to existing laws, including privacy, consumer protection and federal equal opportunity laws. As a result, it is not possible to predict all of the legal,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22" w:name="page23"/>
    <w:bookmarkEnd w:id="22"/>
    <w:p>
      <w:pPr>
        <w:ind w:right="60"/>
        <w:spacing w:after="0" w:line="258" w:lineRule="auto"/>
        <w:rPr>
          <w:sz w:val="20"/>
          <w:szCs w:val="20"/>
          <w:color w:val="auto"/>
        </w:rPr>
      </w:pPr>
      <w:r>
        <w:rPr>
          <w:rFonts w:ascii="Times New Roman" w:cs="Times New Roman" w:eastAsia="Times New Roman" w:hAnsi="Times New Roman"/>
          <w:sz w:val="18"/>
          <w:szCs w:val="18"/>
          <w:color w:val="auto"/>
        </w:rPr>
        <w:t>operational or technological risks related to the use of Data Tools. Moreover, Data Tools are the subject of evolving review by various regulatory agencies, including the SEC and the U.S. Federal Trade Commission, and changes in the regulation of the use of Data Tools may adversely affect our ability to use them in a manner that is cost- and resource-effective. For further discussion of risks relating to these technology systems, please see ‘</w:t>
      </w:r>
      <w:r>
        <w:rPr>
          <w:rFonts w:ascii="Times New Roman" w:cs="Times New Roman" w:eastAsia="Times New Roman" w:hAnsi="Times New Roman"/>
          <w:sz w:val="18"/>
          <w:szCs w:val="18"/>
          <w:i w:val="1"/>
          <w:iCs w:val="1"/>
          <w:color w:val="auto"/>
        </w:rPr>
        <w:t>Data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cybersecurity breaches or improper disclosure of confidential company or personal data could result in material financial loss, regulatory actions, reputational harm, and/or legal liability’ </w:t>
      </w:r>
      <w:r>
        <w:rPr>
          <w:rFonts w:ascii="Times New Roman" w:cs="Times New Roman" w:eastAsia="Times New Roman" w:hAnsi="Times New Roman"/>
          <w:sz w:val="18"/>
          <w:szCs w:val="18"/>
          <w:color w:val="auto"/>
        </w:rPr>
        <w:t>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Environment Risks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Macroeconomic trends, including inflation, changes in interest rates and trade policies, as well as political events, trade and other international disputes, war, terrorism, natural disasters, public health issues and other business interruptions, can adversely affect our business, results of operations or financial condition.</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Global economic events and other factors, such as accommodative monetary and fiscal policy and the impacts of the COVID-19 pandemic, have contributed to significant inflation in many of the markets in which we operate. In particular, recently inflation in the United States, Europe and other geographies had risen to levels not experienced in recent decades and we have and may see its impact on various aspects of our business, which in some cases have, or could in the future, negatively affect our business and financial condition. In order to combat inflation and restore price stability, a number of central banks around the world have raised interest rates and may continue to do so in 2024. Increased inflation and the fluctuation of interest rates may hinder the economic growth in a number of markets where we do business, and has had, and may continue to have, far-reaching effects on the global economy. Weakness in the economy and the possibility of a global recession has had, and may continue to have, a negative effect on our business and financial condition, including on the value of our ordinary shares.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U.S. and global economic conditions have created market uncertainty and volatility. Such general economic conditions, such as inflation, stagflation, political volatility, costs of labor, cost of capital, interest rates and tax rates, affect our operating and general and administrative expenses, and we have no control or limited ability to control such factors. If our costs grow significantly in excess of our ability to raise revenue, our margins and results of operations may be materially and adversely impacted and we may not be able to achieve our strategic and financial objectives. These conditions also affect our clients’ businesses and the markets that they serve and may reduce demand for our services, increase demands for pricing accommodations or cause a higher rate of delays in the collection of, or losses on, our accounts receivable, which could adversely affect our results of operations.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Major public health issues, including the COVID-19 pandemic, have adversely affected, and could in the future materially adversely affect our business, results of operations or financial condition. The COVID-19 pandemic disrupted certain aspects of our business and the businesses of our clients, third-party vendors, business partners and others, in every geography in which we operate and the ultimate extent of its impact on us, how we operate and our results, will depend on future developments that we are unable to predict. Public health issues could continue to disrupt, possibly materially, our business operations and services that we provide or impact our business operations and results in the future.</w:t>
      </w:r>
    </w:p>
    <w:p>
      <w:pPr>
        <w:spacing w:after="0" w:line="1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Additionally, U.S. and global markets are affected by geopolitical conflict in highly unpredictable ways and are currently experiencing volatility and disruption as a result of the war between Russia and Ukraine and the Israel-Hamas war. These ongoing wars and other geopolitical conflicts could lead to further market disruptions and could have a material adverse effect on our business, prospects, financial condition, and operating results as further discussed in ‘</w:t>
      </w:r>
      <w:r>
        <w:rPr>
          <w:rFonts w:ascii="Times New Roman" w:cs="Times New Roman" w:eastAsia="Times New Roman" w:hAnsi="Times New Roman"/>
          <w:sz w:val="18"/>
          <w:szCs w:val="18"/>
          <w:i w:val="1"/>
          <w:iCs w:val="1"/>
          <w:color w:val="auto"/>
        </w:rPr>
        <w:t>Our business, financial condition, results of operations, and long-term goals may continue to be adversely affected, possibly materially,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negative impacts on the global economy and capital markets resulting from wars or any other geopolitical tensions’ </w:t>
      </w:r>
      <w:r>
        <w:rPr>
          <w:rFonts w:ascii="Times New Roman" w:cs="Times New Roman" w:eastAsia="Times New Roman" w:hAnsi="Times New Roman"/>
          <w:sz w:val="18"/>
          <w:szCs w:val="18"/>
          <w:color w:val="auto"/>
        </w:rPr>
        <w:t>below.</w:t>
      </w:r>
    </w:p>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 the continued slowdown in the global economy, including a recession, or in a particular region or industry, inflation or a tightening of the credit markets could negatively impact our business, financial condition and liquidity, including our ability to continue to access preferred sources of liquidity when we would like, and our borrowing costs could increase. In particular, further tightening of the credit markets could limit our ability to obtain external financing to fund our operations and capital expenditures, if and when needed. In addition, we could experience losses on our holdings of cash and investments due to failures of financial institutions and other parties. Thus, a deterioration or prolonged period of negative or stagnant macroeconomic conditions in the U.S. and globally could adversely affect our business, results of operations or financial condition.</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3" w:right="379" w:bottom="1440" w:gutter="0" w:footer="0" w:header="0"/>
        </w:sectPr>
      </w:pPr>
    </w:p>
    <w:bookmarkStart w:id="23" w:name="page24"/>
    <w:bookmarkEnd w:id="23"/>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services could decrease for various reasons, including a general economic downturn, increased competition, or a decline in a client’s or an industry’s financial condition or prospects, all of which could substantially and negatively affect us.</w:t>
      </w:r>
    </w:p>
    <w:p>
      <w:pPr>
        <w:spacing w:after="0" w:line="104"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 demand for our services may not grow or be maintained, and we may not be able to compete successfully with our existing competitors, new competitors or our clients’ internal capabilities. Client demand for our services may change based on the clients’ needs and financial conditions, among other factors.</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results of operations are affected directly by the level of business activity of our clients, which in turn is affected by the level of economic activity in the industries and markets that they serve. For example, any changes in U.S. trade policy (including any increases in tariffs that result in a trade war), recessionary conditions in some of the markets where we do business, inflationary conditions, ongoing stock market volatility or an increase in, or unmet market expectations with respect to, interest rates could adversely affect the general economy. As a result, global financial markets may continue to experience disruptions, including increased volatility and reduced credit availability, which could substantially impact our results. Likewise, the lingering effects of the COVID-19 pandemic and related economic disruptions have impacted and could have a material adverse impact on global demand from our clients, as well as our operations as discussed elsewhere in this report. While it is difficult to predict the consequences of any deterioration in global economic conditions on our business, any significant reduction or delay by our clients in purchasing our services or insurance or making payment of premiums could have a material adverse impact on our financial condition and results of operations. In addition, the potential for a significant insurer to fail, be downgraded or withdraw from writing certain lines of insurance coverages that we offer our clients could negatively impact overall capacity in the industry, which could then reduce the placement of certain lines and types of insurance and reduce our revenue and profitability. The potential for an insurer to fail or be downgraded could also result in errors and omissions claims by clients.</w:t>
      </w:r>
    </w:p>
    <w:p>
      <w:pPr>
        <w:spacing w:after="0" w:line="13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 addition, the markets for our principal services are highly competitive. Our competitors include other insurance brokerage (including direct-to-consumer Medicare brokerage), human capital and risk management consulting and actuarial firms, and the human capital and risk management divisions of diversified professional services, insurance, brokerage and accounting firms and specialty, regional and local firms.</w:t>
      </w:r>
    </w:p>
    <w:p>
      <w:pPr>
        <w:spacing w:after="0" w:line="12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Competition for business is intense in all of our business lines and in every insurance market, and some competitors have greater market share in certain lines of business than we do. Some of our competitors have greater financial, technical and marketing resources than us, which could enhance their ability to finance acquisitions, fund internal growth and respond more quickly to professional and technological changes. New competitors, as well as increasing and evolving consolidation or alliances among existing competitors, have created and could continue to create additional competition and could significantly reduce our market share, resulting in a loss of business for us and a corresponding decline in revenue and profit margin. In order to respond to increased competition and pricing pressure, we may have to lower our prices, which would also have an adverse effect on our revenue and profit margin.</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existing and new competitors (whether traditional competitors or non-traditional competitors, such as technology companies) may continue to develop competing technologies or product or service offerings. Any new technology or product or service offering (including insurance companies selling their products directly to consumers or other insureds) that reduces or eliminates the need for intermediaries in insurance sales transactions could have a material adverse effect on our business and results of operations. Further, the increasing willingness of clients to either self-insure or maintain a captive insurance company, and the development of capital markets-based solutions and other alternative capital sources for traditional insurance needs, could also materially adversely affect us and our results of operations.</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 example of a business that may be significantly impacted by changes in customer demand is our retirement consulting and actuarial business, which comprises a substantial portion of our revenue and profit. We provide clients with actuarial and consulting services relating to both defined benefit and defined contribution pension plans. Defined benefit pension plans generally require more actuarial services than defined contribution plans because defined benefit plans typically involve large asset pools, complex calculations to determine employer costs, funding requirements and sophisticated analysis to match liabilities and assets over long periods of time. If organizations shift to defined contribution plans more rapidly than we anticipate, or if we are unable to otherwise compensate for the decline in our business that results from employers moving away from defined benefit plans, our business, financial condition and results of operations could be materially adversely affected. Furthermore, large and complex consulting projects, often involving dedicated personnel, resources and expenses, comprise a significant portion of this business, which are based on our clients’ discretionary needs and may be reduced based on a decline in a client’s or an industry’s financial condition or prospects. We also face the risk that certain large and complex project contracts may be reduced or terminated based on dissatisfaction with service levels, which could result in reduced revenue, write-offs of assets associated with the project, and disputes over the contract, all of which may adversely impact our results and business.</w:t>
      </w:r>
    </w:p>
    <w:p>
      <w:pPr>
        <w:spacing w:after="0" w:line="1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addition, the demand for many of our core benefit services, including compliance-related services, is affected by government regulation and taxation of employee benefit plans. Significant changes in tax or social welfare policy or other regulations could lead some employers to discontinue their employee benefit plans, including defined benefit pension plans, thereby reducing the demand for our services. A simplification of regulations or tax policy could also reduce the need for our services.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4" w:name="page25"/>
    <w:bookmarkEnd w:id="24"/>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and long-term goals may continue to be adversely affected, possibly materially, by negative impacts on the global economy and capital markets resulting from wars or any other geopolitical tensions.</w:t>
      </w:r>
    </w:p>
    <w:p>
      <w:pPr>
        <w:spacing w:after="0" w:line="10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as a result of the Russia-Ukraine and Israel-Hamas wars. Although the length and impact of the ongoing wars are highly unpredictable, these geopolitical conflicts could continue to lead to further market disruptions. Geopolitical tensions that have not crystallized into active wars could similarly cause market disruptions, directly or indirectly. The extent and duration of geopolitical crises, sanctions and resulting market disruptions are impossible to predict, but could be substantial.</w:t>
      </w:r>
    </w:p>
    <w:p>
      <w:pPr>
        <w:spacing w:after="0" w:line="12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Sanctions imposed by the U.S., the E.U., the U.K. and other countries on Russia, as well as Russian counter-sanctions, are extensive. Additional sanctions and penalties have also been enacted, proposed and/or threatened. Russian actions and the resulting sanctions could adversely affect the global economy and financial markets and lead to instability and lack of liquidity in capital markets. The ramifications of the hostilities and sanctions, however, may not be limited to Russia and Russian companies but may spill over to and negatively impact other regional and global economic markets (including Europe and the United States), companies in other countries (particularly those that have done business with Russia) and various sectors, industries and markets for securities and commodities globally, such as oil and natural gas. Accordingly, the actions discussed above and the potential for a wider conflict could increase financial market volatility and could cause severe negative effects on regional and global economic markets, industries, and companies. In addition, Russia may take retaliatory actions and other countermeasures, including cyberattacks and espionage against other countries and companies around the world, which may negatively impact such countries and companies. The extent and duration of the Russian actions or future escalation of such hostilities, the extent and impact of existing and future sanctions, market disruptions and volatility, and the result of any diplomatic negotiations cannot be predicted. For additional sanctions-related risks, also see ‘</w:t>
      </w:r>
      <w:r>
        <w:rPr>
          <w:rFonts w:ascii="Times New Roman" w:cs="Times New Roman" w:eastAsia="Times New Roman" w:hAnsi="Times New Roman"/>
          <w:sz w:val="18"/>
          <w:szCs w:val="18"/>
          <w:i w:val="1"/>
          <w:iCs w:val="1"/>
          <w:color w:val="auto"/>
        </w:rPr>
        <w:t>Sanctions imposed by governments, or changes to such sanction regulations (such as sanctions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imposed on Russia), and related counter-sanctions, could have a material adverse impact on our operations or financial results’ </w:t>
      </w:r>
      <w:r>
        <w:rPr>
          <w:rFonts w:ascii="Times New Roman" w:cs="Times New Roman" w:eastAsia="Times New Roman" w:hAnsi="Times New Roman"/>
          <w:sz w:val="18"/>
          <w:szCs w:val="18"/>
          <w:color w:val="auto"/>
        </w:rPr>
        <w:t>below.</w:t>
      </w:r>
    </w:p>
    <w:p>
      <w:pPr>
        <w:spacing w:after="0" w:line="12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Damage to our business, including to our reputation arising from, among other things, the failure of third parties on whom we rely to perform services or maintain positive public perceptions, could adversely affect our business, operations and results.</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Maintaining a positive reputation is critical to our ability to attract and maintain relationships with clients and colleagues. Damage to our reputation could therefore cause significant harm to our business and prospects. Harm to our reputation can arise from numerous sources, including among others, colleague misconduct, litigation or regulatory action, failure to deliver minimum standards of service and quality, compliance failures, allegations of conflicts of interest and unethical behavior. Such harm could also arise from negative public opinion or political conditions arising from our association with third parties in any number of activities or circumstances. Negative perceptions or publicity, whether or not true, may result in harm to our prospects. In addition, the failure to deliver satisfactory service and quality performance, on time and within budget, in one line of business could cause clients to terminate the services we provide to those clients in many other lines of business. This risk has increased as the Company has become larger and more complex and as we take on increasingly complicated projects for our clients (such as complex outsourcing engagements and technology solutions development/implementation projects that require a significant amount of dedicated personnel resources and expenses).</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as part of providing services to clients and managing our business, we not only depend on a number of third-party service providers and suppliers today, but we expect to engage the services of new third parties in the future as we continue to implement our operational transformation programs. Our ability to perform effectively depends in part on the ability of these service providers to meet their obligations, as well as on our effective oversight of their performance. The quality of our services could suffer, or we could be required to incur unanticipated costs if our third-party service providers do not perform as expected or their services are disrupted. This could have a material adverse effect on our reputation as well as our business and results of operations.</w:t>
      </w:r>
    </w:p>
    <w:p>
      <w:pPr>
        <w:spacing w:after="0" w:line="12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by any negative developments that may occur in the insurance industry or if we fail to maintain good relationships with insurance carriers.</w:t>
      </w:r>
    </w:p>
    <w:p>
      <w:pPr>
        <w:spacing w:after="0" w:line="10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Many of our businesses are heavily dependent on the insurance industry. Any negative developments that occur in the insurance industry may have a material adverse effect on our business and our results of operations. In addition, if we fail to maintain good relationships with insurance carriers, it may have a material adverse effect on our business and results of operations.</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private health insurance industry in the U.S. has experienced a substantial amount of consolidation over the past several years, resulting in a decrease in the number of insurance carriers. In the future, it may become necessary for us to offer insurance plans from a reduced number of insurance carriers or to derive a greater portion of our revenue from a more concentrated number of carriers as our business and the health insurance industry continue to evolve. The termination, amendment or consolidation of our relationships with our insurance carriers in the U.S. or in any other jurisdiction could harm our business, results of operations and financial condition.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Risks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continued services of our executive officers, senior management team, and skilled individual contributors, and any changes in our management structure and in senior leadership could affect our business and financial results.</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and future performance has depended largely upon the continued services of our executive officers, senior management, and other highly skilled personnel. We have relied on our leadership team to execute on our business plan, for strategy, growth, research and development, marketing, sales, provision, maintenance, and support of our products and services, and general and administrative functions, and on mission-critical individual contributors. From time to time, our executive management team and the groups of skilled individual contributors may change from the hiring or departure of executive officers or such contributors, which could disrupt our business. The employment agreements with our executive officers (to the extent our officers are party to such agreements) and other key personnel will not require them to continue to work for us for any specified period; therefore, they could terminate their employment at any time. The loss of one or more of our executive officers, senior management, or other key colleagues (including any limitation on the performance of their duties) could significantly delay or prevent the achievement of our development and strategic objectives.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leadership transition may also increase the likelihood of turnover among our colleagues and result in changes in our business strategy, which may create uncertainty and negatively impact our ability to execute our business strategy quickly and effectively. Leadership transitions may also impact our relationships with customers and other market participants, and create uncertainty among investors, colleagues, and others concerning our future direction and performance. Any significant disruption, uncertainty or change in business strategy could adversely affect our business, operating results and financial condition.</w:t>
      </w:r>
    </w:p>
    <w:p>
      <w:pPr>
        <w:spacing w:after="0" w:line="12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colleagues or a large number of colleagues could damage or result in the loss of client relationships and could result in such colleagues competing against us.</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personnel, including key managers and colleagues. In addition, our success largely depends upon our colleagues’ abilities to generate business and provide quality services. Our ability to provide services our clients demand requires such skills and training, in insurance, actuarial, human resources and other areas, which are also in high demand among our competitors. The market for talent in our industry is extremely competitive, and competitors for talent increasingly attempt to hire, and to varying degrees have been successful in hiring, our colleagues or employment candidates. In particular, our colleagues’ business relationships with our clients are a critical element of obtaining and maintaining client engagements. Labor markets have continued to tighten globally, and we have experienced intense competition and increased costs for certain types of colleagues, especially as new entrants in the insurance business (among others) continue to expend significant resources in their own hiring. Also, in the past, we have lost colleagues who manage substantial client relationships or possess substantial experience or expertise; if we lose additional colleagues such as those, or if we lose a large number of other colleagues, it could result in such colleagues competing against us. It may take longer than expected to hire new colleagues to replace colleagues who have left and/or these new colleagues may be subject to restrictive covenants that impact the amount of business they can generate while those covenants are in effect. Further, the increased availability of remote working arrangements has also expanded the pool of companies that can compete for our colleagues and employment candidates. Our operational transformation efforts require us to attract, onboard, and retain individuals relevant for those efforts and we may not be able to do that successfully. The failure to successfully attract and retain qualified personnel could materially adversely affect our ability to secure and complete engagements or could disrupt our business or cause increased operational risk, which would materially adversely affect our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our corporate culture, including in a remote or hybrid work environment, could damage our reputation.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aim to foster a culture that is based on a strong client focus, an emphasis on teamwork, integrity, mutual respect and striving for excellence. Our colleagues are the cornerstone of this culture, and acts of misconduct by any colleague, and particularly by senior management, could erode trust and confidence and damage our reputation among existing and potential clients and other stakeholders. Our business is managing people, risk and capital, and our success depends on our ability to develop and promote an ethical culture of trust, integrity and other important qualities in which our colleagues are comfortable speaking up about potential misconduct. While we do not believe we have experienced any material adverse cultural impacts as a result of our remote and hybrid work environment, this may manifest over time. As a result, remote and hybrid work arrangements may negatively impact our ability to maintain and promote our culture and increase related risks.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Technology, Cybersecurity and Data Protection Risks</w:t>
      </w:r>
    </w:p>
    <w:p>
      <w:pPr>
        <w:spacing w:after="0" w:line="1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and cybersecurity breaches or improper disclosure of confidential company or personal data could result in material financial loss, regulatory actions, reputational harm, and/or legal liability.</w:t>
      </w:r>
    </w:p>
    <w:p>
      <w:pPr>
        <w:spacing w:after="0" w:line="10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depend on information technology networks and systems to process, transmit and store electronic information and to communicate among our locations around the world and with our alliance partners, insurance carriers/markets, clients and third-party vendors. Additionally, one of our significant responsibilities is to maintain the security and privacy of our clients’ confidential and proprietary information and the personal data of their customers and employees. Our information systems, and those of our third-party service providers and vendors, are vulnerable to an increasing threat of continually evolving cybersecurity risks. We are regularly subject to cyberattacks and are the target of computer viruses, hackers, distributed denial of service attacks, malware infections, ransomware attacks, phishing and spear-phishing campaigns, and/or other external hazards, as well as improper or inadvertent workforce behavior which, could expose confidential company and personal data systems and information to security breaches.</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Many of the software applications that we use in our business are licensed from, and supported, upgraded and maintained by, third-party vendors. Our third-party applications include, but are not limited to, enterprise cloud storage and cloud computing application services provided and maintained by third-party vendors. These third-party applications store or may afford access to confidential and proprietary data of the Company, our colleagues and our clients. We have processes designed to require third-party vendors that provide IT outsourcing, offsite storage and other services to agree to maintain certain standards with respect to the storage, protection and transfer of confidential, personal and proprietary information. However, this data is at risk of compromise or unauthorized access or use in the event of a breakdown of a vendor’s data protection processes, a data breach due to the intentional or unintentional non-compliance by a vendor’s employee or agent, or as a result of a cyber-attack on the product, software or information systems of a vendor in our software supply chain. Any compromise of the product, software, data or infrastructure of a Company vendor, including a software or IT vendor in our supply chain has, and could again, in turn result in the compromise of Company data or infrastructure or result in material operational disruption, although no such previous compromise has been material to our business or financial results. Further, the risk and potential impact of a data breach on our third-party vendors’ products, software or systems increase as we move more of our data and our clients’ data into our vendors’ cloud storage, engage in IT outsourcing, and consolidate the group of third-party vendors that provide cloud storage or other IT services for the Company. Over time, the frequency, severity and sophistication of the attacks against us and our vendors have increased, including due to the use of artificial intelligence for purposes of cybercrime, and the broader range of threat actors, including state-sponsored actors and hacker activists.</w:t>
      </w:r>
    </w:p>
    <w:p>
      <w:pPr>
        <w:spacing w:after="0" w:line="14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and our vendors regularly experience cybersecurity incidents, including successful attacks from time to time, and we expect that to continue going forward. Cybersecurity incidents include those resulting from human error or malfeasance, implantation of malware and viruses, phishing and spear-phishing attacks, unauthorized access to our information technology networks and systems, and unauthorized access to data or individual account funds through fraud or other means of deceiving our colleagues, clients, third-party service providers and vendors. We have experienced successful attacks, by various types of hacking groups, in which personal and commercially sensitive information, belonging to the Company or its clients, has been compromised. However, none of these cybersecurity incidents or attacks to our knowledge have been material to our business or financial results. We cannot assure that such cybersecurity incidents or attacks will not have a material impact on our business or financial results in the future. When required by law, we have notified individuals, clients and relevant regulatory authorities (such as insurance/financial services regulators and privacy regulators) of such cybersecurity incidents or attacks.</w:t>
      </w:r>
    </w:p>
    <w:p>
      <w:pPr>
        <w:spacing w:after="0" w:line="1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maintain policies, procedures and administrative, physical and technological safeguards (such as, where in place, multifactor authentication and encryption of data in transit and at rest) designed to protect the security and privacy of the data in our custody and control. However, such safeguards are time-consuming and expensive to deploy broadly and are not necessarily always in place or effective, and we cannot entirely eliminate the risk of data security breaches, improper access to, takeover of or disclosure of confidential company or personally identifiable information. We may not be able to detect and assess such issues, or implement appropriate mitigation or remediation, in a timely manner. We are engaged in an ongoing effort to enhance our protections against such attacks; this effort will require significant expenditures and may not be successful. Our technology may fail to adequately secure the private information we hold and protect it from theft, computer viruses, hackers or inadvertent loss.</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has happened in the past, if any person, including any of our colleagues, intentionally or unintentionally fails to comply with, disregards or intentionally breaches our established controls with respect to such data or otherwise mismanages or misappropriates that data, we could be subject to monetary damages, fines, regulatory enforcement, and/or criminal prosecution, although the prior instances have not been material to our business or financial results. Unauthorized disclosure of sensitive or confidential client, supplier or colleague data, whether through systems failure, accident, colleague negligence, fraud or misappropriation, could damage our reputation and cause us to lose clients. Similarly, unauthorized access to or through our information systems or those we develop for our clients, whether by our colleagues or third parties, could result in significant additional expenses (including expenses relating to incident response and investigation, remediation work, notification of data security breaches and costs of credit monitoring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7" w:name="page28"/>
    <w:bookmarkEnd w:id="27"/>
    <w:p>
      <w:pPr>
        <w:ind w:right="340"/>
        <w:spacing w:after="0" w:line="281" w:lineRule="auto"/>
        <w:rPr>
          <w:sz w:val="20"/>
          <w:szCs w:val="20"/>
          <w:color w:val="auto"/>
        </w:rPr>
      </w:pPr>
      <w:r>
        <w:rPr>
          <w:rFonts w:ascii="Times New Roman" w:cs="Times New Roman" w:eastAsia="Times New Roman" w:hAnsi="Times New Roman"/>
          <w:sz w:val="18"/>
          <w:szCs w:val="18"/>
          <w:color w:val="auto"/>
        </w:rPr>
        <w:t>services), negative publicity, operational disruption, legal liability and/or damage to our reputation, as well as require substantial resources and effort of management, thereby diverting management’s focus and resources from business operations.</w:t>
      </w:r>
    </w:p>
    <w:p>
      <w:pPr>
        <w:spacing w:after="0" w:line="10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methods used to obtain unauthorized access to, disable or degrade service or sabotage the Company’s systems are also constantly evolving, are increasingly sophisticated, and may be difficult to anticipate or detect. For example, the U.S. Federal Bureau of Investigation, the Cybersecurity and Infrastructure Security Agency, and other U.S. federal agencies continue to issue warnings about trends in cybercriminal and nation-state activity and other threats that are consistent with some of the types of incidents we have experienced. To our knowledge, these incidents have not had a material impact on our business or operations thus far. However, our reputation could be harmed and our business and results of operations could be materially and adversely affected if we were to be the target of such attacks in the future, or if, despite our controls and efforts to detect breaches, we were to be the victim of an undetected breach.</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implemented and regularly review and update processes and procedures to protect against fraud and unauthorized access to and use of secured data and to prevent data loss. The ever-evolving threats mean that we and our third-party service providers and vendors must continually evaluate, adapt, enhance and otherwise improve our respective systems and processes, especially as we grow our mobile, cloud and other internet-based services. There is no guarantee that such efforts will be adequate to safeguard against all fraud, data security breaches, unauthorized access, operational impacts or misuses of data. For example, our policies, colleague training (including phishing prevention training), procedures and technical safeguards have been insufficient to prevent or detect improper access to confidential, personal or proprietary information by colleagues, vendors or other third parties with otherwise legitimate access to our systems, although the prior instances have not been material to our business or financial results. In addition, we may not be able to implement such efforts as quickly as desired if, for example, greater resources are required than originally expected or resources and management’s focus are insufficient. Any future significant compromise or breach of our data security or fraud, whether external or internal, or misuse of client, colleague, supplier or company data, could result in additional significant costs, lost revenue opportunities, disruption of operations and service, fines, lawsuits, and damage to our reputation with our clients and in the broader market</w:t>
      </w:r>
      <w:r>
        <w:rPr>
          <w:rFonts w:ascii="Times New Roman" w:cs="Times New Roman" w:eastAsia="Times New Roman" w:hAnsi="Times New Roman"/>
          <w:sz w:val="18"/>
          <w:szCs w:val="18"/>
          <w:b w:val="1"/>
          <w:bCs w:val="1"/>
          <w:i w:val="1"/>
          <w:iCs w:val="1"/>
          <w:color w:val="auto"/>
        </w:rPr>
        <w:t>.</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further discussion of the commercial risks related to the cybersecurity and data protection technology we use, please see ‘</w:t>
      </w:r>
      <w:r>
        <w:rPr>
          <w:rFonts w:ascii="Times New Roman" w:cs="Times New Roman" w:eastAsia="Times New Roman" w:hAnsi="Times New Roman"/>
          <w:sz w:val="18"/>
          <w:szCs w:val="18"/>
          <w:i w:val="1"/>
          <w:iCs w:val="1"/>
          <w:color w:val="auto"/>
        </w:rPr>
        <w:t>Our business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growth 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 </w:t>
      </w:r>
      <w:r>
        <w:rPr>
          <w:rFonts w:ascii="Times New Roman" w:cs="Times New Roman" w:eastAsia="Times New Roman" w:hAnsi="Times New Roman"/>
          <w:sz w:val="18"/>
          <w:szCs w:val="18"/>
          <w:color w:val="auto"/>
        </w:rPr>
        <w:t>above. In addition, please see Part I, Item 1C Cybersecurity of this Form 10-K</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comply with complex and evolving laws and regulations related to data privacy and cybersecurity could result in material financial loss, regulatory actions, reputational harm, and/or legal liability.</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are subject to numerous laws and regulations in the U.S. and foreign jurisdictions, only certain of which are named here, designed to protect the personally identifiable information of client and company constituents and suppliers, notably the European Union’s General Data Protection Regulation (‘GDPR’), which became effective on May 25, 2018, the California Consumer Privacy Act of 2018, as amended by the California Privacy Rights Act of 2020 and its implementing regulations (‘CCPA’), which became effective in its current form on January 1, 2023, the Virginia Consumer Data Protection Act (‘VCDPA’), which became effective on January 1, 2023 and Connecticut Data Privacy Act (‘CDPA’), which became effective on July 1, 2023. We are also subject to regulations from other countries that prohibit or restrict the transmission of data outside of such countries’ borders, and to various U.S. federal and state laws governing the protection of health, financial or other individually identifiable information. The GDPR, as well as other more recently enacted privacy laws, significantly increased our responsibilities when handling personal data including, without limitation, requiring us to conduct privacy impact assessments, restricting the transmission of data, and requiring public disclosure of significant data breaches. Violations of the GDPR may result in possible fines of up to 4% of global annual turnover for the preceding financial year or €20 million (whichever is higher). A July 2020 judgment by the Court of Justice of the European Union on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has made cross border data transfers to organizations outside the European Economic Area more onerous and uncertain. Further, as a result of the U.K.’s withdrawal from the European Union (‘Brexit’), the data transfer regime between the U.K. and the European Economic Area is subject to some uncertainty if the U.K.’s data strategy diverges from the E.U.’s in the coming years. The Company is also subject to numerous U.S. and foreign marketing and telecommunications laws and regulations designed to protect consumers from unwanted or fraudulent communications. A violation of any such law may lead to litigation or regulatory liability, including substantial financial damages or fines.</w:t>
      </w:r>
    </w:p>
    <w:p>
      <w:pPr>
        <w:spacing w:after="0" w:line="16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Laws and regulations in this area are evolving and generally becoming more stringent, including, without limitation, the U.S. Health Insurance Portability and Accountability Act of 1996 (‘HIPAA’), enforced by the Office for Civil Rights within the Department of Health and Human Services, and the New York State Department of Financial Services’ cybersecurity regulations outlining required security measures for the protection of data. Certain U.S. states have also recently enacted laws requiring certain data security and privacy measures of regulated entities, notably the CCPA, VDCPA, and CDPA, with other states enacting similar data privacy laws that will become effective in the next 24 months. We expect that other U.S. states and other countries will follow in implementing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28" w:name="page29"/>
    <w:bookmarkEnd w:id="28"/>
    <w:p>
      <w:pPr>
        <w:ind w:right="360"/>
        <w:spacing w:after="0" w:line="281" w:lineRule="auto"/>
        <w:rPr>
          <w:sz w:val="20"/>
          <w:szCs w:val="20"/>
          <w:color w:val="auto"/>
        </w:rPr>
      </w:pPr>
      <w:r>
        <w:rPr>
          <w:rFonts w:ascii="Times New Roman" w:cs="Times New Roman" w:eastAsia="Times New Roman" w:hAnsi="Times New Roman"/>
          <w:sz w:val="18"/>
          <w:szCs w:val="18"/>
          <w:color w:val="auto"/>
        </w:rPr>
        <w:t>their own data privacy and data security laws. The People’s Republic of China and India, among other countries, have enacted stringent data protection laws that, among other things, may restrict data transfers out of each of those countries.</w:t>
      </w:r>
    </w:p>
    <w:p>
      <w:pPr>
        <w:spacing w:after="0" w:line="1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of these evolving laws and regulations, in the United States and abroad, as well as laws applicable to the Company that are not named here, may be subject to evolving and conflicting interpretations, restrict the manner in which we provide services to our clients, divert resources from other important initiatives, increase the risk of non-compliance, impose significant compliance and other costs that are likely to increase over time, and increase the risk of fines, lawsuits or other potential liability, all of which could have a material adverse effect on our business and results of operations. Our failure to adhere to or successfully develop processes in response to legal or regulatory requirements, including legal or regulatory requirements that may be developed or revised due to economic or geopolitical changes such as Brexit, and changing customer expectations in this area, could result in substantial legal liability and impairment to our reputation or business.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also subject to the terms of our privacy policies and contractual obligations to third parties related to privacy, data protection and information security. In addition to government regulation, privacy advocates and industry groups may propose new and different self-regulatory standards that either legally or contractually apply to us. We also expect that there will continue to be new proposed laws and regulations concerning privacy, data protection and information security, but cannot yet determine the impact such future laws, regulations and standards may have on our business. New laws, amendments to or re-interpretations of existing laws and regulations, industry standards, contractual obligations and other obligations may require us to incur additional costs and restrict our business operations. Because the interpretation and application of laws and other obligations relating to privacy and data protection are still uncertain, it is possible that these laws and other obligations may be interpreted and applied in a manner that is inconsistent with our existing data management practices. If so, in addition to the possibility of fines, lawsuits and other claims, we could be required to fundamentally change our business activities and practices, which could harm our business. We may be unable to make such changes and modifications in a commercially reasonable manner or at all. Any inability to adequately address privacy concerns, even if unfounded, or comply with applicable privacy or data protection laws, regulations and policies, could result in additional cost and liability, damage to our reputation, or harm to our business.</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mitigate and recover should we experience a disaster or other business continuity problem could cause material financial loss, loss of human capital, regulatory actions, reputational harm, and/or legal liability.</w:t>
      </w:r>
    </w:p>
    <w:p>
      <w:pPr>
        <w:spacing w:after="0" w:line="104"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Should we or a third party on whom we rely experience a disaster or other business continuity problem, such as an earthquake, hurricane, terrorist attack, act of war or other geopolitical conflict, pandemic, including prolonged effects of the COVID-19 pandemic, security breach, ransomware or destructive malware attack, power loss, telecommunications failure or other natural or man-made disaster, our continued success will depend, in part, on the availability of our personnel, our office facilities, our outsourcing providers or other vendors, access to data, and the proper functioning of our computer, telecommunication and other related systems and operations. In such an event, we could experience operational challenges with regard to our operations.</w:t>
      </w:r>
    </w:p>
    <w:p>
      <w:pPr>
        <w:spacing w:after="0" w:line="11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 disaster on a significant scale or affecting certain of our key operating areas within or across regions, or our inability to successfully recover should we experience a disaster or other business continuity problem, could materially interrupt our business operations and cause material financial loss, loss of human capital, regulatory actions, reputational harm, damaged client relationships or legal liability, particularly if any of these problems occur during peak times.</w:t>
      </w:r>
    </w:p>
    <w:p>
      <w:pPr>
        <w:spacing w:after="0" w:line="12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interruption to or loss of our information processing capabilities or failure to effectively maintain and upgrade our information processing hardware or systems could cause material financial loss, regulatory actions, reputational harm, and/or legal liability.</w:t>
      </w:r>
    </w:p>
    <w:p>
      <w:pPr>
        <w:spacing w:after="0" w:line="10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Our business depends significantly on effective information systems. Our capacity to service our clients relies on effective storage, retrieval, processing and management of information. Our information systems also rely on the commitment of significant financial and other resources to maintain and enhance existing systems, develop and create new systems and products in order to keep pace with continuing changes in information processing technology or evolving industry and regulatory standards. We rely on being at the forefront of a range of technology options relevant to our business, including by staying ahead of the technology offered by our competitors, and attracting, developing, and retaining skilled individuals in the cybersecurity space. The market for such qualified individuals is competitive and we may be unable to hire the necessary talent to mitigate the foregoing risks.</w:t>
      </w:r>
    </w:p>
    <w:p>
      <w:pPr>
        <w:spacing w:after="0" w:line="12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many of the software applications, including enterprise cloud storage and cloud computing application services, that we use in our business are licensed from, and supported, upgraded and maintained by, third-party vendors. We are significantly increasing our use of such cloud services and expect this to continue over time. These third-party applications store confidential and proprietary data of the Company, our clients and our colleagues. A suspension or termination of certain of these licenses or the related support, upgrades and maintenance could cause temporary system delays or interruptions that could adversely impact our business. As a global organization, we occasionally acquire other companies or divest certain of our existing business lines and companies. These strategic business decisions may require us to manage complex integrations or dissolutions of information systems or the transfer of information from one system to another, and we may fail to identify vulnerabilities in our targets’ information systems or in integrated components of our respective information systems. These transactions may make us more susceptible to cyberattacks and could result in the theft of Company intellectual property, the compromise of Company, colleague, and client data or operational disruption.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29" w:name="page30"/>
    <w:bookmarkEnd w:id="29"/>
    <w:p>
      <w:pPr>
        <w:spacing w:after="0" w:line="260" w:lineRule="auto"/>
        <w:rPr>
          <w:sz w:val="20"/>
          <w:szCs w:val="20"/>
          <w:color w:val="auto"/>
        </w:rPr>
      </w:pPr>
      <w:r>
        <w:rPr>
          <w:rFonts w:ascii="Times New Roman" w:cs="Times New Roman" w:eastAsia="Times New Roman" w:hAnsi="Times New Roman"/>
          <w:sz w:val="18"/>
          <w:szCs w:val="18"/>
          <w:color w:val="auto"/>
        </w:rPr>
        <w:t>Any finding that the data we rely on to run our business is inaccurate or unreliable, that we fail to maintain effective and efficient systems (including through a telecommunications failure, failure to replace or update redundant or obsolete computer hardware, applications or software systems, or the loss of skilled people with the knowledge needed to operate older systems), or that we experience cost overruns, delays, or other disruptions, could result in material financial loss, regulatory action, reputational harm or legal liability.</w:t>
      </w:r>
    </w:p>
    <w:p>
      <w:pPr>
        <w:spacing w:after="0" w:line="12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Limited protection of our intellectual property could harm our business and our ability to compete effectively, and we face the risk that our services or products may infringe upon the intellectual property rights of others.</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cannot guarantee that trade secret, trademark, and copyright law protections, or our internal policies and procedures regarding our management of intellectual property, are adequate to deter misappropriation of our intellectual property (including our software, which may become an increasingly important part of our business). Existing laws of some countries in which we provide services or products may offer only limited protection of our intellectual property rights. Also, we may be unable to detect the unauthorized use of our intellectual property and take the necessary steps to enforce our rights, which may have a material adverse impact on our business, financial condition or results of operations. We cannot be sure that our services and products, or the products of others that we offer to our clients, do not infringe on the intellectual property rights of third parties, and we may have infringement claims asserted against us or our clients. These claims may harm our reputation, result in financial liability, consume financial resources to pursue or defend, and prevent us from offering some services or products. In addition, these claims, whether with or without merit, could be expensive, take significant time and divert management’s focus and resources from business operations.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Non-Financial/Regulatory and Compliance Risks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receive claims and are party to lawsuits arising from our work, which could materially adversely affect our reputation, business and financial condition.</w:t>
      </w:r>
    </w:p>
    <w:p>
      <w:pPr>
        <w:spacing w:after="0" w:line="10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depend in large part on our relationships with clients and our reputation for high-quality services to secure future engagements. Clients that become dissatisfied with our services may terminate their business relationships with us, and clients and third parties that claim they suffered damages caused by our services may bring lawsuits against us. We are subject to various actual and potential claims, lawsuits, investigations and other proceedings relating principally to alleged errors and omissions in connection with the provision of our services or the placement of insurance and reinsurance in the ordinary course of business. We are also subject to actual and potential claims, lawsuits, investigations and proceedings outside of errors and omissions claims. See Note 15 - Commitments and Contingencies within Item 8 of this Annual Report on Form 10-K for examples of claims to which we are subject.</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often assist our clients with matters involving substantial amounts of money and complex regulatory requirements, including actuarial services, asset management, technology solutions development and implementation and the placement of insurance coverage and the handling of related claims, errors and omissions claims against us may arise that allege our potential liability for all or part of the substantial amounts in question. The nature of our work, particularly our actuarial services, necessarily involves the use of assumptions and the preparation of estimates relating to future and contingent events, the actual outcome of which we cannot know in advance. Our actuarial and brokerage services also rely on substantial amounts of data provided by clients, the accuracy and quality of which we may not be able to ensure. In addition, we could make computational, software programming or data management errors in connection with the services we provide to clients.</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Clients may seek to hold us responsible for alleged errors or omissions relating to any of the brokerage advice and services we provide, including when claims they submit to their insurance carriers are disputed or denied. This risk is likely to be higher in circumstances, such as claims related to COVID-19, where there are significant disputes between clients and insurance carriers over coverage and clients allege claims against us. This risk also may be higher in circumstances where we have significant numbers of departures or new joiners or other disruptions to our business, such as changes in ways of working. Given that many of our clients have very high insurance policy limits to cover their risks, alleged errors and omissions claims against us arising from disputed or denied claims are often significant. Moreover, in certain circumstances, our brokerage, investment and certain other types of business may not limit the maximum liability to which we may be exposed for claims involving alleged errors or omissions; and as such, we do not have limited liability for the work we provide to the associated clients.</w:t>
      </w:r>
    </w:p>
    <w:p>
      <w:pPr>
        <w:spacing w:after="0" w:line="1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Further, given that we frequently work with large pension funds and insurance companies as well as other large clients, relatively small percentage errors or variances can create significant financial variances and result in significant claims for unintended or unfunded liabilities. The risks from such variances or errors could be aggravated in an environment of declining pension fund asset values and insurance company capital levels. In almost all cases, our exposure to liability with respect to a particular engagement is substantially greater than the revenue opportunity that the engagement generates for us.</w:t>
      </w:r>
    </w:p>
    <w:p>
      <w:pPr>
        <w:spacing w:after="0" w:line="12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Clients may seek to hold us responsible for the financial consequences of variances between assumptions and estimates and actual outcomes or for errors. For example, in the case of pension plan actuarial work, a client’s claims might focus on the client’s alleged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30" w:name="page31"/>
    <w:bookmarkEnd w:id="30"/>
    <w:p>
      <w:pPr>
        <w:ind w:right="420"/>
        <w:spacing w:after="0" w:line="281" w:lineRule="auto"/>
        <w:rPr>
          <w:sz w:val="20"/>
          <w:szCs w:val="20"/>
          <w:color w:val="auto"/>
        </w:rPr>
      </w:pPr>
      <w:r>
        <w:rPr>
          <w:rFonts w:ascii="Times New Roman" w:cs="Times New Roman" w:eastAsia="Times New Roman" w:hAnsi="Times New Roman"/>
          <w:sz w:val="18"/>
          <w:szCs w:val="18"/>
          <w:color w:val="auto"/>
        </w:rPr>
        <w:t>reliance on actuarial assumptions that it believes were unreasonable and, based on such reliance, the client made benefit commitments that it may later claim are not affordable or funding decisions that result in plan underfunding if and when actual outcomes vary from actuarial assumptions.</w:t>
      </w:r>
    </w:p>
    <w:p>
      <w:pPr>
        <w:spacing w:after="0" w:line="10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also continue to create new products and services (including increasingly complex technology solutions) and to grow the business of providing products and services to institutional investors, financial services companies and other clients. The risk of claims from these lines of business and related products and services may be greater than from our core products or services, and such claims may be for significant amounts as we take on increasingly complicated projects, including those with complex regulatory requirements.</w:t>
      </w:r>
    </w:p>
    <w:p>
      <w:pPr>
        <w:spacing w:after="0" w:line="12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also provide advice on both asset allocation and selection of investment managers. Increasingly, for many clients, we are responsible for making decisions on both of these matters, or we may serve in a fiduciary capacity, either of which may increase liability exposure. In addition, the Company offers affiliated investment funds, including in the U.S. and Ireland, with plans to launch additional funds over time. Given that our Investments business may recommend affiliated investment funds or affirmatively invest such clients’ assets in such funds under delegated authority, this may increase our liability exposure. We may also be liable for actions of managers or other service providers to the funds. Further, for certain clients, we are responsible for some portions of cash and investment management, including rebalancing of investment portfolios and guidance to third parties on the structure of derivatives and securities transactions. Asset classes may experience poor absolute performance, and investment managers may underperform their benchmarks; in both cases the investment return shortfall can be significant. Clients experiencing this underperformance, including from our affiliated investment funds, may assert claims against us, and such claims may be for significant amounts. In addition, our failure to properly execute our role can cause monetary damage to our clients or such third parties for which we might be found liable, and such claims may be for significant amounts. Our expected expansion of this business geographically and in new offerings will subject us to additional contractual exposures and obligations with investors, asset managers and third-party service providers, as well as increased regulatory exposures. Overall, our ability to contractually limit our potential liability may be limited in certain jurisdictions or markets or in connection with claims involving breaches of fiduciary duties or other alleged errors or omissions.</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ultimate outcome of all of the above matters cannot be ascertained and liabilities in indeterminate amounts may be imposed on us. In addition, our insurance coverage may not be sufficient in type or amount to cover us against such liabilities. It is thus possible that future results of operations or cash flows for any particular quarterly or annual period could be materially adversely affected by an unfavorable resolution of these matters. In addition, these matters continue to divert management and personnel resources away from operating our business. Even if we do not experience significant monetary costs, there may be adverse publicity associated with these matters that could result in reputational harm to the industries we operate in or to us in particular that may adversely affect our business, client or colleague relationships. In addition, defending against these claims can involve potentially significant costs, including legal defense costs.</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highly regulated company, we are subject from time to time to inquiries or investigations by governmental agencies or regulators that could have a material adverse effect on our business or results of operations.</w:t>
      </w:r>
    </w:p>
    <w:p>
      <w:pPr>
        <w:spacing w:after="0" w:line="1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also been and may continue to be subject to inquiries and investigations by federal, state or other governmental agencies regarding aspects of our clients’ businesses or our own businesses, especially regulated businesses such as our insurance broker, BDA, securities broker-dealer and investment advisory services. Such inquiries or investigations may consume significant management time and result in regulatory sanctions, fines or other actions as well as significant legal fees, which could have a material adverse impact on our business, results of operations and liquidity. Also, we may face additional regulatory scrutiny as we expand our businesses geographically and in new products and services that we offer.</w:t>
      </w:r>
    </w:p>
    <w:p>
      <w:pPr>
        <w:spacing w:after="0" w:line="12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All of these items reflect an increased focus by regulators (in the U.K., U.S., and elsewhere) on various aspects of the operations and affairs of our regulated businesses. We are unable to predict the outcome of these inquiries or investigations. Any proposed changes that result from these investigations and inquiries, or any other investigations, inquiries or regulatory developments, or any potential fines or enforcement action, could materially adversely affect our business and our results of operations.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31" w:name="page32"/>
    <w:bookmarkEnd w:id="31"/>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conducting our businesses around the world, we are subject to political, economic, legal, regulatory, cultural, market, operational and other risks that are inherent in operating in many countries.</w:t>
      </w:r>
    </w:p>
    <w:p>
      <w:pPr>
        <w:spacing w:after="0" w:line="10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 conducting our businesses and maintaining and supporting our global operations, we are subject to political, economic, legal, regulatory, market, operational and other risks. Our businesses and operations continue to expand into new regions throughout the world, including emerging markets. The possible effects of political, economic, financial and climate change related disruptions throughout the world could have an adverse impact on our businesses and financial results. These risks include:</w:t>
      </w:r>
    </w:p>
    <w:p>
      <w:pPr>
        <w:spacing w:after="0" w:line="128"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economic and political conditions in the U.S. and foreign countries (including political and social unrest in certain regions);</w:t>
      </w:r>
    </w:p>
    <w:p>
      <w:pPr>
        <w:spacing w:after="0" w:line="170" w:lineRule="exact"/>
        <w:rPr>
          <w:rFonts w:ascii="Times New Roman" w:cs="Times New Roman" w:eastAsia="Times New Roman" w:hAnsi="Times New Roman"/>
          <w:sz w:val="18"/>
          <w:szCs w:val="18"/>
          <w:color w:val="auto"/>
        </w:rPr>
      </w:pPr>
    </w:p>
    <w:p>
      <w:pPr>
        <w:ind w:left="760" w:right="54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controls or limitations on the conversion of foreign currencies or remittance of dividends and other payments by foreign subsidiaries;</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sanctions by both the U.S. and foreign governments;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withholding and other taxes on remittances and other payments from subsidiaries;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or increase of investment and other restrictions by foreign governments;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or our tax rates;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controlling operations and monitoring colleagues in geographically dispersed and culturally diverse locations; and</w:t>
      </w:r>
    </w:p>
    <w:p>
      <w:pPr>
        <w:spacing w:after="0" w:line="170"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practical challenges and costs of complying, or monitoring compliance, with a wide variety of foreign laws (some of which are evolving or are not as well-developed as the laws of the U.S. or U.K. or which may conflict with U.S. or other sources of law), and regulations applicable to insurance brokers and other business operations abroad (in more than 140 countries, including many in emerging markets), including laws, rules and regulations relating to the conduct of business, trade sanction laws administered by the U.S. Office of Foreign Assets Control, the E.U., the U.K. and the United Nations (‘U.N.’), and the requirements of the U.S. Foreign Corrupt Practices Act (‘FCPA’), as well as other anti-bribery and corruption rules and requirements in all of the countries in which we operate.</w:t>
      </w:r>
    </w:p>
    <w:p>
      <w:pPr>
        <w:spacing w:after="0" w:line="12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Sanctions imposed by governments, or changes to such sanction regulations (such as sanctions imposed on Russia), and related counter-sanctions, could have a material adverse impact on our operations or financial results.</w:t>
      </w:r>
    </w:p>
    <w:p>
      <w:pPr>
        <w:spacing w:after="0" w:line="10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described above, our businesses are subject to the risk of sanctions imposed by the U.S., the E.U., the U.K. and other governments. International conflicts and related geopolitical tensions increase the risk of sanctions impacting our business. In February 2022, Russia invaded Ukraine, which led to a series of economic and other sanctions on Russia imposed by the U.S., the E.U., and the U.K. There also continue to be diplomatic and trade tensions between the U.S. and China, which have been exacerbated by Chinese military exercises around Taiwan, and which could lead to an increase in sanctions and the implementation of other trade measures. There has been an increase in U.S. sanctions designations in relation to Russia and China and counter-sanctions from both Russia and China in response to these sanctions.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Touchpoints with sanctioned individuals, entities or locations can be difficult to identify and, given the increased scope and complexity of sanctions and the manual nature of some of our processes, there is an increased risk of non-compliance. A number of volatile geopolitical events are likely to affect the implementation of sanctions such as the escalation of sanctions towards Belarus, Russia's invasion of Ukraine, the Israel-Hamas conflict, negotiations between the E.U., U.S. and Iran over a new nuclear deal as well as continuing tensions between the U.S. and China with their sanctions and subsequent counter-sanctions. Some of these jurisdictions, such as China, may include significant businesses for us. As a result, we cannot predict the impacts of any changes in the U.S., E.U., U.K. or other sanctions, and whether such changes could have a material adverse impact on our operations or financial results.</w:t>
      </w:r>
    </w:p>
    <w:p>
      <w:pPr>
        <w:spacing w:after="0" w:line="12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material portion of our revenue is affected by statutory or regulatory changes. An example of a statutory or regulatory change that could materially impact us is any change to the U.S. Patient Protection and Affordable Care Act (‘PPACA’), and the Healthcare and Education Reconciliation Act of 2010 (‘HCERA’), which we refer to collectively as ‘Healthcare Reform’. While the U.S. Congress has not passed legislation replacing or fundamentally amending Healthcare Reform (other than changes to the individual mandate), such legislation, or another version of Healthcare Reform, could be implemented in the future. In addition, some U.S. political candidates and representatives elected to office have expressed a desire to amend all or a portion of Healthcare Reform or otherwise establish alternatives to employer-sponsored health insurance or replace it with government-sponsored health insurance, often referred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9" w:right="379" w:bottom="1440" w:gutter="0" w:footer="0" w:header="0"/>
        </w:sectPr>
      </w:pPr>
    </w:p>
    <w:bookmarkStart w:id="32" w:name="page33"/>
    <w:bookmarkEnd w:id="32"/>
    <w:p>
      <w:pPr>
        <w:spacing w:after="0" w:line="251" w:lineRule="auto"/>
        <w:rPr>
          <w:sz w:val="20"/>
          <w:szCs w:val="20"/>
          <w:color w:val="auto"/>
        </w:rPr>
      </w:pPr>
      <w:r>
        <w:rPr>
          <w:rFonts w:ascii="Times New Roman" w:cs="Times New Roman" w:eastAsia="Times New Roman" w:hAnsi="Times New Roman"/>
          <w:sz w:val="18"/>
          <w:szCs w:val="18"/>
          <w:color w:val="auto"/>
        </w:rPr>
        <w:t>to as ‘Medicare for All’. If we are unable to adapt our services to potential new laws and regulations, or judicial modifications, with respect to Healthcare Reform or otherwise, our ability to provide effective services in these areas may be substantially impacted. In addition, more restrictive marketing rules or interpretations of the Centers for Medicare and Medicaid Services, or judicial decisions that restrict or otherwise change existing provisions of U.S. healthcare regulation, could have a material adverse impact on our healthcare-related businesses. In addition, as we implement and expand our direct-to-consumer sales and marketing solutions,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 for Medicare Services (‘CMS’) of the U.S. Department of Health and Human Service). Federal and state legislators and/or regulators recently have expressed concerns about existing methods of marketing individual health policies, particularly Medicare Advantage and Medicare Supplement policies, and have held hearings and sought information from us and from competitors. In addition, CMS has recently expanded its regulation and oversight of the marketing of Medicare Advantage policies. Changes to these laws and/or regulations, or increased scrutiny or enforcement by regulators, could negatively affect our ability to market directly to consumers or increase our costs or liabilities. In particular, CMS recently issued a proposed rule for Contract Year 2025 for the Medicare Advantage and Medicare Prescription Drug programs that modifies the agent, broker and other third-party requirements. Among other things, the proposed rule seeks to limit the administrative fees that agents and brokers may receive in relation to the initial enrollment and renewals of Medicare Advantage and Medicare Prescription Drug policies. Substantial uncertainty remains regarding the interpretation and implementation of the proposed rule, but the proposed rule has the potential to materially and negatively affect the amount of revenue that our Medicare insurance business may receive. In addition, the United States Department of Labor (‘DOL’) recently released a proposed rule defining who is an investment advice fiduciary rule (‘Proposed DOL Fiduciary Rule’) under the Employee Retirement Income Security Act (‘ERISA’). Substantial uncertainty exists regarding this proposed rule as well, but the proposed rule may have a material and potentially negative impact on one or more of our businesses. For example, if the current Proposed DOL Fiduciary Rule were implemented without change, our Health Savings Accounts business may need to be restructured before it could continue to receive certain compensation for its services.</w:t>
      </w:r>
    </w:p>
    <w:p>
      <w:pPr>
        <w:spacing w:after="0" w:line="1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Many other areas in which we provide services are the subject of government regulation, which is constantly evolving. For example, our activities in connection with insurance brokerage services are subject to regulation and supervision by national, state or other authorities. Insurance laws in the markets in which we operate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markets in which we currently operate is dependent upon our compliance with the rules and regulations promulgated from time to time by the regulatory authorities in each of these locations.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Changes in government and accounting regulations in the U.S. and the U.K., two of our principal geographic markets, affecting the value, use or delivery of benefits and human capital programs, may materially adversely affect the demand for, or the profitability of, our various services. In addition, we have significant operations throughout the world, which further subject us to applicable laws and regulations of countries outside the U.S. and the U.K. Changes in legislation or regulations and actions by regulators in particular countries, including changes in administration and enforcement policies, could require operational improvements or modifications, which may result in higher costs or hinder our ability to operate our business in those countries.</w:t>
      </w:r>
    </w:p>
    <w:p>
      <w:pPr>
        <w:spacing w:after="0" w:line="12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compliance systems and controls cannot guarantee that we comply with all applicable federal and state or foreign laws and regulations, and actions by regulatory authorities or changes in applicable laws and regulations in the jurisdictions in which we operate could impact our operations or have an adverse effect on our business.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activities are subject to extensive regulation under the laws of the U.S., the U.K., the E.U. and its member states, and the other jurisdictions around the world in which we operate. In addition, we own an interest in a number of associates and companies where we do not exercise management control. Over the last few years, regulators across the world are increasingly seeking to regulate brokers who operate in their jurisdictions. The foreign and U.S. laws and regulations applicable to our operations are complex, continually evolving and may increase the costs of regulatory compliance, limit or restrict the products or services we sell or subject our business to the possibility of regulatory actions or proceedings. These laws and regulations include insurance and financial industry regulations, antitrust and competition laws, economic and trade sanctions laws relating to countries in which certain subsidiaries do business or may do business (‘Sanctioned Jurisdictions’) such as Crimea (and any occupied territories of Ukraine), Cuba, Iran, Russia, Sudan, Syria and Venezuela, anti-corruption laws such as the FCPA, the U.K. Bribery Act 2010, and similar local laws prohibiting corrupt payments to governmental officials and the Foreign Account Tax Compliance provisions of the Hiring Incentives to Restore Employment Act in the U.S., as well as laws and regulations related to data privacy, artificial intelligence, cybersecurity and telemarketing. Because of changes in regulation and company practice, our non-U.S. subsidiaries are providing more services with connections to various countries, including some Sanctioned Jurisdictions, that our U.S. subsidiaries are unable to perform.</w:t>
      </w:r>
    </w:p>
    <w:p>
      <w:pPr>
        <w:spacing w:after="0" w:line="13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 most jurisdictions, governmental and regulatory authorities have the ability to interpret and amend these laws and regulations and impose penalties for non-compliance, including sanctions, civil remedies, monetary fines, injunctions, revocation of licenses or approvals, suspension of individuals, limitations on business activities or redress to clients. While we believe that we have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33" w:name="page34"/>
    <w:bookmarkEnd w:id="33"/>
    <w:p>
      <w:pPr>
        <w:ind w:right="40"/>
        <w:spacing w:after="0" w:line="253" w:lineRule="auto"/>
        <w:rPr>
          <w:sz w:val="20"/>
          <w:szCs w:val="20"/>
          <w:color w:val="auto"/>
        </w:rPr>
      </w:pPr>
      <w:r>
        <w:rPr>
          <w:rFonts w:ascii="Times New Roman" w:cs="Times New Roman" w:eastAsia="Times New Roman" w:hAnsi="Times New Roman"/>
          <w:sz w:val="18"/>
          <w:szCs w:val="18"/>
          <w:color w:val="auto"/>
        </w:rPr>
        <w:t>substantially increased our focus on the geographic breadth of regulations to which we are subject, maintain good relationships with our key regulators and our current systems and controls are adequate, we cannot assure that such systems and controls will prevent any violations of any applicable laws and regulations. While we strive to remain fully compliant with applicable laws and regulations, we cannot guarantee that we will fully comply at all times with all laws and regulations, especially in countries with developing or evolving legal systems or with evolving or extra-territorial regulations. In particular, given the challenges of integrating operations, many of which are decentralized and have manual processes, we cannot assure that business systems and controls, including those of acquired or decentralized entities, have prevented or will prevent any and all violations of applicable laws or regulations. Further, our policies and procedures may not be effective or may not be complied with consistency across the enterprise. In the event that we believe our colleagues or agents may have caused us or any of our subsidiaries to violate applicable sanctions laws or other laws or regulations, we may be required to investigate or have outside counsel investigate the relevant facts and circumstances which could be costly and require significant time and attention from senior management. Non-compliance with these laws can result in criminal or civil penalties, which could disrupt our business and result in a material adverse effect on our financial condition, results of operation, cash flows, and cause significant brand or reputational damage.</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Allegations of conflicts of interest or anti-competitive behavior, including in connection with accepting market derived income (‘MDI’), may have a material adverse effect on our business, financial condition, results of operation or reputation.</w:t>
      </w:r>
    </w:p>
    <w:p>
      <w:pPr>
        <w:spacing w:after="0" w:line="10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ways in which insurance intermediaries are compensated receive scrutiny from regulators in part because of the potential for anti-competitive behavior and conflicts of interest. We could suffer significant financial or reputational harm if we fail to properly identify and manage any such potential conflicts of interest or allegations of anti-competitive behavior. Conflicts of interest exist or could exist any time the Company or any of its colleagues have or may have an interest in a transaction or engagement that is inconsistent with our clients’ interests. This could occur, for example, when the Company is providing services to multiple parties in connection with a transaction. In addition, as we provide more solutions-based services, there is greater potential for conflicts with advisory services. Managing conflicts of interest is an important issue for the Company, but can be a challenge for a large and complex company such as ours. Due to the broad scope of our businesses and our client base, we regularly address potential conflicts of interest, including, without limitation, situations where our services to a particular client or our own investments or other interests conflict, or are perceived to conflict, with the interests of another client. If these are not carefully managed, this could then lead to failure or perceived failure to protect the client’s interests, with attendant regulatory and reputational risks that could materially adversely affect us and our operations. There is no guarantee that all potential conflicts of interest will be identified, and undetected conflicts may result in damage to our professional reputation and result in legal liability which may have a material adverse effect on our business. Identifying conflicts of interest may also prove particularly difficult as we continue to bring systems and information together and integrate newly acquired businesses. In addition, we may not be able to adequately address such conflicts of interest.</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insurance intermediaries have traditionally been remunerated by base commissions paid by insurance carriers in respect of placements we make for clients, or by fees paid by clients. Intermediaries also obtain other revenue from insurance carriers. This revenue, when derived from carriers in their capacity as insurance markets (as opposed to as corporate clients of the intermediaries where they may be purchasing insurance or reinsurance or other non-market-related services), is commonly known as market derived income or ‘MDI’. MDI is another example of an area in which allegations of conflicts of interest may arise. MDI takes a variety of forms, including volume- or profit-based contingent commissions, facilities administration charges, business development agreements, and fees for providing certain data to carriers.</w:t>
      </w:r>
    </w:p>
    <w:p>
      <w:pPr>
        <w:spacing w:after="0" w:line="1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MDI creates various risks. Intermediaries in many markets have a duty to act in the best interests of their clients and payments from carriers can incentivize intermediaries to put carriers’ or their own interests ahead of their clients. Accordingly, MDI may be subject to scrutiny by various regulators under conflict of interest, anti-trust, unfair competition, conduct and anti-bribery laws and regulations. While accepting MDI is a lawful and acceptable business practice, and while we have established systems and controls to manage these risks, we cannot predict whether our position will result in regulatory or other scrutiny and our controls may not be effective.</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Company offers affiliated investment funds, with plans to launch additional funds over time. Given that our Investments business may recommend affiliated investment funds or affirmatively invest such clients’ assets in such funds under delegated authority, there may be a perceived conflict of interest. While the Company has processes, procedures and controls in place intended to mitigate potential conflicts, such perception could cause regulatory inquiries, or could impact client demand and the business’ financial performance, and our controls may not be effective. In addition, underperformance by our affiliated investment funds could lead to lawsuits by clients that were invested in such funds.</w:t>
      </w:r>
    </w:p>
    <w:p>
      <w:pPr>
        <w:spacing w:after="0" w:line="12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failure or perceived failure to adequately address actual or potential conflicts of interest or allegations of anti-competitive behavior could affect the willingness of clients to deal with us or give rise to litigation or enforcement actions. Conflicts of interest or anti-competitive activities may also arise in the future that could cause material harm to us.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and developments in the health insurance system in the United States could harm our business.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2010, the Federal government enacted significant reforms to healthcare legislation through Healthcare Reform. Many of our lines of business depend upon the private sector of the U.S. insurance system, its role in financing health care delivery, and insurance carriers’ use of, and payment of commissions to, agents, brokers and other organizations to market and sell individual and family health insurance plans. Healthcare Reform provisions have changed and will continue to change the industry in which we operate in substantial ways. Any changes to the roles of the private and public sectors in the health insurance system could also substantially change the industry.</w:t>
      </w:r>
    </w:p>
    <w:p>
      <w:pPr>
        <w:spacing w:after="0" w:line="12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Healthcare legislation and changes to government-funded healthcare programs remain a focus in Congress, while various aspects of Healthcare Reform have been challenged in the judicial system with some success. Any partial or complete repeal or amendment, judicial modifications or implementation difficulties, or uncertainty regarding such events, could increase our costs of compliance, prevent or delay future adoption or revisions to our business, and adversely impact our results of operations and financial condition. In addition, other members of Congress and certain state governments have expressed a desire to establish alternatives to employer-sponsored health insurance or replace it with government-sponsored health insurance, often referred to as ‘Medicare for All’. Given the uncertainties relating to the potential repeal and replacement of Healthcare Reform or other alternative proposals related to health insurance plans, the impact is difficult to determine, but it could have material negative effects on us, including:</w:t>
      </w:r>
    </w:p>
    <w:p>
      <w:pPr>
        <w:spacing w:after="0" w:line="133"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competition;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eliminating the need for health insurance agents and brokers or demand for the health insurance that we sell;</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number of types of health insurance plans that we sell, as well as the number of insurance carriers offering such plans;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insurance carriers to change the benefits and/or premiums for the plans they sell;</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insurance carriers to reduce the amount they pay for our services or change our relationship with them in other ways; or</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restricting our call center operations.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of these effects could materially harm our business and results of operations. For example, various aspects of Healthcare Reform could cause insurance carriers to limit the types of health insurance plans we are able to sell and the geographies in which we are able to sell them and to limit the compensation we may receive for our services. In addition, the U.S. Congress may seek to find spending cuts, and such cuts may include Medicare. If cuts are made to Medicare, there may be substantial changes in the types of health insurance plans we are able to sell, especially through our Individual Marketplace business, which focuses on direct-to-consumer Medicare policy sales. Further, changes in customer demand for these Medicare policies, particularly differences in customer persistency and renewals from what we have currently assumed, or changes in regulations could cause us to write down receivable assets we have booked. Changes in the law could also cause insurance carriers to exit the business of selling insurance plans in a particular jurisdiction, to eliminate certain categories of products or to attempt to move members into new plans for which we receive lower commissions, or to limit the services that they receive from us and/or the amount of compensation that they pay to us. If such legal or regulatory changes do occur, or if insurance carriers decide to limit our ability to sell their plans or determine not to sell individual health insurance plans altogether, our business, results of operations and financial condition would be materially harmed.</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increasing, and sometimes conflicting, legal and regulatory requirements in environmental, social and governance (‘ESG’) matters, and violation of these regulations could harm our business.</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Increasing focus on ESG matters has resulted in, and is expected to continue to result in, the adoption of legal and regulatory requirements designed to mitigate, among other things, the effects of climate change on the environment, which require additional disclosure and reporting. As a result of our global operations, the regulatory requirements are also sometimes conflicting. If new laws or regulations are more stringent than current legal or regulatory requirements, or conflict, we may experience increased compliance burdens and costs to meet such obligations. In addition, our selection of voluntary disclosure frameworks and standards, and the interpretation or application of those frameworks and standards, may change from time to time or may not meet the expectations of investors or other stakeholders. Our ability to achieve our ESG commitments is subject to numerous risks, many of which are outside of our control, such as the availability and cost of low- or non-greenhouse gas-intensive energy sources, infrastructure and technologies, evolving regulatory requirements affecting ESG standards or disclosures, and the ESG posture of others in our value chain such as suppliers and other counterparties. We may also face challenges in obtaining sufficient information on such parties when seeking to evaluate how such relationships impact our own position on ESG matters. Furthermore, if we determine it is in the Company’s interest to do so, we may decide that a commitment or goal, or membership or support for certain ESG-related organizations or initiatives, should change or be withdrawn.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5" w:name="page36"/>
    <w:bookmarkEnd w:id="35"/>
    <w:p>
      <w:pPr>
        <w:spacing w:after="0" w:line="253" w:lineRule="auto"/>
        <w:rPr>
          <w:sz w:val="20"/>
          <w:szCs w:val="20"/>
          <w:color w:val="auto"/>
        </w:rPr>
      </w:pPr>
      <w:r>
        <w:rPr>
          <w:rFonts w:ascii="Times New Roman" w:cs="Times New Roman" w:eastAsia="Times New Roman" w:hAnsi="Times New Roman"/>
          <w:sz w:val="18"/>
          <w:szCs w:val="18"/>
          <w:color w:val="auto"/>
        </w:rPr>
        <w:t>Our processes and controls for reporting ESG matters across our operations are evolving along with standards for identifying, measuring and reporting ESG metrics, including ESG-related disclosures that may be required by the SEC, European and other regulators, and such standards may change over time, which could result in significant revisions to our current goals, reported progress in achieving such goals, or ability to achieve such goals in the future. Methodologies for reporting ESG data may be updated and previously-reported ESG data may be adjusted to reflect: improvement in availability or quality of data, changing assumptions, changes in the nature and scope of our operations and other changes in circumstances. As we work to align our reporting with the recommendations of the Financial Stability Board’s Task Force on Climate-related Financial Disclosures, the Sustainability Accounting Standards Board and other reporting frameworks, and comply with the adoption of and changes to applicable legal and regulatory requirements, including reporting obligations pursuant to the Corporate Sustainability Reporting Directive as well as focus on our own ESG assessments and priorities, we may disclose additional metrics against which we may measure ourselves or be measured and tracked by others over time. We cannot predict future legal, regulatory and other developments in these areas, and any changes to the regulatory framework or our disclosure obligations could also negatively impact our business and results.</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investors, clients and our colleagues with respect to our ESG practices can impose additional costs on us or expose us to reputational or other risks.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is increased and sometimes conflicting focus, including from governments, non-governmental organizations, investors, colleagues and clients, on ESG issues such as environmental stewardship, climate change, diversity and inclusion, racial justice and workplace conduct. Negative public perception, adverse publicity or negative comments in social media and other forums could damage our reputation if we do not, or are not perceived to, adequately or appropriately address any one or more of these issues. Any harm to our reputation could impact colleague engagement and retention and the willingness of clients and others to do business with us.</w:t>
      </w:r>
    </w:p>
    <w:p>
      <w:pPr>
        <w:spacing w:after="0" w:line="12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Investors, in particular, have increased their emphasis on the ESG practices of companies across all industries, including with respect to climate and human capital management. Certain investors have developed their own ESG ratings while others use third-party benchmarks or scores to measure a company’s ESG practices and make investment decisions or otherwise engage with the company to influence its practices in these areas. Additionally, our clients may evaluate our ESG practices and/or request that we adopt certain ESG policies in order to work with us. Also, organizations that provide ratings information to certain investors on ESG matters may assign unfavorable ratings to the Company, which may lead to negative investor sentiment and the diversion of investment capital to other companies or industries, which could have a negative impact on the price of our ordinary shares and our costs of capital.</w:t>
      </w:r>
    </w:p>
    <w:p>
      <w:pPr>
        <w:spacing w:after="0" w:line="11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New government regulations could also result in new or more stringent forms of ESG oversight and new mandatory and voluntary reporting, diligence and disclosure. These new laws, rules and regulations of our business could affect our operations or require significant expenditures.</w:t>
      </w:r>
    </w:p>
    <w:p>
      <w:pPr>
        <w:spacing w:after="0" w:line="10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Our failure to meet expectations or metrics, whether expectations or metrics set by us or by investors or other stakeholders, or to any other failure to make progress in this area on a timely basis, or at all, could negatively impact our reputation and our business.</w:t>
      </w:r>
    </w:p>
    <w:p>
      <w:pPr>
        <w:spacing w:after="0" w:line="10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economic, regulatory and political impact of the United Kingdom’s exit from the European Union, which occurred on January 31, 2020, could adversely affect us.</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2023, approximately 18% of our revenue from continuing operations was generated in the U.K., although only about 11% of revenue from continuing operations was denominated in Pounds sterling as much of the insurance business is transacted in U.S. dollars or other currencies. Approximately 17% of our expenses from continuing operations were denominated in Pounds sterling. The impact that Brexit has had and may continue to have on the economy and market conditions in Europe, including in the U.K., or on the Pound sterling, Euro or other European currencies could materially adversely affect us and our operations. Among other things, the ongoing and future effects of Brexit could result in: lower growth in the region due to indecision by businesses holding off on generating new projects or due to adverse market conditions and</w:t>
      </w:r>
      <w:r>
        <w:rPr>
          <w:rFonts w:ascii="Times New Roman" w:cs="Times New Roman" w:eastAsia="Times New Roman" w:hAnsi="Times New Roman"/>
          <w:sz w:val="18"/>
          <w:szCs w:val="18"/>
          <w:color w:val="4472C4"/>
        </w:rPr>
        <w:t>/</w:t>
      </w:r>
      <w:r>
        <w:rPr>
          <w:rFonts w:ascii="Times New Roman" w:cs="Times New Roman" w:eastAsia="Times New Roman" w:hAnsi="Times New Roman"/>
          <w:sz w:val="18"/>
          <w:szCs w:val="18"/>
          <w:color w:val="auto"/>
        </w:rPr>
        <w:t>or reduced reported revenue and earnings because foreign currencies may translate into fewer U.S. dollars due to the fact that we convert revenue denominated in non-U.S. currencies, such as Pounds sterling, into U.S. dollars for our financial statements. In addition, there is a corresponding risk that our current or future hedging strategies may not be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-766445</wp:posOffset>
            </wp:positionV>
            <wp:extent cx="285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24, 2020, the E.U. and the U.K. agreed to the terms of a Trade and Cooperation Agreement (the ‘TCA’) that reflects certain matters agreed upon between the parties in relation to a broad range of separation issues, which provisionally applied as of January 1, 2021, and entered into force on May 1, 2021. While many separation issues have been resolved, some uncertainty remains in relation to the future regulation of financial services, among other matters. The TCA addresses issues related to financial services on a limited basis. The E.U. and the U.K. have separately agreed to a Memorandum of Understanding to establish a framework for future regulatory cooperation. The British government and the E.U. will therefore continue over time to negotiate certain terms of the U.K.’s future relationship with the E.U. that are not addressed in the TCA. The Company is heavily invested in the U.K. through our businesses and activities. If the outcomes of Brexit and the TCA negatively impact the U.K., then it could have a material adverse impact on 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36" w:name="page37"/>
    <w:bookmarkEnd w:id="36"/>
    <w:p>
      <w:pPr>
        <w:ind w:right="160"/>
        <w:spacing w:after="0" w:line="255" w:lineRule="auto"/>
        <w:rPr>
          <w:sz w:val="20"/>
          <w:szCs w:val="20"/>
          <w:color w:val="auto"/>
        </w:rPr>
      </w:pPr>
      <w:r>
        <w:rPr>
          <w:rFonts w:ascii="Times New Roman" w:cs="Times New Roman" w:eastAsia="Times New Roman" w:hAnsi="Times New Roman"/>
          <w:sz w:val="18"/>
          <w:szCs w:val="18"/>
          <w:color w:val="auto"/>
        </w:rPr>
        <w:t>Brexit has resulted in greater restrictions on business conducted between the U.K. and E.U. countries and has increased regulatory complexities. Uncertainty remains as to how changes to the U.K.’s access to the E.U. Single Market and the wider trading, legal, regulatory, tax, social and labor environments, especially in the U.K. and E.U., will be impacted over time, including the resulting impacts on our business and that of our clients. For example, the loss of pre-Brexit passporting rights or regulatory limitations on the ability to conduct business in various E.U. countries by relying on a regulatory permission in the U.K. (or, conversely, doing business in the U.K. by relying on a regulatory permission in an E.U. country) may increase our costs of doing business or our ability to conduct business in impacted jurisdictions. These Brexit-related changes may adversely affect our operations and financial results.</w:t>
      </w:r>
    </w:p>
    <w:p>
      <w:pPr>
        <w:spacing w:after="0" w:line="1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believe we have implemented appropriate arrangements for the continued servicing of client business in the countries most affected. These arrangements include the transaction of certain businesses and/or the movement of certain businesses outside of the U.K. However, various significant risks remain in relation to the effects of the post-Brexit arrangements between the E.U. and U.K. some of which have yet to be agreed upon, including the following, among others:</w:t>
      </w:r>
    </w:p>
    <w:p>
      <w:pPr>
        <w:spacing w:after="0" w:line="128" w:lineRule="exact"/>
        <w:rPr>
          <w:sz w:val="20"/>
          <w:szCs w:val="20"/>
          <w:color w:val="auto"/>
        </w:rPr>
      </w:pPr>
    </w:p>
    <w:p>
      <w:pPr>
        <w:ind w:left="760" w:right="160" w:hanging="378"/>
        <w:spacing w:after="0" w:line="258"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implemented business solutions could cost more than expected, or that regulators in the U.K. or E.U. may issue amended guidance or regulations in relation to those solutions (including any amended E.U. regulatory guidance in connection with the use of third-country branches of E.U.-domiciled insurance intermediary entities, whether following supervisory statements such as that issued by European Insurance and Occupational Pensions Authority (‘EIOPA’) on February 3, 2023 or otherwise) or that we fail to gain regulatory authorizations which could affect our business, operations or strategic plans;</w:t>
      </w:r>
    </w:p>
    <w:p>
      <w:pPr>
        <w:spacing w:after="0" w:line="127" w:lineRule="exact"/>
        <w:rPr>
          <w:rFonts w:ascii="Times New Roman" w:cs="Times New Roman" w:eastAsia="Times New Roman" w:hAnsi="Times New Roman"/>
          <w:sz w:val="18"/>
          <w:szCs w:val="18"/>
          <w:color w:val="auto"/>
        </w:rPr>
      </w:pPr>
    </w:p>
    <w:p>
      <w:pPr>
        <w:ind w:left="760" w:right="46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require further changes to client contract terms and have to address additional regulatory requirements, including with respect to data protection and privacy standards;</w:t>
      </w:r>
    </w:p>
    <w:p>
      <w:pPr>
        <w:spacing w:after="0" w:line="108" w:lineRule="exact"/>
        <w:rPr>
          <w:rFonts w:ascii="Times New Roman" w:cs="Times New Roman" w:eastAsia="Times New Roman" w:hAnsi="Times New Roman"/>
          <w:sz w:val="18"/>
          <w:szCs w:val="18"/>
          <w:color w:val="auto"/>
        </w:rPr>
      </w:pPr>
    </w:p>
    <w:p>
      <w:pPr>
        <w:ind w:left="760" w:right="20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over time of a loss of key talent, or an inability to hire sufficient and qualified talent, or the disruption to client servicing as a result of equivalence not being granted on qualifications or qualification requirements themselves being changed, or a need to relocate talent or roles or both between or within the E.U. and the U.K. as the regulatory and business environment changes following Brexit;</w:t>
      </w:r>
    </w:p>
    <w:p>
      <w:pPr>
        <w:spacing w:after="0" w:line="123"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efforts and resources allocated to the post-Brexit evolution of regulations and laws, and associated changes to our operations, cause disruptions to our existing businesses, whether inside or outside the U.K., or both;</w:t>
      </w:r>
    </w:p>
    <w:p>
      <w:pPr>
        <w:spacing w:after="0" w:line="108" w:lineRule="exact"/>
        <w:rPr>
          <w:rFonts w:ascii="Times New Roman" w:cs="Times New Roman" w:eastAsia="Times New Roman" w:hAnsi="Times New Roman"/>
          <w:sz w:val="18"/>
          <w:szCs w:val="18"/>
          <w:color w:val="auto"/>
        </w:rPr>
      </w:pPr>
    </w:p>
    <w:p>
      <w:pPr>
        <w:ind w:left="760" w:right="10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solutions implemented by our market counterparties change as the U.K.-E.U. regulatory environment evolves in a way that necessitates further alterations to our business models, with the risks described above;</w:t>
      </w:r>
    </w:p>
    <w:p>
      <w:pPr>
        <w:spacing w:after="0" w:line="108"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U.K. will continue to have in place a limited number of trade agreements with the E.U. member states and/or any non-E.U. states leading to potentially adverse trading conditions with other territories; and</w:t>
      </w:r>
    </w:p>
    <w:p>
      <w:pPr>
        <w:spacing w:after="0" w:line="108" w:lineRule="exact"/>
        <w:rPr>
          <w:rFonts w:ascii="Times New Roman" w:cs="Times New Roman" w:eastAsia="Times New Roman" w:hAnsi="Times New Roman"/>
          <w:sz w:val="18"/>
          <w:szCs w:val="18"/>
          <w:color w:val="auto"/>
        </w:rPr>
      </w:pPr>
    </w:p>
    <w:p>
      <w:pPr>
        <w:ind w:left="760" w:right="10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way in which the U.K.-E.U. regulatory and legal environment evolves differs from current expectations, resulting in the need to quickly and materially change our plans, and the risks described above with respect to any associated changes in such plans.</w:t>
      </w:r>
    </w:p>
    <w:p>
      <w:pPr>
        <w:spacing w:after="0" w:line="10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There is also a risk that other countries may decide to leave the E.U. We cannot predict the impact that any additional countries leaving the E.U. will have on us, but any such impacts could materially adversely affect us.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Related Regulatory Risks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material pension liabilities that can fluctuate significantly and adversely affect our financial position or net income or result in other financial impacts.</w:t>
      </w:r>
    </w:p>
    <w:p>
      <w:pPr>
        <w:spacing w:after="0" w:line="10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material pension liabilities, some of which represent unfunded and underfunded pension and postretirement liabilities. Movements in the interest rate environment, investment returns, inflation, changes in other assumptions that are used to estimate our benefit obligations, changes to existing legislation or interpretation thereof, the outcome of current or future litigation, and other factors could have a material effect on the level of liabilities in these pension plans and schemes at any given time. Most pension plans and schemes have minimum funding requirements that may require material amounts of periodic additional funding and accounting requirements that may result in increased pension expense. Depending on the foregoing factors, among others, we could be required to recognize further pension expense in the future. Increased pension expense could adversely affect our earnings or cause earnings volatility. In addition, the need to make additional cash contributions may reduce our financial flexibility and increase liquidity risk by reducing the cash available to meet our other obligations, including the payment obligations under our credit facilities and other long-term debt or other needs of our business.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sectPr>
      </w:pPr>
    </w:p>
    <w:bookmarkStart w:id="37" w:name="page38"/>
    <w:bookmarkEnd w:id="3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debt could adversely affect our cash flows and financial flexibility, and we may not be able to obtain financing on favorable terms or at all.</w:t>
      </w:r>
    </w:p>
    <w:p>
      <w:pPr>
        <w:spacing w:after="0" w:line="10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WTW had total consolidated debt outstanding of approximately $5.2 billion as of December 31, 2023, and our interest expense was $235 million for the year ended December 31, 2023.</w:t>
      </w:r>
    </w:p>
    <w:p>
      <w:pPr>
        <w:spacing w:after="0" w:line="109"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Although management believes that our cash flows will be sufficient to service this debt, there may be circumstances in which required payments of principal and/or interest on this level of indebtedness may:</w:t>
      </w:r>
    </w:p>
    <w:p>
      <w:pPr>
        <w:spacing w:after="0" w:line="109" w:lineRule="exact"/>
        <w:rPr>
          <w:sz w:val="20"/>
          <w:szCs w:val="20"/>
          <w:color w:val="auto"/>
        </w:rPr>
      </w:pPr>
    </w:p>
    <w:p>
      <w:pPr>
        <w:ind w:left="760" w:right="20" w:hanging="378"/>
        <w:spacing w:after="0" w:line="28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to payments on our debt, thereby reducing the availability of cash flow to fund capital expenditures, to pursue other acquisitions or investments, to pay dividends and for general corporate purposes;</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reacting to changes or challenges relating to our business and industry; and</w:t>
      </w:r>
    </w:p>
    <w:p>
      <w:pPr>
        <w:spacing w:after="0" w:line="170" w:lineRule="exact"/>
        <w:rPr>
          <w:rFonts w:ascii="Times New Roman" w:cs="Times New Roman" w:eastAsia="Times New Roman" w:hAnsi="Times New Roman"/>
          <w:sz w:val="18"/>
          <w:szCs w:val="18"/>
          <w:color w:val="auto"/>
        </w:rPr>
      </w:pPr>
    </w:p>
    <w:p>
      <w:pPr>
        <w:ind w:left="760" w:right="420" w:hanging="378"/>
        <w:spacing w:after="0" w:line="28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 us at a competitive disadvantage against competitors who have less indebtedness or are in a more favorable position to access additional capital resources.</w:t>
      </w:r>
    </w:p>
    <w:p>
      <w:pPr>
        <w:spacing w:after="0" w:line="10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terms of our current financings also include certain limitations. For example, the agreements relating to the debt arrangements and credit facility contain numerous operating and financial covenants, including requirements to maintain minimum ratios of consolidated EBITDA to consolidated cash interest expense and maximum levels of consolidated funded indebtedness to consolidated EBITDA, in each case subject to certain adjustments. The operating restrictions and financial covenants in our credit facility do, and any future financing agreements may, limit our ability to finance future operations or capital needs or to engage in other business activities.</w:t>
      </w:r>
    </w:p>
    <w:p>
      <w:pPr>
        <w:spacing w:after="0" w:line="1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 failure to comply with the restrictions under our credit facility and outstanding notes could result in a default or a cross-default under the financing obligations or could require us to obtain waivers from our lenders or noteholders, as applicable, for failure to comply with these restrictions. The occurrence of a default that is not cured, or the inability to secure a necessary consent or waiver, could cause our obligations with respect to our debt to be accelerated and have a material adverse effect on our business, financial condition or results of operations.</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maintenance and growth of our business depends on our access to capital, which will depend in large part on cash flow generated by our business and the availability of equity and debt financing. Also, we could be at risk to rising interest rates in the future to the extent that we borrow at floating rates under our existing borrowing agreements or refinance existing debt at higher rates. There can be no assurance that our operations will generate sufficient positive cash flow to finance all of our capital needs or that we will be able to obtain equity or debt financing on favorable terms or at all, which could have a material adverse effect on us.</w:t>
      </w:r>
    </w:p>
    <w:p>
      <w:pPr>
        <w:spacing w:after="0" w:line="12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to our corporate credit rating, the credit ratings of our outstanding debt or other market speculation may adversely affect our borrowing costs and financial flexibility and, under certain circumstances, may require us to offer to buy back some of our outstanding debt.</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downgrade in our corporate credit rating or the credit ratings of our debt would increase our borrowing costs, including those under our credit facility, and reduce our financial flexibility. Real or anticipated changes in our credit ratings will generally affect any trading market for, or trading value of, our securities. Such changes could result from any number of factors, including the modification by a credit rating agency of the criteria or methodology it applies to particular issuers, a change in the agency’s view of us or our industry, or as a consequence of actions we take to implement our corporate strategies. If we need to raise capital in the future, any credit rating downgrade could negatively affect our financing costs or access to financing sources. A change in our credit rating could also adversely impact our competitive position.</w:t>
      </w:r>
    </w:p>
    <w:p>
      <w:pPr>
        <w:spacing w:after="0" w:line="13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under the indentures for our 3.600% senior notes due 2024, our 4.400% senior notes due 2026, our 4.650% senior notes due 2027, our 4.500% senior notes due 2028, our 2.950% senior notes due 2029, our 5.350% senior notes due 2033, our 6.125% senior notes due 2043, our 5.050% senior notes due 2048, and our 3.875% senior notes due 2049, if we experience a ratings decline together with a change of control event, we would be required to offer to purchase these notes from holders unless we had previously redeemed those notes. We may not have sufficient funds available or access to funding to repurchase tendered notes in that event, which could result in a default under the notes. Any future debt that we incur may contain covenants regarding repurchases in the event of a change of control triggering event.</w:t>
      </w:r>
    </w:p>
    <w:p>
      <w:pPr>
        <w:spacing w:after="0" w:line="12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significant non-U.S. operations, particularly our London market operations, expose us to exchange rate fluctuations and various other risks that could impact our business.</w:t>
      </w:r>
    </w:p>
    <w:p>
      <w:pPr>
        <w:spacing w:after="0" w:line="104"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A significant portion of our operations is conducted outside of the U.S. Accordingly, we are subject to legal, economic and market risks associated with operating in foreign countries, including devaluations and fluctuations in currency exchange rates; imposition of limitations on conversion of foreign currencies into Pounds sterling or U.S. dollars or remittance of dividends and other payments by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8" w:name="page39"/>
    <w:bookmarkEnd w:id="38"/>
    <w:p>
      <w:pPr>
        <w:ind w:right="120"/>
        <w:spacing w:after="0" w:line="312" w:lineRule="auto"/>
        <w:rPr>
          <w:sz w:val="20"/>
          <w:szCs w:val="20"/>
          <w:color w:val="auto"/>
        </w:rPr>
      </w:pPr>
      <w:r>
        <w:rPr>
          <w:rFonts w:ascii="Times New Roman" w:cs="Times New Roman" w:eastAsia="Times New Roman" w:hAnsi="Times New Roman"/>
          <w:sz w:val="17"/>
          <w:szCs w:val="17"/>
          <w:color w:val="auto"/>
        </w:rPr>
        <w:t>foreign subsidiaries; hyperinflation in certain foreign countries; adverse or unexpected impacts of fiscal and monetary policies of foreign countries; imposition or increase of investment and other restrictions by foreign governments; and the requirement of complying with a wide variety of foreign laws.</w:t>
      </w:r>
    </w:p>
    <w:p>
      <w:pPr>
        <w:spacing w:after="0" w:line="8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report our operating results and financial condition in U.S. dollars. Our U.S. operations earn revenue and incur expenses primarily in U.S. dollars. In our London market operations however, we earn revenue in a number of different currencies, but expenses are almost entirely incurred in Pounds sterling. Outside of the U.S. and our London market operations, we predominantly generate revenue and expenses in local currencies.</w:t>
      </w:r>
    </w:p>
    <w:p>
      <w:pPr>
        <w:spacing w:after="0" w:line="1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devaluations and fluctuations in currency exchange rates or the imposition of limitations on conversion of foreign currencies into U.S. dollars, we are subject to currency translation exposure on the profits of our operations, in addition to economic exposure. Furthermore, the mismatch between Pounds sterling revenue and expenses, together with any net Pounds sterling balance sheet position we hold in our U.S. dollar-denominated London market operations, creates an exchange exposure. While we do utilize hedging strategies to attempt to reduce the impact of foreign currency fluctuations, there can be no assurance that our hedging strategies will be effective.</w:t>
      </w:r>
    </w:p>
    <w:p>
      <w:pPr>
        <w:spacing w:after="0" w:line="12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in our accounting estimates and assumptions could negatively affect our financial position and results of operations.</w:t>
      </w:r>
    </w:p>
    <w:p>
      <w:pPr>
        <w:spacing w:after="0" w:line="10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Any change to accounting principles, particularly to U.S. GAAP, could have a material adverse effect on us or our results of operations.</w:t>
      </w:r>
    </w:p>
    <w:p>
      <w:pPr>
        <w:spacing w:after="0" w:line="1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 GAAP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 and expenses during each reporting period. We periodically evaluate our estimates and assumptions, including those relating to revenue recognition, valuation of billed and unbilled receivables from clients, discretionary compensation, incurred-but-not-reported liabilities, restructuring, pensions, goodwill and other intangible assets, contingencies, share-based payments and income taxes. We base our estimates on historical experience and various assumptions that we believe to be reasonable based on specific circumstances. Actual results could differ from these estimates, and changes in accounting standards could have an adverse impact on our future financial position and results of operations.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we have a substantial amount of goodwill on our consolidated balance sheet as a result of acquisitions we have completed. We review goodwill for impairment annually or whenever events or circumstances indicate impairment may have occurred. Application of the impairment test requires judgment, including the identification of reporting units, assignment of assets, liabilities and goodwill to reporting units and the determination of the fair value of each reporting unit. A significant deterioration in a key estimate or assumption or a less significant deterioration to a combination of assumptions, or the sale of a part of a reporting unit, could result in an impairment charge in the future, which could have a significant adverse impact on our reported earnings.</w:t>
      </w:r>
    </w:p>
    <w:p>
      <w:pPr>
        <w:spacing w:after="0" w:line="12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 and cash flow could fluctuate, including as a result of factors outside of our control, while our expenses may remain relatively fixed or be higher than expected.</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Quarterly variations in our revenue, cash flow and results of operations have occurred in the past and could occur as a result of a number of factors, such as: the significance of client engagements commenced and completed during a quarter; seasonality of certain types of services; the number of business days in a quarter; colleague hiring and utilization rates; our clients’ ability to terminate engagements without penalty; the size and scope of assignments; our ability to enhance our billing, collection and working capital management efforts; differences in timing of renewals; non-recurring revenue from disposals and book-of-business sales; and general economic conditions.</w:t>
      </w:r>
    </w:p>
    <w:p>
      <w:pPr>
        <w:spacing w:after="0" w:line="12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derive significant revenue from commissions for brokerage services, but do not determine the insurance premiums on which our commissions are generally based. Commission levels generally follow the same trend as premium levels, as they are a percentage of the premiums paid by the insureds. Fluctuations in the premiums charged by the insurance carriers can therefore have a direct and potentially material impact on our results of operations. Due to the cyclical nature of the insurance market and the impact of other market conditions on insurance premiums, commission levels may vary widely between accounting periods. A period of low or declining premium rates, generally known as a ‘soft’ or ‘softening’ market, generally leads to downward pressure on commission revenue and can have a material adverse impact on our commission revenue and operating margin. We could be negatively impacted by soft market conditions across certain sectors and geographic regions. In addition, insurance carriers may seek to reduce their expenses by reducing the commission rates payable to insurance agents or brokers such as us. The reduction of these commission rates, along with general volatility and/or declines in premiums, may significantly undermine our profitability. Because we do not determine the timing or extent of premium pricing changes, it is difficult to accurately forecast our commission revenue, including whether they will significantly decline. As a result, we may have to adjust our plans for future acquisitions, capital expenditures,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39" w:name="page40"/>
    <w:bookmarkEnd w:id="39"/>
    <w:p>
      <w:pPr>
        <w:ind w:right="580"/>
        <w:spacing w:after="0" w:line="281" w:lineRule="auto"/>
        <w:rPr>
          <w:sz w:val="20"/>
          <w:szCs w:val="20"/>
          <w:color w:val="auto"/>
        </w:rPr>
      </w:pPr>
      <w:r>
        <w:rPr>
          <w:rFonts w:ascii="Times New Roman" w:cs="Times New Roman" w:eastAsia="Times New Roman" w:hAnsi="Times New Roman"/>
          <w:sz w:val="18"/>
          <w:szCs w:val="18"/>
          <w:color w:val="auto"/>
        </w:rPr>
        <w:t>dividend payments, loan repayments and other expenditures to account for unexpected changes in revenue, and any decreases in premium rates may adversely affect the results of our operations.</w:t>
      </w:r>
    </w:p>
    <w:p>
      <w:pPr>
        <w:spacing w:after="0" w:line="1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movements in premium rates, our ability to generate premium-based commission revenue may be challenged by disintermediation and the growing availability of alternative methods for clients to meet their risk-protection needs. This trend includes a greater willingness on the part of corporations to self-insure, the use of captive insurers, and the presence of capital markets-based solutions for traditional insurance and reinsurance needs. Further, the profitability of our risk and broking businesses depends in part on our ability to be compensated for the analytical services and other advice that we provide, including the consulting and analytics services that we provide to insurers. If we are unable to achieve and maintain adequate billing rates for all of our services, our margins and profitability could decline.</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sizeable portion of our total operating expenses is relatively fixed or may even be higher than expected, encompassing the majority of administrative, occupancy, communications and other expenses, depreciation and amortization, and salaries and employee benefits excluding fiscal year-end incentive bonuses. Therefore, a variation in the number of client assignments and collection of accounts receivable, or in the timing of the initiation or the completion of client assignments, or our inability to forecast demand, can cause significant variations in quarterly operating results and could result in losses and volatility in the price of our ordinary shares.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therefore, may not be able to receive dividends or other distributions in needed amounts from our subsidiaries.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organized as a holding company, a legal entity separate and distinct from our operating subsidiaries. As a holding company without significant operations of our own, we are dependent upon dividends and other payments from our operating subsidiaries to meet our obligations for paying principal and interest on outstanding debt obligations, for paying dividends to shareholders, for repurchasing our ordinary shares and for corporate expenses. Legal and regulatory restrictions, foreign exchange controls, as well as operating requirements of our subsidiaries, may limit our ability to obtain cash from these subsidiaries. For example, Willis Limited, our U.K. brokerage subsidiary regulated by the FCA, is currently required to maintain $105 million in unencumbered and available financial resources, of which at least $66 million must be in cash, for regulatory purposes. In the event our operating subsidiaries are unable to pay dividends and other payments to the Company, we may not be able to service debt, pay obligations or pay dividends on, or repurchase, our ordinary shares. In the event we are unable to generate cash from our operating subsidiaries for any of the reasons discussed above, our overall liquidity could deteriorate.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U.S. person is treated as owning at least 10% of our shares, such a holder may be subject to adverse U.S. federal income tax consequences.</w:t>
      </w:r>
    </w:p>
    <w:p>
      <w:pPr>
        <w:spacing w:after="0" w:line="17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Under current U.S. federal tax law, many of our non-U.S. subsidiaries are now classified as ‘controlled foreign corporations’ (‘CFCs’) for U.S. federal income tax purposes due to the expanded application of certain ownership attribution rules within a multinational corporate group. If a U.S. person is treated as owning (directly, indirectly or constructively) at least 10% of the value or voting power of our shares, such a person may be treated as a U.S. shareholder with respect to one or more of our CFC subsidiaries. In addition, if our shares are treated as owned more than 50% by U.S. shareholders, we would be treated as a CFC. A U.S. shareholder of a CFC may be required to annually report and include in its U.S. taxable income, as ordinary income, its pro-rata share of Subpart F income, global intangible low-taxed income, and investments in U.S. property by CFCs, whether or not we make any distributions to such U.S. shareholder. An individual U.S. shareholder generally would not be allowed certain tax deductions or foreign tax credits that would be allowed to a corporate U.S. shareholder with respect to a CFC.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CFCs or whether any investor is a U.S. shareholder with respect to any such CFCs. We also cannot guarantee that we will furnish to U.S. shareholders any or all of the information that may be necessary for them to comply with the aforementioned obligations. U.S. investors should consult their own advisors regarding the potential application of these rules to their investments in us.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40" w:name="page41"/>
    <w:bookmarkEnd w:id="40"/>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action or developments in case law in the U.S. or elsewhere could have a material adverse impact on our worldwide effective corporate tax rate.</w:t>
      </w:r>
    </w:p>
    <w:p>
      <w:pPr>
        <w:spacing w:after="0" w:line="10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cannot give any assurance as to what our effective tax rate will be in the future, because of, among other things, uncertainty regarding the tax laws and policies of the jurisdictions where we operate. Our actual effective tax rate may vary from expectations, and that variance may be material.</w:t>
      </w:r>
    </w:p>
    <w:p>
      <w:pPr>
        <w:spacing w:after="0" w:line="10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tax laws of Ireland and other jurisdictions could change in the future. There may be an enactment of additional, or the revision of existing, state, federal and/or non-U.S. regulatory and tax laws, and/or a development of case law, regulations and policy changes in the jurisdictions in which we operate. Any such changes could cause a material change in our effective tax rate.</w:t>
      </w:r>
    </w:p>
    <w:p>
      <w:pPr>
        <w:spacing w:after="0" w:line="12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Further, it is possible that taxing authorities may propose significant changes, which, if executed, could limit the availability of tax benefits or deductions that we currently claim, override tax treaties upon which we rely, or otherwise affect the taxes that Ireland, the U.S. or other territories impose on our worldwide operations.</w:t>
      </w:r>
    </w:p>
    <w:p>
      <w:pPr>
        <w:spacing w:after="0" w:line="1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Such new legislation (or changes to existing legislation or interpretation thereof) could materially adversely affect our effective tax rate and/or require us to take further action, at potentially significant additional expense, to seek to preserve our effective tax rate. Relatedly, if proposals were enacted that have the effect of limiting our ability as an Irish company to take advantage of tax treaties with the U.S. or other territories, we could incur additional tax expense and/or otherwise experience business detriment.</w:t>
      </w:r>
    </w:p>
    <w:p>
      <w:pPr>
        <w:spacing w:after="0" w:line="12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For example, in August 2022, the U.S. enacted the Inflation Reduction Act of 2022 (‘IRA’), which, among other effects, creates a new corporate alternative minimum tax of at least 15% on adjusted financial statement income for certain corporations with average book income of more than $1 billion. The book minimum tax applies to us in 2023 and did not have a material impact on our effective tax rate.</w:t>
      </w:r>
    </w:p>
    <w:p>
      <w:pPr>
        <w:spacing w:after="0" w:line="12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U.S. Congress, the Organization for Economic Co-operation and Development (‘OECD’), the World Trade Organization and other government agencies in non-U.S. jurisdictions where we and our affiliates do business have had an extended focus on issues related to the taxation of multinational corporations. One example is around base erosion and profit shifting, where payments are made between affiliates from a jurisdiction with high tax rates to a jurisdiction with lower tax rates. Several jurisdictions have enacted legislation that is aligned with, and in some cases exceeds the scope of, the recommendations in the OECD’s 2015 reports addressing 15 specific actions as part of a comprehensive plan to create an agreed set of international rules for fighting base erosion and profit shifting.</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Finally, on October 8, 2021, the OECD announced an international agreement with more than 140 countries to implement a two-pillar solution to address tax challenges arising from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 Anti-Base Erosion (‘GloBE’) rules (the ‘OECD Model Rules’) under Pillar Two. On December 12, 2022, E.U. member states reached an agreement to implement Pillar Two and this requires E.U. member states to enact domestic legislation to put Pillar Two into effect. In 2023, many E.U. countries enacted the necessary legislation (based on the OECD Model Rules) to implement Pillar Two in 2024. Ireland, in particular, enacted Pillar Two by signing Finance (No. 2) Bill 2023 into law in December 2023. Other countries and territories have indicated they will introduce Pillar Two beginning in 2025.</w:t>
      </w:r>
    </w:p>
    <w:p>
      <w:pPr>
        <w:spacing w:after="0" w:line="13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These changes, when enacted and implemented by various countries in which we do business, could increase uncertainty and may adversely affect our tax rate and cash flow in future years.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Being an Irish-Incorporated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laws of Ireland differ from the laws in effect in the United States and may afford less protection to holders of our securities.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32" w:lineRule="exact"/>
        <w:rPr>
          <w:sz w:val="20"/>
          <w:szCs w:val="20"/>
          <w:color w:val="auto"/>
        </w:rPr>
      </w:pPr>
    </w:p>
    <w:p>
      <w:pPr>
        <w:ind w:right="640"/>
        <w:spacing w:after="0" w:line="265"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1" w:name="page42"/>
    <w:bookmarkEnd w:id="41"/>
    <w:p>
      <w:pPr>
        <w:ind w:right="420"/>
        <w:spacing w:after="0" w:line="265" w:lineRule="auto"/>
        <w:rPr>
          <w:sz w:val="20"/>
          <w:szCs w:val="20"/>
          <w:color w:val="auto"/>
        </w:rPr>
      </w:pPr>
      <w:r>
        <w:rPr>
          <w:rFonts w:ascii="Times New Roman" w:cs="Times New Roman" w:eastAsia="Times New Roman" w:hAnsi="Times New Roman"/>
          <w:sz w:val="18"/>
          <w:szCs w:val="18"/>
          <w:color w:val="auto"/>
        </w:rPr>
        <w:t>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1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Irish public limited company, certain decisions related to our capital structure will require the approval of shareholders, which may limit our flexibility to manage our capital structure.</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Irish law generally provides that a board of directors may allot and issue shares (or rights to subscribe for or convert into shares) if authorized to do so by a company’s constitution or by an ordinary resolution of shareholders. Such authorization may be granted in respect of up to the entirety of a company’s authorized but unissued share capital and for a maximum period of five years, at which point it must be renewed by another ordinary resolution. The Company’s constitution authorizes our directors to allot shares up to the maximum of the Company’s authorized but unissued share capital for a period of five years. This authorization will need to be renewed by ordinary resolution upon its expiration and at periodic intervals thereafter. Under Irish law, an allotment authority may be given for up to five years at each renewal, but governance considerations may result in renewals for shorter periods or in respect of less than the maximum permitted number of shares being sought or approved.</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under Irish law, we may only pay dividends and, generally, make share repurchases and redemptions from distributable profits. Distributable profits may be created through the earnings of the Company or other methods (including certain intragroup reorganizations involving the capitalization of the Company’s undistributable profits and their subsequent reduction). While it is our intention to maintain a sufficient level of distributable profits in order to pay dividends on our ordinary shares and make share repurchases, there is no assurance that the Company will maintain the necessary level of distributable profits to do so.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5" w:lineRule="exact"/>
        <w:rPr>
          <w:sz w:val="20"/>
          <w:szCs w:val="20"/>
          <w:color w:val="auto"/>
        </w:rPr>
      </w:pPr>
    </w:p>
    <w:p>
      <w:pPr>
        <w:ind w:right="940"/>
        <w:spacing w:after="0" w:line="281" w:lineRule="auto"/>
        <w:rPr>
          <w:sz w:val="20"/>
          <w:szCs w:val="20"/>
          <w:color w:val="auto"/>
        </w:rPr>
      </w:pPr>
      <w:r>
        <w:rPr>
          <w:rFonts w:ascii="Times New Roman" w:cs="Times New Roman" w:eastAsia="Times New Roman" w:hAnsi="Times New Roman"/>
          <w:sz w:val="18"/>
          <w:szCs w:val="18"/>
          <w:color w:val="auto"/>
        </w:rPr>
        <w:t>WTW’s management is responsible for the day-to-day management of risks, and the board, including through its committees, is responsible for understanding and overseeing the various risks facing WTW.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Increased global cybersecurity vulnerabilities, threats and more sophisticated and targeted cyber-related attacks pose an ongoing risk to the security of our information systems and networks. WTW seeks to manage cybersecurity risks consistent with its general approach to enterprise risk management (‘ERM’). Technology and cyber risks that meet certain thresholds are escalated and tracked by the ERM team within the Risk function.</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WTW engages third parties to conduct assessments to help it identify, categorize and manage cyber risks including SOC 2 - Type 2, ISO 27001 and a National Institute of Standards and Technology (‘NIST’) cybersecurity maturity assessment. Additionally, management and third parties from time to time conduct penetration testing and vulnerability scanning to help WTW identify and reduce the threat of known and emerging cybersecurity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 and Governance</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WTW’s board of directors has delegated the oversight of risks to the Audit and Risk Committee through its charter. The Audit and Risk Committee assists the board of directors in its oversight of the ERM framework, policies and practices used by WTW to identify, assess and manage key risks facing WTW, including financial and strategic risks as well as risks relating to matters of compliance and internal control, tax and pension, among other matters. The Operational Transformation Committee (the ‘OT Committee’) oversees risks arising out of WTW’s operations related to cybersecurity and other risks. WTW’s Chief Information Security Officer (‘CISO’) and Chief Information Officer (‘CIO’) report to the OT Committee on cybersecurity matters, including key risks. The OT Committee reports to the board of directors at each formal board meeting and the board of directors discusses those reports.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Oversight and Governance</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Management plays an important role in assessing and managing WTW’s material risks from cybersecurity threats. The CISO is responsible for designing and implementing a security program and strategy. WTW's CISO has served in various roles in information technology and information security for over 32 years, including serving as CISO of several public companies. The CISO holds undergraduate and graduate degrees in mathematics and strategic information systems and has attained the professional certification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42" w:name="page43"/>
    <w:bookmarkEnd w:id="42"/>
    <w:p>
      <w:pPr>
        <w:ind w:right="180"/>
        <w:spacing w:after="0" w:line="281" w:lineRule="auto"/>
        <w:rPr>
          <w:sz w:val="20"/>
          <w:szCs w:val="20"/>
          <w:color w:val="auto"/>
        </w:rPr>
      </w:pPr>
      <w:r>
        <w:rPr>
          <w:rFonts w:ascii="Times New Roman" w:cs="Times New Roman" w:eastAsia="Times New Roman" w:hAnsi="Times New Roman"/>
          <w:sz w:val="18"/>
          <w:szCs w:val="18"/>
          <w:color w:val="auto"/>
        </w:rPr>
        <w:t>Certified Information Systems Security Professional. The CISO reports to the CIO. WTW's CIO has served in various roles in information technology for over 36 years.</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part of the WTW cybersecurity program, cross-functional teams throughout WTW address cybersecurity threats and respond to cybersecurity incidents. Through ongoing communications with these teams, the CISO and senior management are informed about and monitor the prevention, detection, mitigation and remediation of cybersecurity threats and incidents and escalate such threats and incidents as appropriate through the processes described in more detail below.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cybersecurity risk management strategy and processes focus on several key areas, including:</w:t>
      </w:r>
    </w:p>
    <w:p>
      <w:pPr>
        <w:spacing w:after="0" w:line="167" w:lineRule="exact"/>
        <w:rPr>
          <w:sz w:val="20"/>
          <w:szCs w:val="20"/>
          <w:color w:val="auto"/>
        </w:rPr>
      </w:pPr>
    </w:p>
    <w:p>
      <w:pPr>
        <w:ind w:left="760" w:right="80" w:hanging="378"/>
        <w:spacing w:after="0" w:line="26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Incident Response Planning</w:t>
      </w:r>
      <w:r>
        <w:rPr>
          <w:rFonts w:ascii="Times New Roman" w:cs="Times New Roman" w:eastAsia="Times New Roman" w:hAnsi="Times New Roman"/>
          <w:sz w:val="18"/>
          <w:szCs w:val="18"/>
          <w:color w:val="auto"/>
        </w:rPr>
        <w:t>: WTW has a global Information and Cyber Security Incident Response Plan (‘ICSIRP’ or ‘Plan’) for identifying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managing cyber and data security threats. The ICSIRP defines the roles and responsibilities of WTW stakeholders involved in responding to cyber and data security events, severity levels and incident categories, and it outlines a process for incident management, including escalation and communication procedures.</w:t>
      </w:r>
    </w:p>
    <w:p>
      <w:pPr>
        <w:spacing w:after="0" w:line="120" w:lineRule="exact"/>
        <w:rPr>
          <w:rFonts w:ascii="Times New Roman" w:cs="Times New Roman" w:eastAsia="Times New Roman" w:hAnsi="Times New Roman"/>
          <w:sz w:val="18"/>
          <w:szCs w:val="18"/>
          <w:color w:val="auto"/>
        </w:rPr>
      </w:pPr>
    </w:p>
    <w:p>
      <w:pPr>
        <w:ind w:left="760" w:right="80" w:hanging="378"/>
        <w:spacing w:after="0" w:line="25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Technical Safeguards</w:t>
      </w:r>
      <w:r>
        <w:rPr>
          <w:rFonts w:ascii="Times New Roman" w:cs="Times New Roman" w:eastAsia="Times New Roman" w:hAnsi="Times New Roman"/>
          <w:sz w:val="18"/>
          <w:szCs w:val="18"/>
          <w:color w:val="auto"/>
        </w:rPr>
        <w:t>: WTW seeks to continuously improve implemented technical safeguards that are designed to protect WTW’s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Standards include controls for access management, cyber threat and incident management, data security, encryption, human resource security, network and device security, secure asset management, secure system development, security operations and third-party security. While WTW seeks to maintain adequate controls, they may not always be effective. See Part I, Item 1A Risk Factors under the heading ‘</w:t>
      </w:r>
      <w:r>
        <w:rPr>
          <w:rFonts w:ascii="Times New Roman" w:cs="Times New Roman" w:eastAsia="Times New Roman" w:hAnsi="Times New Roman"/>
          <w:sz w:val="18"/>
          <w:szCs w:val="18"/>
          <w:i w:val="1"/>
          <w:iCs w:val="1"/>
          <w:color w:val="auto"/>
        </w:rPr>
        <w:t>Data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cybersecurity breaches or improper disclosure of confidential company or personal data could result in material financial loss, regulatory actions, reputational harm, and/or legal liability’ </w:t>
      </w:r>
      <w:r>
        <w:rPr>
          <w:rFonts w:ascii="Times New Roman" w:cs="Times New Roman" w:eastAsia="Times New Roman" w:hAnsi="Times New Roman"/>
          <w:sz w:val="18"/>
          <w:szCs w:val="18"/>
          <w:color w:val="auto"/>
        </w:rPr>
        <w:t>for more information about WTW’s technical controls, management, mitigation, and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practices as well as the risks related thereto.</w:t>
      </w:r>
    </w:p>
    <w:p>
      <w:pPr>
        <w:spacing w:after="0" w:line="126" w:lineRule="exact"/>
        <w:rPr>
          <w:rFonts w:ascii="Times New Roman" w:cs="Times New Roman" w:eastAsia="Times New Roman" w:hAnsi="Times New Roman"/>
          <w:sz w:val="18"/>
          <w:szCs w:val="18"/>
          <w:color w:val="auto"/>
        </w:rPr>
      </w:pPr>
    </w:p>
    <w:p>
      <w:pPr>
        <w:ind w:left="760" w:right="520" w:hanging="378"/>
        <w:spacing w:after="0" w:line="28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Education and Awareness</w:t>
      </w:r>
      <w:r>
        <w:rPr>
          <w:rFonts w:ascii="Times New Roman" w:cs="Times New Roman" w:eastAsia="Times New Roman" w:hAnsi="Times New Roman"/>
          <w:sz w:val="18"/>
          <w:szCs w:val="18"/>
          <w:color w:val="auto"/>
        </w:rPr>
        <w:t>: WTW’s policy is that all WTW colleagues are required to receive annual, mandatory privacy and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training.</w:t>
      </w:r>
    </w:p>
    <w:p>
      <w:pPr>
        <w:spacing w:after="0" w:line="99" w:lineRule="exact"/>
        <w:rPr>
          <w:rFonts w:ascii="Times New Roman" w:cs="Times New Roman" w:eastAsia="Times New Roman" w:hAnsi="Times New Roman"/>
          <w:sz w:val="18"/>
          <w:szCs w:val="18"/>
          <w:color w:val="auto"/>
        </w:rPr>
      </w:pPr>
    </w:p>
    <w:p>
      <w:pPr>
        <w:ind w:left="760" w:right="560" w:hanging="378"/>
        <w:spacing w:after="0" w:line="28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Third-Party Risk Management</w:t>
      </w:r>
      <w:r>
        <w:rPr>
          <w:rFonts w:ascii="Times New Roman" w:cs="Times New Roman" w:eastAsia="Times New Roman" w:hAnsi="Times New Roman"/>
          <w:sz w:val="18"/>
          <w:szCs w:val="18"/>
          <w:color w:val="auto"/>
        </w:rPr>
        <w:t>: WTW’s risk management strategy includes a third-party risk management process that is intended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aligned to the technology security key controls across the organization.</w:t>
      </w:r>
    </w:p>
    <w:p>
      <w:pPr>
        <w:spacing w:after="0" w:line="9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Threat Intelligence</w:t>
      </w:r>
      <w:r>
        <w:rPr>
          <w:rFonts w:ascii="Times New Roman" w:cs="Times New Roman" w:eastAsia="Times New Roman" w:hAnsi="Times New Roman"/>
          <w:sz w:val="18"/>
          <w:szCs w:val="18"/>
          <w:color w:val="auto"/>
        </w:rPr>
        <w:t>: WTW seeks to obtain threat intelligence on cyber threats to WTW at the strategic, operational and tactical levels.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Effects of Cybersecurity Incidents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do not believe that risks from cybersecurity threats, including as a result of any previous cybersecurity incidents, have materially affected our business strategy, results of operations, or financial condition. However, there is no guarantee that a future cyber incident would not materially affect our business strategy, results of operations or financial condition. To learn more about risks from cybersecurity threats, review the risk factors included in Part I, Item 1A Risk Factors in this Annual Report on Form 10-K, as updated by WTW’s subsequent SEC filings. The risks described in such filings are not the only risks facing WTW. Additional risks and uncertainties not currently known or that may currently be deemed to be immaterial also may materially adversely affect WTW’s business, financial condition or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operate offices in many countries throughout the world and believe that our properties are generally suitable and adequate for the purposes for which they are used. The principal properties are located in the United States and the United Kingdom. In addition, we have other offices in various locations, including among others, Europe, Asia, Australia and Latin America. Operations of each of our segments are carried out in owned or leased offices under operating leases that typically do not exceed 10 years in length, except for certain properties in key locations. We do not anticipate difficulty in meeting our space needs at lease expiration.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 xml:space="preserve">From time to time, we are party to various lawsuits, arbitrations or mediations that arise in the ordinary course of business. The disclosure called for by Item 3 regarding our legal proceedings is incorporated by reference herein from </w:t>
      </w:r>
      <w:r>
        <w:rPr>
          <w:rFonts w:ascii="Times New Roman" w:cs="Times New Roman" w:eastAsia="Times New Roman" w:hAnsi="Times New Roman"/>
          <w:sz w:val="18"/>
          <w:szCs w:val="18"/>
          <w:u w:val="single" w:color="auto"/>
          <w:color w:val="0563C1"/>
        </w:rPr>
        <w:t>Note 15 — Commitments and Contingencies, within Item 8 in this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563C1"/>
        </w:rPr>
        <w:t>Report on Form 10-K</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-174625</wp:posOffset>
            </wp:positionV>
            <wp:extent cx="34328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328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991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Data</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Our ordinary shares trade on the NASDAQ Global Select Market under the symbol ‘WTW’ as of January 10, 2022. As of February 16, 2024, there were 1,020 shareholders of record of our ordinary shares, not including those ordinary shares held in street or nominee name.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We normally pay dividends on a quarterly basis to shareholders of record on March 31, June 30, September 30 and December 31. In February 2024, the board of directors is expected to approve a quarterly cash dividend to shareholders of record as of March 31, 2024.</w:t>
      </w:r>
    </w:p>
    <w:p>
      <w:pPr>
        <w:spacing w:after="0" w:line="10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There are no governmental laws, decrees or regulations in Ireland that restrict the remittance of dividends or other payments to non-resident holders of the Company’s shares.</w:t>
      </w:r>
    </w:p>
    <w:p>
      <w:pPr>
        <w:spacing w:after="0" w:line="1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circumstances where one of Ireland’s many exemptions from dividend withholding tax (‘DWT’) does not apply, dividends paid by the Company will be subject to Irish DWT (currently 20 percent). Residents of the United States should be exempt from Irish DWT provided relevant documentation supporting the exemption has been put in place. While the U.S.-Ireland Double Tax Treaty contains provisions reducing the rate of Irish DWT in prescribed circumstances, it should generally be unnecessary for U.S. residents to rely on the provisions of this treaty due to the wide scope of exemptions from Irish DWT available under Irish domestic law. Irish income tax may also arise in respect of dividends paid by the Company. However, U.S. residents entitled to an exemption from Irish DWT generally have no Irish income tax liability on dividends.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non-corporate U.S. shareholders, certain dividends from a qualified foreign corporation may be subject to reduced rates of taxation. A foreign corporation is treated as a qualified foreign corporation with respect to dividends received from that corporation on shares that are readily tradeable on an established securities market in the United States, such as our shares. Non-corporate U.S. shareholders that do not meet a minimum holding period requirement for our shares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U.S. shareholders should consult their own tax advisors regarding the application of these rules given their particular circumstances.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Shareholder Return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 below depicts cumulative total shareholder returns for WTW for the period from December 31, 2018 through December 31, 2023.</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graph also depicts the total return for the S&amp;P 500 and for a peer group for WTW comprised of Aon plc, Arthur J. Gallagher &amp; Co., Automatic Data Processing, Inc., Booz Allen Hamilton Holding Corporation, Cognizant Technology Solutions Corporation, Conduent Incorporated, Fidelity National Financial, Inc., Fidelity National Information Services, Inc., First American Financial Corporation, Fiserv, Inc., Marsh &amp; McLennan Companies, Inc., Principal Financial Group, Inc., Robert Half International Inc., S&amp;P Global Inc., The Hartford Financial Services Group, Inc., and Unum Group. The graph charts the performance of $100 invested on the initial date indicated, December 31, 2018, assuming full dividend reinvestment.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92710</wp:posOffset>
            </wp:positionV>
            <wp:extent cx="6130925" cy="3408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30925" cy="340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no shares were issued by the Company without registration under the Securities Act of 1933,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and will consider whether to do so from time to time, based on many factors, including market conditions. Since April 20, 2016, when the WTW board reconfirmed, reapproved and reauthorized the remaining $529 million portion of the Legacy Willis program to repurchase the Company’s ordinary shares on the open market or by way of redemption or otherwise, the following additional authorizations have occurred:</w:t>
      </w:r>
    </w:p>
    <w:p>
      <w:pPr>
        <w:spacing w:after="0" w:line="12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November 10, 2016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$1.0 billion.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February 23, 2018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$400 million.</w:t>
      </w:r>
    </w:p>
    <w:p>
      <w:pPr>
        <w:spacing w:after="0" w:line="170" w:lineRule="exact"/>
        <w:rPr>
          <w:rFonts w:ascii="Times New Roman" w:cs="Times New Roman" w:eastAsia="Times New Roman" w:hAnsi="Times New Roman"/>
          <w:sz w:val="18"/>
          <w:szCs w:val="18"/>
          <w:color w:val="auto"/>
        </w:rPr>
      </w:pPr>
    </w:p>
    <w:p>
      <w:pPr>
        <w:ind w:left="5540" w:right="1320" w:hanging="5158"/>
        <w:spacing w:after="0" w:line="534" w:lineRule="auto"/>
        <w:tabs>
          <w:tab w:leader="none" w:pos="7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February 26, 2020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$251 million.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45" w:name="page46"/>
    <w:bookmarkEnd w:id="45"/>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July 26, 2021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$1.0 billion.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September 16, 2021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$4.0 billion.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25, 2022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$1.0 billion.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September 20, 2023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$1.0 billion.</w:t>
      </w:r>
    </w:p>
    <w:p>
      <w:pPr>
        <w:spacing w:after="0" w:line="17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There are no expiration dates for these repurchase plans or programs. The following table presents specified information about the Company’s repurchases of ordinary shares in the fourth quarter and the Company’s repurchase authority.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3"/>
                <w:szCs w:val="13"/>
                <w:color w:val="auto"/>
              </w:rPr>
            </w:pPr>
          </w:p>
        </w:tc>
        <w:tc>
          <w:tcPr>
            <w:tcW w:w="18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5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40" w:type="dxa"/>
            <w:vAlign w:val="bottom"/>
          </w:tcPr>
          <w:p>
            <w:pPr>
              <w:spacing w:after="0"/>
              <w:rPr>
                <w:sz w:val="12"/>
                <w:szCs w:val="12"/>
                <w:color w:val="auto"/>
              </w:rPr>
            </w:pPr>
          </w:p>
        </w:tc>
        <w:tc>
          <w:tcPr>
            <w:tcW w:w="18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7"/>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40" w:type="dxa"/>
            <w:vAlign w:val="bottom"/>
          </w:tcPr>
          <w:p>
            <w:pPr>
              <w:spacing w:after="0"/>
              <w:rPr>
                <w:sz w:val="16"/>
                <w:szCs w:val="16"/>
                <w:color w:val="auto"/>
              </w:rPr>
            </w:pPr>
          </w:p>
        </w:tc>
        <w:tc>
          <w:tcPr>
            <w:tcW w:w="1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October 1, 2023 through October 31, 2023</w:t>
            </w:r>
          </w:p>
        </w:tc>
        <w:tc>
          <w:tcPr>
            <w:tcW w:w="15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119,221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209.69</w:t>
            </w:r>
          </w:p>
        </w:tc>
        <w:tc>
          <w:tcPr>
            <w:tcW w:w="222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119,221</w:t>
            </w:r>
          </w:p>
        </w:tc>
        <w:tc>
          <w:tcPr>
            <w:tcW w:w="1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6,278,743</w:t>
            </w: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2023 through November 30, 2023</w:t>
            </w:r>
          </w:p>
        </w:tc>
        <w:tc>
          <w:tcPr>
            <w:tcW w:w="15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359,608</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239.52</w:t>
            </w:r>
          </w:p>
        </w:tc>
        <w:tc>
          <w:tcPr>
            <w:tcW w:w="22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359,608</w:t>
            </w:r>
          </w:p>
        </w:tc>
        <w:tc>
          <w:tcPr>
            <w:tcW w:w="1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5,919,135</w:t>
            </w:r>
          </w:p>
        </w:tc>
        <w:tc>
          <w:tcPr>
            <w:tcW w:w="0" w:type="dxa"/>
            <w:vAlign w:val="bottom"/>
          </w:tcPr>
          <w:p>
            <w:pPr>
              <w:spacing w:after="0"/>
              <w:rPr>
                <w:sz w:val="1"/>
                <w:szCs w:val="1"/>
                <w:color w:val="auto"/>
              </w:rPr>
            </w:pPr>
          </w:p>
        </w:tc>
      </w:tr>
      <w:tr>
        <w:trPr>
          <w:trHeight w:val="247"/>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1, 2023 through December 31, 2023</w:t>
            </w:r>
          </w:p>
        </w:tc>
        <w:tc>
          <w:tcPr>
            <w:tcW w:w="15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353,180</w:t>
            </w:r>
          </w:p>
        </w:tc>
        <w:tc>
          <w:tcPr>
            <w:tcW w:w="36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240.29</w:t>
            </w:r>
          </w:p>
        </w:tc>
        <w:tc>
          <w:tcPr>
            <w:tcW w:w="120" w:type="dxa"/>
            <w:vAlign w:val="bottom"/>
            <w:tcBorders>
              <w:bottom w:val="single" w:sz="8" w:color="CFF0FC"/>
            </w:tcBorders>
            <w:shd w:val="clear" w:color="auto" w:fill="CFF0FC"/>
          </w:tcPr>
          <w:p>
            <w:pPr>
              <w:spacing w:after="0"/>
              <w:rPr>
                <w:sz w:val="21"/>
                <w:szCs w:val="21"/>
                <w:color w:val="auto"/>
              </w:rPr>
            </w:pPr>
          </w:p>
        </w:tc>
        <w:tc>
          <w:tcPr>
            <w:tcW w:w="21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353,180</w:t>
            </w:r>
          </w:p>
        </w:tc>
        <w:tc>
          <w:tcPr>
            <w:tcW w:w="19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5,565,955</w:t>
            </w: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15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832,009</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235.57</w:t>
            </w:r>
          </w:p>
        </w:tc>
        <w:tc>
          <w:tcPr>
            <w:tcW w:w="22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832,009</w:t>
            </w: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-187960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-187960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At December 31, 2023, the maximum number of shares that may be purchased under the existing stock repurchase program is 5,565,955, with approximately $1.3 billion remaining on the current open-ended repurchase authority granted by the board. An estimate of the maximum number of shares under the existing authorities was determined using the closing price of our ordinary shares on December 31, 2023 of $241.20.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about the securities authorized for issuance under the Company’s equity compensation plans and is categorized according to whether or not the equity plan was previously approved by shareholders.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 to be Issued Upon</w:t>
            </w:r>
          </w:p>
        </w:tc>
        <w:tc>
          <w:tcPr>
            <w:tcW w:w="14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 Exercise Price of</w:t>
            </w:r>
          </w:p>
        </w:tc>
        <w:tc>
          <w:tcPr>
            <w:tcW w:w="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Exercise of Outstanding Options,</w:t>
            </w:r>
          </w:p>
        </w:tc>
        <w:tc>
          <w:tcPr>
            <w:tcW w:w="14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Outstanding Options, Warrants and</w:t>
            </w:r>
          </w:p>
        </w:tc>
        <w:tc>
          <w:tcPr>
            <w:tcW w:w="140" w:type="dxa"/>
            <w:vAlign w:val="bottom"/>
          </w:tcPr>
          <w:p>
            <w:pPr>
              <w:spacing w:after="0"/>
              <w:rPr>
                <w:sz w:val="15"/>
                <w:szCs w:val="15"/>
                <w:color w:val="auto"/>
              </w:rPr>
            </w:pPr>
          </w:p>
        </w:tc>
        <w:tc>
          <w:tcPr>
            <w:tcW w:w="27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Number of Shares Remaining</w:t>
            </w:r>
          </w:p>
        </w:tc>
        <w:tc>
          <w:tcPr>
            <w:tcW w:w="0" w:type="dxa"/>
            <w:vAlign w:val="bottom"/>
          </w:tcPr>
          <w:p>
            <w:pPr>
              <w:spacing w:after="0"/>
              <w:rPr>
                <w:sz w:val="1"/>
                <w:szCs w:val="1"/>
                <w:color w:val="auto"/>
              </w:rPr>
            </w:pPr>
          </w:p>
        </w:tc>
      </w:tr>
      <w:tr>
        <w:trPr>
          <w:trHeight w:val="25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40" w:type="dxa"/>
            <w:vAlign w:val="bottom"/>
          </w:tcPr>
          <w:p>
            <w:pPr>
              <w:spacing w:after="0"/>
              <w:rPr>
                <w:sz w:val="22"/>
                <w:szCs w:val="22"/>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140" w:type="dxa"/>
            <w:vAlign w:val="bottom"/>
          </w:tcPr>
          <w:p>
            <w:pPr>
              <w:spacing w:after="0"/>
              <w:rPr>
                <w:sz w:val="22"/>
                <w:szCs w:val="22"/>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140" w:type="dxa"/>
            <w:vAlign w:val="bottom"/>
          </w:tcPr>
          <w:p>
            <w:pPr>
              <w:spacing w:after="0"/>
              <w:rPr>
                <w:sz w:val="22"/>
                <w:szCs w:val="22"/>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Available for Future Issuance </w:t>
            </w:r>
            <w:r>
              <w:rPr>
                <w:rFonts w:ascii="Times New Roman" w:cs="Times New Roman" w:eastAsia="Times New Roman" w:hAnsi="Times New Roman"/>
                <w:sz w:val="21"/>
                <w:szCs w:val="21"/>
                <w:b w:val="1"/>
                <w:bCs w:val="1"/>
                <w:color w:val="auto"/>
                <w:w w:val="98"/>
                <w:vertAlign w:val="superscript"/>
              </w:rPr>
              <w:t>(ii)</w:t>
            </w:r>
          </w:p>
        </w:tc>
        <w:tc>
          <w:tcPr>
            <w:tcW w:w="0" w:type="dxa"/>
            <w:vAlign w:val="bottom"/>
          </w:tcPr>
          <w:p>
            <w:pPr>
              <w:spacing w:after="0"/>
              <w:rPr>
                <w:sz w:val="1"/>
                <w:szCs w:val="1"/>
                <w:color w:val="auto"/>
              </w:rPr>
            </w:pPr>
          </w:p>
        </w:tc>
      </w:tr>
      <w:tr>
        <w:trPr>
          <w:trHeight w:val="168"/>
        </w:trPr>
        <w:tc>
          <w:tcPr>
            <w:tcW w:w="2720" w:type="dxa"/>
            <w:vAlign w:val="bottom"/>
            <w:shd w:val="clear" w:color="auto" w:fill="CFF0FC"/>
          </w:tcPr>
          <w:p>
            <w:pPr>
              <w:jc w:val="center"/>
              <w:spacing w:after="0" w:line="168" w:lineRule="exact"/>
              <w:rPr>
                <w:sz w:val="20"/>
                <w:szCs w:val="20"/>
                <w:color w:val="auto"/>
              </w:rPr>
            </w:pPr>
            <w:r>
              <w:rPr>
                <w:rFonts w:ascii="Times New Roman" w:cs="Times New Roman" w:eastAsia="Times New Roman" w:hAnsi="Times New Roman"/>
                <w:sz w:val="16"/>
                <w:szCs w:val="16"/>
                <w:color w:val="auto"/>
              </w:rPr>
              <w:t>Equity Compensation Plans Approved</w:t>
            </w:r>
          </w:p>
        </w:tc>
        <w:tc>
          <w:tcPr>
            <w:tcW w:w="2860" w:type="dxa"/>
            <w:vAlign w:val="bottom"/>
            <w:gridSpan w:val="2"/>
            <w:vMerge w:val="restart"/>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1,563,028</w:t>
            </w:r>
          </w:p>
        </w:tc>
        <w:tc>
          <w:tcPr>
            <w:tcW w:w="140" w:type="dxa"/>
            <w:vAlign w:val="bottom"/>
            <w:shd w:val="clear" w:color="auto" w:fill="CFF0FC"/>
          </w:tcPr>
          <w:p>
            <w:pPr>
              <w:spacing w:after="0"/>
              <w:rPr>
                <w:sz w:val="14"/>
                <w:szCs w:val="14"/>
                <w:color w:val="auto"/>
              </w:rPr>
            </w:pPr>
          </w:p>
        </w:tc>
        <w:tc>
          <w:tcPr>
            <w:tcW w:w="26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840" w:type="dxa"/>
            <w:vAlign w:val="bottom"/>
            <w:gridSpan w:val="2"/>
            <w:vMerge w:val="restart"/>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4,924,629</w:t>
            </w:r>
          </w:p>
        </w:tc>
        <w:tc>
          <w:tcPr>
            <w:tcW w:w="0" w:type="dxa"/>
            <w:vAlign w:val="bottom"/>
          </w:tcPr>
          <w:p>
            <w:pPr>
              <w:spacing w:after="0"/>
              <w:rPr>
                <w:sz w:val="1"/>
                <w:szCs w:val="1"/>
                <w:color w:val="auto"/>
              </w:rPr>
            </w:pPr>
          </w:p>
        </w:tc>
      </w:tr>
      <w:tr>
        <w:trPr>
          <w:trHeight w:val="257"/>
        </w:trPr>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 xml:space="preserve">by Security Holders </w:t>
            </w:r>
            <w:r>
              <w:rPr>
                <w:rFonts w:ascii="Times New Roman" w:cs="Times New Roman" w:eastAsia="Times New Roman" w:hAnsi="Times New Roman"/>
                <w:sz w:val="21"/>
                <w:szCs w:val="21"/>
                <w:color w:val="auto"/>
                <w:w w:val="99"/>
                <w:vertAlign w:val="superscript"/>
              </w:rPr>
              <w:t>(i)</w:t>
            </w:r>
          </w:p>
        </w:tc>
        <w:tc>
          <w:tcPr>
            <w:tcW w:w="2860" w:type="dxa"/>
            <w:vAlign w:val="bottom"/>
            <w:gridSpan w:val="2"/>
            <w:vMerge w:val="continue"/>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80" w:type="dxa"/>
            <w:vAlign w:val="bottom"/>
            <w:vMerge w:val="continue"/>
            <w:shd w:val="clear" w:color="auto" w:fill="CFF0FC"/>
          </w:tcPr>
          <w:p>
            <w:pPr>
              <w:spacing w:after="0"/>
              <w:rPr>
                <w:sz w:val="22"/>
                <w:szCs w:val="22"/>
                <w:color w:val="auto"/>
              </w:rPr>
            </w:pPr>
          </w:p>
        </w:tc>
        <w:tc>
          <w:tcPr>
            <w:tcW w:w="2840" w:type="dxa"/>
            <w:vAlign w:val="bottom"/>
            <w:gridSpan w:val="2"/>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Equity Compensation Plans Not</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02"/>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Approved by Security Holders</w:t>
            </w:r>
          </w:p>
        </w:tc>
        <w:tc>
          <w:tcPr>
            <w:tcW w:w="140" w:type="dxa"/>
            <w:vAlign w:val="bottom"/>
          </w:tcPr>
          <w:p>
            <w:pPr>
              <w:spacing w:after="0"/>
              <w:rPr>
                <w:sz w:val="8"/>
                <w:szCs w:val="8"/>
                <w:color w:val="auto"/>
              </w:rPr>
            </w:pPr>
          </w:p>
        </w:tc>
        <w:tc>
          <w:tcPr>
            <w:tcW w:w="2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Borders>
              <w:bottom w:val="single" w:sz="8" w:color="CFF0FC"/>
            </w:tcBorders>
            <w:shd w:val="clear" w:color="auto" w:fill="CFF0FC"/>
          </w:tcPr>
          <w:p>
            <w:pPr>
              <w:spacing w:after="0"/>
              <w:rPr>
                <w:sz w:val="22"/>
                <w:szCs w:val="22"/>
                <w:color w:val="auto"/>
              </w:rPr>
            </w:pPr>
          </w:p>
        </w:tc>
        <w:tc>
          <w:tcPr>
            <w:tcW w:w="27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1,563,028</w:t>
            </w:r>
          </w:p>
        </w:tc>
        <w:tc>
          <w:tcPr>
            <w:tcW w:w="140" w:type="dxa"/>
            <w:vAlign w:val="bottom"/>
            <w:tcBorders>
              <w:bottom w:val="single" w:sz="8" w:color="CFF0FC"/>
            </w:tcBorders>
            <w:shd w:val="clear" w:color="auto" w:fill="CFF0FC"/>
          </w:tcPr>
          <w:p>
            <w:pPr>
              <w:spacing w:after="0"/>
              <w:rPr>
                <w:sz w:val="22"/>
                <w:szCs w:val="22"/>
                <w:color w:val="auto"/>
              </w:rPr>
            </w:pPr>
          </w:p>
        </w:tc>
        <w:tc>
          <w:tcPr>
            <w:tcW w:w="2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tcBorders>
            <w:shd w:val="clear" w:color="auto" w:fill="CFF0FC"/>
          </w:tcPr>
          <w:p>
            <w:pPr>
              <w:spacing w:after="0"/>
              <w:rPr>
                <w:sz w:val="22"/>
                <w:szCs w:val="22"/>
                <w:color w:val="auto"/>
              </w:rPr>
            </w:pPr>
          </w:p>
        </w:tc>
        <w:tc>
          <w:tcPr>
            <w:tcW w:w="27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4,924,629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-24765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-7620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300" w:hanging="272"/>
        <w:spacing w:after="0" w:line="251" w:lineRule="auto"/>
        <w:tabs>
          <w:tab w:leader="none" w:pos="2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and RSUs outstanding under the Towers Watson &amp; Co. 2009 Long-Term Incentive Plan and the 2012 Equity Incentive Plan (‘2012 Plan’). The Company intends to only grant future awards under the 2012 Plan.</w:t>
      </w:r>
    </w:p>
    <w:p>
      <w:pPr>
        <w:ind w:left="280" w:right="240" w:hanging="272"/>
        <w:spacing w:after="0" w:line="258" w:lineRule="auto"/>
        <w:tabs>
          <w:tab w:leader="none" w:pos="2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available for issuance pursuant to awards that may be granted under the 2012 Plan (3,867,028 shares) and the Willis Towers Watson Public Limited Company Amended and Restated 2010 North American Employee Stock Purchase Plan (1,057,601 shares).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7"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includes forward-looking statements. See ‘Disclaimer Regarding Forward-looking Statements’ for certain cautionary information regarding forward-looking statements and Part I, Item 1A Risk Factors for a list of factors that could cause actual results to differ materially from those predicted in those statements.</w:t>
      </w:r>
    </w:p>
    <w:p>
      <w:pPr>
        <w:spacing w:after="0" w:line="11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09"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8"/>
          <w:szCs w:val="18"/>
          <w:i w:val="1"/>
          <w:iCs w:val="1"/>
          <w:color w:val="auto"/>
        </w:rPr>
        <w:t>Our methods of calculating these measures may differ from those used by other companies and therefore comparability may be limited. These financial measures should be viewed in addition to, not in lieu of, the consolidated financial statements for the year ended December 31, 2023.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75"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2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stabilizing market.</w:t>
      </w:r>
    </w:p>
    <w:p>
      <w:pPr>
        <w:spacing w:after="0" w:line="132"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w:t>
      </w:r>
    </w:p>
    <w:p>
      <w:pPr>
        <w:spacing w:after="0" w:line="175"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U.S. and global markets are continuing to experience volatility and disruption as a result of the ongoing Russia-Ukraine and Israel-Hamas wars. Although the length and impact of these ongoing situations are highly unpredictable, they have caused disruption in the global markets and could continue to lead to further market disruptions. The conflicts have contributed to negative impacts on and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8" w:name="page49"/>
    <w:bookmarkEnd w:id="48"/>
    <w:p>
      <w:pPr>
        <w:ind w:right="420"/>
        <w:spacing w:after="0" w:line="281" w:lineRule="auto"/>
        <w:rPr>
          <w:sz w:val="20"/>
          <w:szCs w:val="20"/>
          <w:color w:val="auto"/>
        </w:rPr>
      </w:pPr>
      <w:r>
        <w:rPr>
          <w:rFonts w:ascii="Times New Roman" w:cs="Times New Roman" w:eastAsia="Times New Roman" w:hAnsi="Times New Roman"/>
          <w:sz w:val="18"/>
          <w:szCs w:val="18"/>
          <w:color w:val="auto"/>
        </w:rPr>
        <w:t>volatility of the global economy and capital markets, resulting in significant inflation and fluctuating interest rates in many of the markets in which we operate. This impacts not only the cost of and access to liquidity, but also other costs to run and invest in our business.</w:t>
      </w:r>
    </w:p>
    <w:p>
      <w:pPr>
        <w:spacing w:after="0" w:line="1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Other global economic events, such as accommodative monetary and fiscal policy and geopolitical tensions beyond the ongoing wars, have also contributed to significant inflation across the globe. In particular, inflation in the United States, Europe, and other geographies has risen to levels not experienced in recent decades and we are seeing its impact on various aspects of our business. Moreover, U.S. and global economic conditions have created market uncertainty and volatility. Such general economic conditions, including inflation, stagflation, political volatility, costs of labor, cost of capital, interest rates, bank stability, credit availability, and tax rates, affect our operating and general and administrative expenses, and we have no control or limited ability to control such factors. These general economic conditions can also impact revenue, including revenue from customers as well as income from funds we hold on behalf of customers and pension-related income.</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From time to time, our financial results have been (such as in 2021 and 2022), and may in the future be, negatively impacted by adverse workforce factors in a number of businesses, particularly commercial risk broking and health and benefits broking. Additionally, our performance has benefited (such as in 2021 and 2022), and may benefit in the future, from revenue from book sales, which is non-recurring revenue. The net impact of these factors, which caused our growth in 2021 and 2022 to be meaningfully slower than other competitors, has affected the comparability of our 2022 results against those in 2023 and could affect comparability of other future periods. See Part I, Item 1A Risk Factors in this Annual Report on Form 10-K for a discussion of risks that may affect our growth relative to expectations and our ability to compete.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Program</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now expect the program to generate annual cost savings in excess of $425 million by the end of 2024. The program is expected to incur cumulative costs of approximately $995 million and capital expenditures of approximately $130 million, for a total investment of $1.125 billion. The main categories of charges have been in the following four areas:</w:t>
      </w:r>
    </w:p>
    <w:p>
      <w:pPr>
        <w:spacing w:after="0" w:line="128" w:lineRule="exact"/>
        <w:rPr>
          <w:sz w:val="20"/>
          <w:szCs w:val="20"/>
          <w:color w:val="auto"/>
        </w:rPr>
      </w:pPr>
    </w:p>
    <w:p>
      <w:pPr>
        <w:ind w:left="760" w:right="30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our new ways of working (hybrid work) and includes breakage fees and the impairment of right-of-use assets and other related leasehold assets.</w:t>
      </w:r>
    </w:p>
    <w:p>
      <w:pPr>
        <w:spacing w:after="0" w:line="108"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123" w:lineRule="exact"/>
        <w:rPr>
          <w:rFonts w:ascii="Times New Roman" w:cs="Times New Roman" w:eastAsia="Times New Roman" w:hAnsi="Times New Roman"/>
          <w:sz w:val="18"/>
          <w:szCs w:val="18"/>
          <w:color w:val="auto"/>
        </w:rPr>
      </w:pPr>
    </w:p>
    <w:p>
      <w:pPr>
        <w:ind w:left="760" w:right="520" w:hanging="378"/>
        <w:spacing w:after="0" w:line="265"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123"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and are included as restructuring costs in the consolidated statements of comprehensive income. For the years ended December 31, 2023, 2022 and 2021, restructuring charges under our Transformation program totaled $68 million, $99 million and $26 million, respectively. Other costs incurred under the Transformation program are included in transaction and transformation, net and were $347 million and $136 million for the years ended December 31, 2023 and 2022, respectively.</w:t>
      </w:r>
    </w:p>
    <w:p>
      <w:pPr>
        <w:spacing w:after="0" w:line="126"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 xml:space="preserve">From the actions taken during 2023, we have identified an additional $188 million of annualized run-rate savings during the year due to newly-realized opportunities and incremental sources of value. Since the inception of the program, we have identified $337 million of cumulative annualized run-rate savings, which overall are primarily </w:t>
      </w:r>
      <w:r>
        <w:rPr>
          <w:rFonts w:ascii="Times New Roman" w:cs="Times New Roman" w:eastAsia="Times New Roman" w:hAnsi="Times New Roman"/>
          <w:sz w:val="18"/>
          <w:szCs w:val="18"/>
          <w:color w:val="212121"/>
        </w:rPr>
        <w:t>attributable to process optimization. We began to recognize the benefits</w:t>
      </w:r>
      <w:r>
        <w:rPr>
          <w:rFonts w:ascii="Times New Roman" w:cs="Times New Roman" w:eastAsia="Times New Roman" w:hAnsi="Times New Roman"/>
          <w:sz w:val="18"/>
          <w:szCs w:val="18"/>
          <w:color w:val="auto"/>
        </w:rPr>
        <w:t xml:space="preserve"> from the program during 2022.</w:t>
      </w:r>
    </w:p>
    <w:p>
      <w:pPr>
        <w:spacing w:after="0" w:line="121"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material risks associated with the Transformation program, please see Part I, Item 1A Risk Factors - </w:t>
      </w:r>
      <w:r>
        <w:rPr>
          <w:rFonts w:ascii="Times New Roman" w:cs="Times New Roman" w:eastAsia="Times New Roman" w:hAnsi="Times New Roman"/>
          <w:sz w:val="18"/>
          <w:szCs w:val="18"/>
          <w:i w:val="1"/>
          <w:iCs w:val="1"/>
          <w:color w:val="auto"/>
        </w:rPr>
        <w:t>‘We may not be able to fully realize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anticipated benefits of our growth strategy or our expected product, service and transaction pipelines’ </w:t>
      </w:r>
      <w:r>
        <w:rPr>
          <w:rFonts w:ascii="Times New Roman" w:cs="Times New Roman" w:eastAsia="Times New Roman" w:hAnsi="Times New Roman"/>
          <w:sz w:val="18"/>
          <w:szCs w:val="18"/>
          <w:color w:val="auto"/>
        </w:rPr>
        <w:t>and other Risk Factors in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49" w:name="page50"/>
    <w:bookmarkEnd w:id="49"/>
    <w:p>
      <w:pPr>
        <w:ind w:right="400"/>
        <w:spacing w:after="0" w:line="281" w:lineRule="auto"/>
        <w:rPr>
          <w:sz w:val="20"/>
          <w:szCs w:val="20"/>
          <w:color w:val="auto"/>
        </w:rPr>
      </w:pPr>
      <w:r>
        <w:rPr>
          <w:rFonts w:ascii="Times New Roman" w:cs="Times New Roman" w:eastAsia="Times New Roman" w:hAnsi="Times New Roman"/>
          <w:sz w:val="18"/>
          <w:szCs w:val="18"/>
          <w:color w:val="auto"/>
        </w:rPr>
        <w:t>For management’s discussion of our results of operations for the year ended December 31, 2022 in comparison with the year ended December 31, 2021, please see our Annual Report on Form 10-K filed with the SEC on February 24, 2023.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summarized consolidated statements of comprehensive income and data as a percentage of revenue for the periods indicated.</w:t>
      </w:r>
    </w:p>
    <w:p>
      <w:pPr>
        <w:spacing w:after="0" w:line="16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in millions, except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41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9,483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8,866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5,344</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5,065</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1,815</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242</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68</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56"/>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386</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2"/>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4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8,118</w:t>
            </w:r>
          </w:p>
        </w:tc>
        <w:tc>
          <w:tcPr>
            <w:tcW w:w="1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7,688</w:t>
            </w: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1,365</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70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149</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288</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04"/>
        </w:trPr>
        <w:tc>
          <w:tcPr>
            <w:tcW w:w="62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INCOME TAXES</w:t>
            </w:r>
          </w:p>
        </w:tc>
        <w:tc>
          <w:tcPr>
            <w:tcW w:w="4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1,279</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70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1,258</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5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4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1,064</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70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1,064</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1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4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1,055</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6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9.95</w:t>
            </w:r>
          </w:p>
        </w:tc>
        <w:tc>
          <w:tcPr>
            <w:tcW w:w="1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9.34</w:t>
            </w:r>
          </w:p>
        </w:tc>
        <w:tc>
          <w:tcPr>
            <w:tcW w:w="108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-2987675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-1737360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290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-3304540</wp:posOffset>
            </wp:positionV>
            <wp:extent cx="7132320" cy="162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-1899920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-1899920</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-24765</wp:posOffset>
            </wp:positionV>
            <wp:extent cx="939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-7620</wp:posOffset>
            </wp:positionV>
            <wp:extent cx="939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 (Continuing Operations)</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We derive the majority of our revenue from commissions from our brokerage services and fees for consulting and administration services. No single client represented a significant concentration of our consolidated revenue for any of our three most recent fiscal years.</w:t>
      </w:r>
    </w:p>
    <w:p>
      <w:pPr>
        <w:spacing w:after="0" w:line="109"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 following table details our top five markets based on percentage of consolidated revenue (in U.S. dollars) from the countries where work was performed for the year ended December 31, 2023. These figures do not represent the currency of the related revenue, which is presented in the next table.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5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tcPr>
          <w:p>
            <w:pPr>
              <w:spacing w:after="0"/>
              <w:rPr>
                <w:sz w:val="16"/>
                <w:szCs w:val="16"/>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769"/>
        </w:trPr>
        <w:tc>
          <w:tcPr>
            <w:tcW w:w="3380" w:type="dxa"/>
            <w:vAlign w:val="bottom"/>
          </w:tcPr>
          <w:p>
            <w:pPr>
              <w:spacing w:after="0"/>
              <w:rPr>
                <w:sz w:val="24"/>
                <w:szCs w:val="24"/>
                <w:color w:val="auto"/>
              </w:rPr>
            </w:pPr>
          </w:p>
        </w:tc>
        <w:tc>
          <w:tcPr>
            <w:tcW w:w="562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33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73" w:right="239" w:bottom="1440" w:gutter="0" w:footer="0" w:header="0"/>
        </w:sectPr>
      </w:pPr>
    </w:p>
    <w:bookmarkStart w:id="50" w:name="page51"/>
    <w:bookmarkEnd w:id="50"/>
    <w:p>
      <w:pPr>
        <w:ind w:right="280"/>
        <w:spacing w:after="0" w:line="281" w:lineRule="auto"/>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from continuing operations by transactional currency for the year ended December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40" w:type="dxa"/>
            <w:vAlign w:val="bottom"/>
          </w:tcPr>
          <w:p>
            <w:pPr>
              <w:spacing w:after="0"/>
              <w:rPr>
                <w:sz w:val="18"/>
                <w:szCs w:val="18"/>
                <w:color w:val="auto"/>
              </w:rPr>
            </w:pPr>
          </w:p>
        </w:tc>
        <w:tc>
          <w:tcPr>
            <w:tcW w:w="1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8"/>
                <w:szCs w:val="18"/>
                <w:color w:val="auto"/>
              </w:rPr>
            </w:pPr>
          </w:p>
        </w:tc>
        <w:tc>
          <w:tcPr>
            <w:tcW w:w="1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c>
          <w:tcPr>
            <w:tcW w:w="60" w:type="dxa"/>
            <w:vAlign w:val="bottom"/>
          </w:tcPr>
          <w:p>
            <w:pPr>
              <w:spacing w:after="0"/>
              <w:rPr>
                <w:sz w:val="18"/>
                <w:szCs w:val="18"/>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dollars</w:t>
            </w:r>
          </w:p>
        </w:tc>
        <w:tc>
          <w:tcPr>
            <w:tcW w:w="1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Pounds sterling</w:t>
            </w:r>
          </w:p>
        </w:tc>
        <w:tc>
          <w:tcPr>
            <w:tcW w:w="1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w:t>
            </w:r>
          </w:p>
        </w:tc>
        <w:tc>
          <w:tcPr>
            <w:tcW w:w="1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59" w:lineRule="exact"/>
        <w:rPr>
          <w:sz w:val="20"/>
          <w:szCs w:val="20"/>
          <w:color w:val="auto"/>
        </w:rPr>
      </w:pPr>
    </w:p>
    <w:p>
      <w:pPr>
        <w:ind w:left="280" w:right="160" w:hanging="272"/>
        <w:spacing w:after="0" w:line="258" w:lineRule="auto"/>
        <w:tabs>
          <w:tab w:leader="none" w:pos="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net.</w:t>
      </w:r>
    </w:p>
    <w:p>
      <w:pPr>
        <w:spacing w:after="0" w:line="11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total revenue for the years ended December 31, 2023 and 2022 and the components of the change in total revenue for the year ended December 31, 2023, as compared to the prior year. The components of the revenue change may not add due to rounding.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9,483</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8,866</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16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-187960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-187960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Revenue for the year ended December 31, 2023 was $9.5 billion, compared to $8.9 billion for the year ended December 31, 2022, an increase of $617 million, or 7%, on an as-reported basis. Adjusting for the impact of foreign currency and acquisitions and disposals, our organic revenue growth was 8% for the year ended December 31, 2023. The increases in both as-reported and organic revenue were driven by strong performances in both segments as well as the recognition of higher interest income that is not allocated to the segments.</w:t>
      </w:r>
    </w:p>
    <w:p>
      <w:pPr>
        <w:spacing w:after="0" w:line="128"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year ended December 31, 2023, currency translation decreased our consolidated revenue by $10 million. The primary currencies driving this change were the Argentine Peso and Canadian Dollar.</w:t>
      </w:r>
    </w:p>
    <w:p>
      <w:pPr>
        <w:spacing w:after="0" w:line="123"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in the section entitled ‘Non-GAAP Financial Measures’ elsewhere within this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175"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Segment revenue excludes amounts that were directly incurred on behalf of our clients and reimbursed by them (reimbursed expenses); however, these amounts are included in consolidated revenue, as required by applicable accounting standards and SEC rules. See Note 5 – Segment Information within Item 8 of this Annual Report on Form 10-K for more information about how our segment revenue is calculated and a reconciliation to our GAAP results.</w:t>
      </w:r>
    </w:p>
    <w:p>
      <w:pPr>
        <w:spacing w:after="0" w:line="10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tables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 (‘HWC’)</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HWC segment provides an array of advice, broking, solutions and technology for employee benefit plans, institutional investors, compensation and career programs, and the employee experience overall.</w:t>
      </w:r>
    </w:p>
    <w:p>
      <w:pPr>
        <w:spacing w:after="0" w:line="10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HWC is the larger of the two segments of the Company, generating approximately 60% of our segment revenue for the year ended December 31, 2023. Addressing four key areas, Health, Wealth, Career and Benefits Delivery &amp; Outsourcing, the segment is focused on addressing our clients’ people and risk needs to help them succeed in a global marketplace.</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11" w:right="279" w:bottom="1440" w:gutter="0" w:footer="0" w:header="0"/>
        </w:sectPr>
      </w:pPr>
    </w:p>
    <w:bookmarkStart w:id="51" w:name="page52"/>
    <w:bookmarkEnd w:id="51"/>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years ended December 31, 2023 and 2022, and the components of the change in revenue for the year ended December 31, 2023 from the year ended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5,582</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5,287</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-187960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-187960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HWC segment revenue for the years ended December 31, 2023 and 2022 was $5.6 billion and $5.3 billion, respectively. Organic growth was led by Benefits Delivery &amp; Outsourcing, driven by higher volumes and placements of Medicare Advantage and life policies in Individual Marketplace and increased project activity in Outsourcing. Our Wealth businesses generated organic revenue growth from higher levels of Retirement work in North America and Europe, along with new client acquisitions and higher fees in Investments. Health had organic revenue growth driven by the continued expansion of our Global Benefits Management client portfolio, expanded consulting work and increased brokerage income. Career had organic revenue growth from increased compensation survey sales and executive compensation and other reward-based advisory services.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 (‘R&amp;B’)</w:t>
      </w:r>
    </w:p>
    <w:p>
      <w:pPr>
        <w:spacing w:after="0" w:line="1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R&amp;B segment provides a broad range of risk advice, insurance brokerage and consulting services to clients worldwide ranging from small businesses to multinational corporations.</w:t>
      </w:r>
    </w:p>
    <w:p>
      <w:pPr>
        <w:spacing w:after="0" w:line="10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R&amp;B generated approximately 40% of our segment revenue for the year ended December 31, 2023. The segment comprises two primary businesses - Corporate Risk &amp; Broking and Insurance Consulting and Technology.</w:t>
      </w:r>
    </w:p>
    <w:p>
      <w:pPr>
        <w:spacing w:after="0" w:line="10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years ended December 31, 2023 and 2022, and the components of the change in revenue for the year ended December 31, 2023 from the year ended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3,460</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c>
          <w:tcPr>
            <w:tcW w:w="12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-24765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-187960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-187960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R&amp;B segment revenue for the years ended December 31, 2023 and 2022 was $3.7 billion and $3.5 billion, respectively. Despite significant pressure from headwinds from book-of-business settlement revenue in the comparable period, Corporate Risk &amp; Broking generated solid organic revenue growth driven by strong new business and improved client retention. Insurance Consulting and Technology had organic revenue growth from software sales and increased project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 (Continuing Operations)</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Total costs of providing services for the year ended December 31, 2023 were $8.1 billion, compared to $7.7 billion for the year ended December 31, 2022, an increase of $430 million, or 6%. See the following discussion for further details.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7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Salaries and benefits for the year ended December 31, 2023 were $5.3 billion, compared to $5.1 billion for the year ended December 31, 2022, an increase of $279 million, or 6%. The increase in the current year is primarily due to higher salary expense, driven by increased colleague headcount and cost-of-living compensation adjustments, and increased incentive and benefit costs for the year.</w:t>
      </w:r>
    </w:p>
    <w:p>
      <w:pPr>
        <w:spacing w:after="0" w:line="123" w:lineRule="exact"/>
        <w:rPr>
          <w:sz w:val="20"/>
          <w:szCs w:val="20"/>
          <w:color w:val="auto"/>
        </w:rPr>
      </w:pPr>
    </w:p>
    <w:p>
      <w:pPr>
        <w:ind w:right="1200"/>
        <w:spacing w:after="0" w:line="437" w:lineRule="auto"/>
        <w:rPr>
          <w:sz w:val="20"/>
          <w:szCs w:val="20"/>
          <w:color w:val="auto"/>
        </w:rPr>
      </w:pPr>
      <w:r>
        <w:rPr>
          <w:rFonts w:ascii="Times New Roman" w:cs="Times New Roman" w:eastAsia="Times New Roman" w:hAnsi="Times New Roman"/>
          <w:sz w:val="18"/>
          <w:szCs w:val="18"/>
          <w:color w:val="auto"/>
        </w:rPr>
        <w:t xml:space="preserve">Salaries and benefits, as a percentage of revenue, represented 56% and 57% for the years ended December 31, 2023 and 2022, respectively. </w:t>
      </w:r>
      <w:r>
        <w:rPr>
          <w:rFonts w:ascii="Times New Roman" w:cs="Times New Roman" w:eastAsia="Times New Roman" w:hAnsi="Times New Roman"/>
          <w:sz w:val="18"/>
          <w:szCs w:val="18"/>
          <w:i w:val="1"/>
          <w:iCs w:val="1"/>
          <w:color w:val="auto"/>
        </w:rPr>
        <w:t>Other Operating Expenses</w:t>
      </w:r>
    </w:p>
    <w:p>
      <w:pPr>
        <w:spacing w:after="0" w:line="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Other operating expenses include occupancy, legal, marketing, licenses, royalties, supplies, technology, printing and telephone costs, as well as insurance, including premiums on excess insurance and losses on professional liability claims, travel by colleagues, publications, professional subscriptions and development, recruitment, other professional fees and irrecoverable value-added and sales taxes. Additionally, other operating expenses included costs historically allocated to our Willis Re business which are partially offset by fees under a cost reimbursement Transition Services Agreement (‘TSA’; see Note 3 — Acquisitions and Divestitures within Item 8 of this Annual Report on Form 10-K) with Gallagher.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52" w:name="page53"/>
    <w:bookmarkEnd w:id="52"/>
    <w:p>
      <w:pPr>
        <w:ind w:right="360"/>
        <w:spacing w:after="0" w:line="258" w:lineRule="auto"/>
        <w:rPr>
          <w:sz w:val="20"/>
          <w:szCs w:val="20"/>
          <w:color w:val="auto"/>
        </w:rPr>
      </w:pPr>
      <w:r>
        <w:rPr>
          <w:rFonts w:ascii="Times New Roman" w:cs="Times New Roman" w:eastAsia="Times New Roman" w:hAnsi="Times New Roman"/>
          <w:sz w:val="18"/>
          <w:szCs w:val="18"/>
          <w:color w:val="auto"/>
        </w:rPr>
        <w:t>Other operating expenses for both years ended December 31, 2023 and 2022 were $1.8 billion, an increase of $39 million, or 2%. The increase was primarily due to higher professional service and marketing-related expenses for the current year as compared to the prior-year, and higher travel and entertainment costs due to the continued increase of post-pandemic activity. These increases were partially offset by the absence of the prior-year asset impairments incurred, mostly accounts receivables, related to Russian insurance contracts placed by U.K. brokers in the London market (see Note 3 — Acquisitions and Divestitures within Item 8 of this Annual Report on Form 10-K) and lower external labor fees in the current year.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7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Depreciation represents the expense incurred over the useful lives of our tangible fixed assets and internally-developed software. Depreciation for the year ended December 31, 2023 was $242 million, compared to $255 million for the year ended December 31, 2022, a decrease of $13 million, or 5%. The year-over-year decrease was primarily due to a lower depreciable base of assets resulting from business disposals and a lower dollar value of assets placed in service during the past few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7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Amortization represents the amortization of acquired intangible assets, including acquired internally-developed software. Amortization for the year ended December 31, 2023 was $263 million, compared to $312 million for the year ended December 31, 2022, a decrease of $49 million, or 16%. Our intangible amortization is generally more heavily weighted to the initial years of the useful lives of the related intangibles, and therefore amortization related to intangible assets will continue to decrease over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Restructuring costs for the years ended December 31, 2023 and 2022 were $68 million and $99 million, respectively. Restructuring costs in both the current year and prior year primarily related to the real estate rationalization component of the Transformation program commenced by the Company during the fourth quarter of 2021 (see Transformation Program within this section and Note 6 — Restructuring Costs within Item 8 of this Annual Report on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Transformation, Net</w:t>
      </w:r>
    </w:p>
    <w:p>
      <w:pPr>
        <w:spacing w:after="0" w:line="17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Transaction and transformation, net for the years ended December 31, 2023 was $386 million, compared to $181 million for the year ended December 31, 2022, an increase of $205 million. Transaction and transformation costs for the current year were higher primarily due to increased consulting and compensation costs related to our Transformation program (see ‘Transformation Program’ elsewhere within this Item 7) incurred in the current year as compared to the prior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Income from operations for the year ended December 31, 2023 was $1.4 billion, compared to $1.2 billion for the year ended December 31, 2022, an increase of $187 million. This increase resulted primarily from higher revenue, the absence of the prior-year’s asset impairment expense discussed above and lower restructuring costs in the current year, partially offset by higher salary expense and incentive and benefit costs, increased transaction and transformation costs, higher professional service and marketing-related expenses and increased travel and entertainment costs in the current year as compared to the prior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Interest expense for the years ended December 31, 2023 and 2022 was $235 million and $208 million, respectively. Interest expense, which is attributable primarily to our senior notes, increased by $27 million for the year ended December 31, 2023, which was primarily the result of higher levels of indebtedness in the current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Other income, net includes gains and losses on disposals of operations, pension credits or expenses that are not attributable to service expense, interest in earnings of associates, foreign exchange gains and losses and other miscellaneous non-operating income and costs.</w:t>
      </w:r>
    </w:p>
    <w:p>
      <w:pPr>
        <w:spacing w:after="0" w:line="10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Other income, net for the year ended December 31, 2023 was $149 million, compared to $288 million for the year ended December 31, 2022, a decrease of $139 million. Other income, net decreased due to lower pension income, which was primarily attributable to higher interest costs resulting from higher assumed discount rates in the current year, partially offset by greater gains on disposals in the current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Provision for income taxes on continuing operations for the year ended December 31, 2023 was $215 million, compared to $194 million for the year ended December 31, 2022. The effective tax rates for the years ended December 31, 2023 and 2022 were 16.8%</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53" w:name="page54"/>
    <w:bookmarkEnd w:id="53"/>
    <w:p>
      <w:pPr>
        <w:ind w:right="20" w:firstLine="45"/>
        <w:spacing w:after="0" w:line="256" w:lineRule="auto"/>
        <w:rPr>
          <w:sz w:val="20"/>
          <w:szCs w:val="20"/>
          <w:color w:val="auto"/>
        </w:rPr>
      </w:pPr>
      <w:r>
        <w:rPr>
          <w:rFonts w:ascii="Times New Roman" w:cs="Times New Roman" w:eastAsia="Times New Roman" w:hAnsi="Times New Roman"/>
          <w:sz w:val="18"/>
          <w:szCs w:val="18"/>
          <w:color w:val="auto"/>
        </w:rPr>
        <w:t>and 15.4%, respectively. These effective tax rates are calculated using extended values from our consolidated statements of comprehensive income and are therefore more precise tax rates than can be calculated from rounded values. The current year effective tax rate includes a $20 million deferred tax benefit related to changes in state apportionment and a $10 million deferred tax benefit related to the remeasurement of deferred tax assets and liabilities associated with the enactment of the Bermuda corporate income tax law. The prior-year effective tax rate includes a $34 million tax benefit associated with amending the Company’s U.S. federal income tax returns for tax years 2019 and 2020, primarily related to the reduction of Base Erosion and Anti Abuse Tax (‘BEAT’), and a $22 million income tax benefit associated with foreign exchange remeasurement on income tax account balances.</w:t>
      </w:r>
    </w:p>
    <w:p>
      <w:pPr>
        <w:spacing w:after="0" w:line="13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December 2022, E.U. member states formally adopted the E.U.’s Pillar Two Directive, which introduces a global corporate minimum tax of 15% for certain large multinational companies. For the rules to take effect, E.U. member states were required to enact domestic legislation by the end of 2023 to be effective January 1, 2024. While we do not anticipate that this will have a material impact on our tax provision or effective tax rate, we continue to monitor evolving tax legislation in the jurisdictions in which we operate.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 Net of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as it relates to loss from discontinued operations, net of tax:</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9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discontinued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47"/>
        </w:trPr>
        <w:tc>
          <w:tcPr>
            <w:tcW w:w="9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14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r>
      <w:tr>
        <w:trPr>
          <w:trHeight w:val="238"/>
        </w:trPr>
        <w:tc>
          <w:tcPr>
            <w:tcW w:w="92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r>
      <w:tr>
        <w:trPr>
          <w:trHeight w:val="236"/>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4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14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r>
      <w:tr>
        <w:trPr>
          <w:trHeight w:val="238"/>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disposal of Willis Re</w:t>
            </w:r>
          </w:p>
        </w:tc>
        <w:tc>
          <w:tcPr>
            <w:tcW w:w="1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47"/>
        </w:trPr>
        <w:tc>
          <w:tcPr>
            <w:tcW w:w="9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 from income tax expense</w:t>
            </w:r>
          </w:p>
        </w:tc>
        <w:tc>
          <w:tcPr>
            <w:tcW w:w="14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payable to Gallagher on Deferred Closing</w:t>
            </w: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6"/>
        </w:trPr>
        <w:tc>
          <w:tcPr>
            <w:tcW w:w="9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19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Loss from discontinued operations, net of tax for the year ended December 31, 2022 was $40 million. The operations of our Willis Re business were reclassified to discontinued operations upon our entering into an agreement to sell the business during the third quarter of 2021 (see Note 3 - Acquisitions and Divestitures within Item 8 of this Annual Report on Form 10-K). Loss from discontinued operations in the prior year are primarily attributable to the adjustments to the gain on disposal resulting from finalizing the value of the net assets transferred and the operations of the deferred closing entities and run-off activity associated with the divestiture.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WTW</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income attributable to WTW for the year ended December 31, 2023 was $1.1 billion, compared to $1.0 billion for the year ended December 31, 2022, an increase of $46 million. This increase resulted primarily from higher revenue, the absence of the prior-year’s asset impairment expense discussed above, higher gains on disposals and lower restructuring costs in the current year, partially offset by higher salary expense and incentive and benefit costs, increased transaction and transformation costs, lower pension income, higher professional service and marketing-related expenses and higher travel and entertainment costs in the current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facility and any new debt offerings. These sources of liquidity will fund our short-term and long-term obligations at December 31, 2023. Our most significant long-term obligations include mandatory debt and related interest, operating leases and pension obligations and contributions to our qualified pension plans.</w:t>
      </w:r>
    </w:p>
    <w:p>
      <w:pPr>
        <w:spacing w:after="0" w:line="1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Specific to WTW, following the reduced spending driven by the COVID-19 pandemic, spending on travel and associated expenses began to increase in 2022, and this trend continued during 2023 following the return to office for many companies increasing in-person interactions.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54" w:name="page55"/>
    <w:bookmarkEnd w:id="54"/>
    <w:p>
      <w:pPr>
        <w:ind w:right="80"/>
        <w:spacing w:after="0" w:line="254"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and those related to our Transformation program, scheduled debt repayments, share repurchases and dividend payments. During the year ended December 31, 2023, we completed an offering of $750 million aggregate principal amount of 5.350% senior notes due 2033 and used the net proceeds to repay in full the $250 million aggregate principal amount and related accrued interest of 4.625% senior notes. The Company will use the remaining net proceeds for general corporate purposes. Additionally, during the year ended December 31, 2023 we repurchased $1.0 billion of shares, with remaining authorization to repurchase an additional $1.3 billion as of December 31, 2023.</w:t>
      </w:r>
    </w:p>
    <w:p>
      <w:pPr>
        <w:spacing w:after="0" w:line="13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consider many factors, including market and economic conditions, applicable legal requirements and other business considerations, when considering whether to repurchase shares. The share repurchase program has no termination date and may be suspended or discontinued at any time.</w:t>
      </w:r>
    </w:p>
    <w:p>
      <w:pPr>
        <w:spacing w:after="0" w:line="10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Before its disposal in 2021, Willis Re’s operating cash flows approximated its pre-tax income and any adjustments for working capital movements (see Note 3 — Acquisitions and Divestitures in Item 8 within this Annual Report on Form 10-K). Certain costs historically allocated to the Willis Re business are included in continuing operations and were retained following the disposal, but are being partially offset by reimbursements through the TSA. Costs incurred to service the TSA are expected to be reduced as part of the Company’s Transformation program as quickly as possible when the services are no longer required by Gallagher.</w:t>
      </w:r>
    </w:p>
    <w:p>
      <w:pPr>
        <w:spacing w:after="0" w:line="12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Distributable Profits - </w:t>
      </w:r>
      <w:r>
        <w:rPr>
          <w:rFonts w:ascii="Times New Roman" w:cs="Times New Roman" w:eastAsia="Times New Roman" w:hAnsi="Times New Roman"/>
          <w:sz w:val="18"/>
          <w:szCs w:val="18"/>
          <w:color w:val="auto"/>
        </w:rPr>
        <w:t>We are required under Irish law to have available ‘distributable profits’ to make share repurchases or pay dividends to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Distributable profits are created through the earnings of the Irish parent company and, among other methods, through intercompany dividends or a reduction in share capital approved by the High Court of Ireland. Distributable profits are not linked to a U.S. GAAP reported amount (e.g. retained earnings). At WTW's Annual General Meeting on June 8, 2022, its shareholders voted in favor of a proposed capital reduction. In accordance with Part 3 of the Irish Companies Act 2014 the Parent Company submitted an application to the High Court of Ireland to reduce its share premium account. On July 19, 2022, the High Court of Ireland approved a reduction of the share premium account of the Parent Company of approximately $9.5 billion, with the resulting balance being treated as realized profits of the Parent Company. The High Court of Ireland's order was registered with the Irish Companies Registration Office and became effective on July 21, 2022.</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 considerations - </w:t>
      </w: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undistributed earnings in a taxable manner, such as through receipt of dividends or sale of the investments. 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Our cash and cash equivalents at December 31, 2023 and 2022 totaled $1.4 billion and $1.3 billion, respectively. The increase in cash from December 31, 2022 to December 31, 2023 was due primarily to increased cash flow from operations, driven by operating margin improvement and the non-recurrence of certain prior-year headwinds related to foreign currency, tax and discretionary compensation, partially offset by increased Transformation program costs and $1.0 billion of share repurchases.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$1.5 billion revolving credit facility at December 31, 2023.</w:t>
      </w:r>
    </w:p>
    <w:p>
      <w:pPr>
        <w:spacing w:after="0" w:line="17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Included within cash and cash equivalents at December 31, 2023 and 2022 are amounts held for regulatory capital adequacy requirements, including $105 million and $99 million, respectively, held within our regulated U.K. entities.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consolidated cash flow information for the years ended: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46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5"/>
                <w:szCs w:val="15"/>
                <w:color w:val="auto"/>
              </w:rPr>
            </w:pPr>
          </w:p>
        </w:tc>
      </w:tr>
      <w:tr>
        <w:trPr>
          <w:trHeight w:val="187"/>
        </w:trPr>
        <w:tc>
          <w:tcPr>
            <w:tcW w:w="81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r>
      <w:tr>
        <w:trPr>
          <w:trHeight w:val="169"/>
        </w:trPr>
        <w:tc>
          <w:tcPr>
            <w:tcW w:w="8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72"/>
              </w:rPr>
              <w:t>millions)</w:t>
            </w:r>
          </w:p>
        </w:tc>
        <w:tc>
          <w:tcPr>
            <w:tcW w:w="600" w:type="dxa"/>
            <w:vAlign w:val="bottom"/>
          </w:tcPr>
          <w:p>
            <w:pPr>
              <w:spacing w:after="0"/>
              <w:rPr>
                <w:sz w:val="14"/>
                <w:szCs w:val="14"/>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from/(used in):</w:t>
            </w:r>
          </w:p>
        </w:tc>
        <w:tc>
          <w:tcPr>
            <w:tcW w:w="8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r>
      <w:tr>
        <w:trPr>
          <w:trHeight w:val="238"/>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1,345</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8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(1,085 )</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38"/>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8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(1,200 )</w:t>
            </w: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(3,445 )</w:t>
            </w: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r>
      <w:tr>
        <w:trPr>
          <w:trHeight w:val="248"/>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(2,806 )</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4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195"/>
        </w:trPr>
        <w:tc>
          <w:tcPr>
            <w:tcW w:w="818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CASH, CASH EQUIVALENTS AND RESTRICTED CASH, BEGINNING OF</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r>
      <w:tr>
        <w:trPr>
          <w:trHeight w:val="254"/>
        </w:trPr>
        <w:tc>
          <w:tcPr>
            <w:tcW w:w="8180" w:type="dxa"/>
            <w:vAlign w:val="bottom"/>
            <w:tcBorders>
              <w:bottom w:val="single" w:sz="8" w:color="CFF0FC"/>
            </w:tcBorders>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24"/>
                <w:szCs w:val="24"/>
                <w:color w:val="auto"/>
                <w:vertAlign w:val="superscript"/>
              </w:rPr>
              <w:t>(i)</w:t>
            </w:r>
          </w:p>
        </w:tc>
        <w:tc>
          <w:tcPr>
            <w:tcW w:w="84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4,721</w:t>
            </w:r>
          </w:p>
        </w:tc>
        <w:tc>
          <w:tcPr>
            <w:tcW w:w="2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7,691</w:t>
            </w:r>
          </w:p>
        </w:tc>
      </w:tr>
      <w:tr>
        <w:trPr>
          <w:trHeight w:val="236"/>
        </w:trPr>
        <w:tc>
          <w:tcPr>
            <w:tcW w:w="818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YEAR </w:t>
            </w:r>
            <w:r>
              <w:rPr>
                <w:rFonts w:ascii="Times New Roman" w:cs="Times New Roman" w:eastAsia="Times New Roman" w:hAnsi="Times New Roman"/>
                <w:sz w:val="24"/>
                <w:szCs w:val="24"/>
                <w:color w:val="auto"/>
                <w:vertAlign w:val="superscript"/>
              </w:rPr>
              <w:t>(i)</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3,792</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4,721</w:t>
            </w:r>
          </w:p>
        </w:tc>
      </w:tr>
      <w:tr>
        <w:trPr>
          <w:trHeight w:val="20"/>
        </w:trPr>
        <w:tc>
          <w:tcPr>
            <w:tcW w:w="8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6109970</wp:posOffset>
            </wp:positionH>
            <wp:positionV relativeFrom="paragraph">
              <wp:posOffset>-187960</wp:posOffset>
            </wp:positionV>
            <wp:extent cx="1282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60" w:hanging="272"/>
        <w:spacing w:after="0" w:line="252" w:lineRule="auto"/>
        <w:tabs>
          <w:tab w:leader="none" w:pos="2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the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Item 8 of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were $1.3 billion for 2023, compared to $812 million for 2022. The $1.3 billion net cash from operating activities for 2023 included net income of $1.1 billion and $652 million of favorable non-cash adjustments, partially offset by unfavorable changes in operating assets and liabilities of $371 million. The $652 million of favorable non-cash adjustments primarily includes depreciation, amortization and non-cash lease expense. The increase in cash flows from operating activities as compared to the prior year was due primarily to operating margin improvement and the non-recurrence of prior-year headwinds, including realized losses on foreign currency hedges, payments made in the prior year for certain discretionary compensation and taxes for one-time gains recognized in connection with the Willis Re divestiture and the 2021 income receipt related to the Aon plc (‘Aon’) transaction termination. These tailwinds were partially offset by increased Transformation program-related costs.</w:t>
      </w:r>
    </w:p>
    <w:p>
      <w:pPr>
        <w:spacing w:after="0" w:line="133"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Cash flows from operating activities of $812 million for 2022 included net income of $1.0 billion, and $676 million of favorable non-cash adjustments, partially offset by unfavorable changes in operating assets and liabilities of $888 million. The $676 million of favorable non-cash adjustments primarily includes depreciation, amortization and non-cash lease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7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Cash flows used in investing activities for the year ended December 31, 2023 were $1.1 billion compared to $173 million for the year ended December 31, 2022. The cash flows used in investing activities for the year ended December 31, 2023 consisted primarily of cash and fiduciary funds of $922 million associated with the transfer to Gallagher under a new side letter to the Willis Re sale agreement (see Note 3 — Acquisitions and Divestitures within Item 8 of this Annual Report on Form 10-K for more information) and $242 million of capital expenditures and capitalized software additions.</w:t>
      </w:r>
    </w:p>
    <w:p>
      <w:pPr>
        <w:spacing w:after="0" w:line="128"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Cash flows used in investing activities of $173 million for the year ended December 31, 2022 consisted of capital expenditures and capitalized software additions of $204 million and net cash outflows for acquisitions and divestitures of $169 million, partially offset by sales of investments of $200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7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Cash flows used in financing activities for the year ended December 31, 2023 were $1.2 billion. The significant financing activities included share repurchases of $1.0 billion, dividend payments of $352 million and net payments from fiduciary funds held for clients of $234 million, partially offset by $487 million of net proceeds from the issuance of debt.</w:t>
      </w:r>
    </w:p>
    <w:p>
      <w:pPr>
        <w:spacing w:after="0" w:line="12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Cash flows used in financing activities for the year ended December 31, 2022 were $3.4 billion. The significant financing activities included share repurchases of $3.5 billion, debt repayments of $585 million and dividend payments of $369 million, partially offset by $750 million of net proceeds from the issuance of debt and $354 million of net proceeds from fiduciary funds held for clients.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 at December 31, 2023 and December 31, 2022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4,567</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4,471</w:t>
            </w:r>
          </w:p>
        </w:tc>
        <w:tc>
          <w:tcPr>
            <w:tcW w:w="60" w:type="dxa"/>
            <w:vAlign w:val="bottom"/>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060" w:type="dxa"/>
            <w:vAlign w:val="bottom"/>
            <w:tcBorders>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5,217</w:t>
            </w:r>
          </w:p>
        </w:tc>
        <w:tc>
          <w:tcPr>
            <w:tcW w:w="1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4,721</w:t>
            </w:r>
          </w:p>
        </w:tc>
        <w:tc>
          <w:tcPr>
            <w:tcW w:w="60" w:type="dxa"/>
            <w:vAlign w:val="bottom"/>
          </w:tcPr>
          <w:p>
            <w:pPr>
              <w:spacing w:after="0"/>
              <w:rPr>
                <w:sz w:val="20"/>
                <w:szCs w:val="20"/>
                <w:color w:val="auto"/>
              </w:rPr>
            </w:pPr>
          </w:p>
        </w:tc>
      </w:tr>
      <w:tr>
        <w:trPr>
          <w:trHeight w:val="240"/>
        </w:trPr>
        <w:tc>
          <w:tcPr>
            <w:tcW w:w="7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1060" w:type="dxa"/>
            <w:vAlign w:val="bottom"/>
            <w:tcBorders>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9,520</w:t>
            </w:r>
          </w:p>
        </w:tc>
        <w:tc>
          <w:tcPr>
            <w:tcW w:w="1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10,016</w:t>
            </w:r>
          </w:p>
        </w:tc>
        <w:tc>
          <w:tcPr>
            <w:tcW w:w="60" w:type="dxa"/>
            <w:vAlign w:val="bottom"/>
          </w:tcPr>
          <w:p>
            <w:pPr>
              <w:spacing w:after="0"/>
              <w:rPr>
                <w:sz w:val="20"/>
                <w:szCs w:val="20"/>
                <w:color w:val="auto"/>
              </w:rPr>
            </w:pPr>
          </w:p>
        </w:tc>
      </w:tr>
      <w:tr>
        <w:trPr>
          <w:trHeight w:val="47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ratio</w:t>
            </w:r>
          </w:p>
        </w:tc>
        <w:tc>
          <w:tcPr>
            <w:tcW w:w="10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35.4 %</w:t>
            </w:r>
          </w:p>
        </w:tc>
        <w:tc>
          <w:tcPr>
            <w:tcW w:w="4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0"/>
        </w:trPr>
        <w:tc>
          <w:tcPr>
            <w:tcW w:w="7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-658495</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-341630</wp:posOffset>
            </wp:positionV>
            <wp:extent cx="1200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23"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8"/>
          <w:szCs w:val="18"/>
          <w:color w:val="auto"/>
        </w:rPr>
        <w:t>At December 31, 2023, our mandatory debt repayments over the next twelve months include $650 million outstanding on our 3.600% senior notes due 2024. For more information regarding our current and long-term debt, please see ‘Supplemental Guarantor Financial Information’ elsewhere within this Item 7 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consolidated balance sheets. We present the equal and corresponding fiduciary liabilities related to these fiduciary funds representing amounts or claims due to our clients or premiums due on their behalf to insurers on our consolidated balance sheets.</w:t>
      </w:r>
    </w:p>
    <w:p>
      <w:pPr>
        <w:spacing w:after="0" w:line="12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At December 31, 2023 and 2022, we had fiduciary funds of $2.6 billion and $3.6 billion, respectively. At December 31, 2022, $945 million of these funds were attributable to the divested Willis Re business. All amounts have since been settled or transferred to Gallagher due to the termination of the co-broking agreement (see Note 3 — Acquisitions and Divestitures within Item 8 of this Annual Report on Form 10-K for further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on May 25, 2022, approved a $1.0 billion increase to the existing share repurchase program, and on September 20, 2023, approved a $1.0 billion increase to the existing share repurchase program. These increases brought the total approved authorization, since April 20, 2016, to $9.2 billion. See Part II, Item 5 Market for Registrant’s Common Equity, Related Stockholder Matters and Issuer Purchases of Equity Securities in this Annual Report on Form 10-K for further information regarding the Company’s share repurchase program.</w:t>
      </w:r>
    </w:p>
    <w:p>
      <w:pPr>
        <w:spacing w:after="0" w:line="13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At December 31, 2023, approximately $1.3 billion remained on the current repurchase authority. The maximum number of shares that could be repurchased based on the closing price of our ordinary shares on December 31, 2023 of $241.20 was 5,565,955.</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9" w:right="2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ordinary shares for the year ended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230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8940" w:type="dxa"/>
            <w:vAlign w:val="bottom"/>
          </w:tcPr>
          <w:p>
            <w:pPr>
              <w:spacing w:after="0"/>
              <w:rPr>
                <w:sz w:val="16"/>
                <w:szCs w:val="16"/>
                <w:color w:val="auto"/>
              </w:rPr>
            </w:pPr>
          </w:p>
        </w:tc>
        <w:tc>
          <w:tcPr>
            <w:tcW w:w="2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4,482,846</w:t>
            </w:r>
          </w:p>
        </w:tc>
      </w:tr>
      <w:tr>
        <w:trPr>
          <w:trHeight w:val="23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$223.10</w:t>
            </w:r>
          </w:p>
        </w:tc>
      </w:tr>
      <w:tr>
        <w:trPr>
          <w:trHeight w:val="247"/>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billion</w:t>
            </w: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8"/>
          <w:szCs w:val="18"/>
          <w:color w:val="auto"/>
        </w:rPr>
        <w:t>Total cash dividends of $352 million were paid during the year ended December 31, 2023. In February 2024, the board of directors is expected to approve a quarterly cash dividend to shareholders of record as of March 31,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Company’s capital expenditures for fixed assets and software for internal use were $153 million for the year ended December 31, 2023. Capital expenditures for fixed assets and software for internal use, which include expenditures under our Transformation program, are expected to be in the range of $175 million to $200 million for the year ended December 31, 2024. We expect cash from operations to adequately provide for these cash needs.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WTW has issued the following debt securities (the ‘notes’):</w:t>
      </w:r>
    </w:p>
    <w:p>
      <w:pPr>
        <w:spacing w:after="0" w:line="117" w:lineRule="exact"/>
        <w:rPr>
          <w:sz w:val="20"/>
          <w:szCs w:val="20"/>
          <w:color w:val="auto"/>
        </w:rPr>
      </w:pPr>
    </w:p>
    <w:p>
      <w:pPr>
        <w:jc w:val="both"/>
        <w:ind w:left="760" w:right="100" w:hanging="378"/>
        <w:spacing w:after="0" w:line="265"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$4.4 billion senior notes outstanding, of which $650 million were issued on May 16, 2017, $1.0 billion were issued on September 10, 2018, $1.0 billion were issued on September 10, 2019, $275 million were issued on May 29, 2020, $750 million were issued on May 19, 2022, and $750 million were issued on May 17, 2023; and</w:t>
      </w:r>
    </w:p>
    <w:p>
      <w:pPr>
        <w:spacing w:after="0" w:line="69"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$825 million senior notes outstanding, of which $275 million were issued on August 15, 2013 and $550 million were issued on March 22, 2016, and a $1.5 billion revolving credit facility, on which no balance was outstanding at December 31, 2023.</w:t>
      </w:r>
    </w:p>
    <w:p>
      <w:pPr>
        <w:spacing w:after="0" w:line="109" w:lineRule="exact"/>
        <w:rPr>
          <w:sz w:val="20"/>
          <w:szCs w:val="20"/>
          <w:color w:val="auto"/>
        </w:rPr>
      </w:pPr>
    </w:p>
    <w:p>
      <w:pPr>
        <w:jc w:val="both"/>
        <w:ind w:right="460"/>
        <w:spacing w:after="0" w:line="265"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December 31, 2023. These subsidiaries are all consolidated by Willis Towers Watson plc (the ‘parent company’) and together with the parent company comprise the ‘Obligor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87"/>
        </w:trPr>
        <w:tc>
          <w:tcPr>
            <w:tcW w:w="73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3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8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0" w:type="dxa"/>
            <w:vAlign w:val="bottom"/>
          </w:tcPr>
          <w:p>
            <w:pPr>
              <w:spacing w:after="0"/>
              <w:rPr>
                <w:sz w:val="1"/>
                <w:szCs w:val="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2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 I Limited</w:t>
            </w:r>
          </w:p>
        </w:tc>
        <w:tc>
          <w:tcPr>
            <w:tcW w:w="2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378"/>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70"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58" w:name="page59"/>
    <w:bookmarkEnd w:id="58"/>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December 31, 2023 and 2022, the non-guarantor subsidiaries represented substantially all of the total assets and accounted for substantially all of the total revenue of the Company prior to consolidating adjustments.</w:t>
      </w:r>
    </w:p>
    <w:p>
      <w:pPr>
        <w:spacing w:after="0" w:line="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December 31, 2023 and 2022, the intercompany balances of the Obligor group with non-guarantor subsidiaries were net receivables of $3.4 billion and $600 million, respectively, and net payables of $14.0 billion and $10.2 billion,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7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9"/>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5"/>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216</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685</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7,576</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6,916</w:t>
            </w: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11,848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8,212</w:t>
            </w:r>
          </w:p>
        </w:tc>
      </w:tr>
      <w:tr>
        <w:trPr>
          <w:trHeight w:val="523"/>
        </w:trPr>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1,951</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1,643</w:t>
            </w:r>
          </w:p>
        </w:tc>
      </w:tr>
      <w:tr>
        <w:trPr>
          <w:trHeight w:val="247"/>
        </w:trPr>
        <w:tc>
          <w:tcPr>
            <w:tcW w:w="77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Income from operations before income taxes </w:t>
            </w:r>
            <w:r>
              <w:rPr>
                <w:rFonts w:ascii="Times New Roman" w:cs="Times New Roman" w:eastAsia="Times New Roman" w:hAnsi="Times New Roman"/>
                <w:sz w:val="24"/>
                <w:szCs w:val="24"/>
                <w:color w:val="auto"/>
                <w:vertAlign w:val="superscript"/>
              </w:rPr>
              <w:t>(i)</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849</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1,022</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Willis Towers Watson</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$262 million for the year ended December 31, 2023.</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4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income/margin</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income before taxes</w:t>
            </w: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Free cash flow/margin</w:t>
            </w:r>
          </w:p>
        </w:tc>
      </w:tr>
    </w:tbl>
    <w:p>
      <w:pPr>
        <w:spacing w:after="0" w:line="18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10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These items include the following:</w:t>
      </w:r>
    </w:p>
    <w:p>
      <w:pPr>
        <w:spacing w:after="0" w:line="109" w:lineRule="exact"/>
        <w:rPr>
          <w:sz w:val="20"/>
          <w:szCs w:val="20"/>
          <w:color w:val="auto"/>
        </w:rPr>
      </w:pPr>
    </w:p>
    <w:p>
      <w:pPr>
        <w:ind w:left="760" w:right="14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loss from discontinued operations, net of tax – Adjustment to remove the after-tax income or loss from discontinued operations and the after-tax gain attributable to the divestiture of our Willis Re business.</w:t>
      </w:r>
    </w:p>
    <w:p>
      <w:pPr>
        <w:spacing w:after="0" w:line="108" w:lineRule="exact"/>
        <w:rPr>
          <w:rFonts w:ascii="Times New Roman" w:cs="Times New Roman" w:eastAsia="Times New Roman" w:hAnsi="Times New Roman"/>
          <w:sz w:val="18"/>
          <w:szCs w:val="18"/>
          <w:color w:val="auto"/>
        </w:rPr>
      </w:pPr>
    </w:p>
    <w:p>
      <w:pPr>
        <w:jc w:val="both"/>
        <w:ind w:left="760" w:right="220" w:hanging="378"/>
        <w:spacing w:after="0" w:line="26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1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 Adjustment to remove the impairment related to the net assets of our Russian business that are held outside of our Russian entities.</w:t>
      </w:r>
    </w:p>
    <w:p>
      <w:pPr>
        <w:spacing w:after="0" w:line="170"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108"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and curtailment gains and losses – Adjustment to remove significant pension settlement and curtailment gains and losses to better present how the Company is performing.</w:t>
      </w:r>
    </w:p>
    <w:p>
      <w:pPr>
        <w:spacing w:after="0" w:line="108" w:lineRule="exact"/>
        <w:rPr>
          <w:rFonts w:ascii="Times New Roman" w:cs="Times New Roman" w:eastAsia="Times New Roman" w:hAnsi="Times New Roman"/>
          <w:sz w:val="18"/>
          <w:szCs w:val="18"/>
          <w:color w:val="auto"/>
        </w:rPr>
      </w:pPr>
    </w:p>
    <w:p>
      <w:pPr>
        <w:ind w:left="760" w:right="62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significant litigation – We will include provisions for litigation matters which we believe are not representative of our core business operations. These amounts are presented net of insurance and other recovery receivables.</w:t>
      </w:r>
    </w:p>
    <w:p>
      <w:pPr>
        <w:spacing w:after="0" w:line="108"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statutory rate changes – Relates to the incremental tax expense or benefit from significant statutory income tax rate changes enacted in material jurisdictions in which we operate.</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the Coronavirus Aid, Relief, and Economic Security (‘CARES’) Act – Relates to the incremental tax expense or benefit, primarily from the BEAT, generated from electing or changing elections of certain income tax provisions available under the CARES Act.</w:t>
      </w:r>
    </w:p>
    <w:p>
      <w:pPr>
        <w:spacing w:after="0" w:line="108" w:lineRule="exact"/>
        <w:rPr>
          <w:rFonts w:ascii="Times New Roman" w:cs="Times New Roman" w:eastAsia="Times New Roman" w:hAnsi="Times New Roman"/>
          <w:sz w:val="18"/>
          <w:szCs w:val="18"/>
          <w:color w:val="auto"/>
        </w:rPr>
      </w:pPr>
    </w:p>
    <w:p>
      <w:pPr>
        <w:ind w:left="760" w:right="26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internal reorganizations – Relates to the U.S. income tax expense resulting from the completion of internal reorganizations of the ownership of certain businesses that reduced the investments held by our U.S.-controlled subsidiaries.</w:t>
      </w:r>
    </w:p>
    <w:p>
      <w:pPr>
        <w:spacing w:after="0" w:line="10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83" w:lineRule="exact"/>
        <w:rPr>
          <w:sz w:val="20"/>
          <w:szCs w:val="20"/>
          <w:color w:val="auto"/>
        </w:rPr>
      </w:pPr>
    </w:p>
    <w:p>
      <w:pPr>
        <w:ind w:left="760" w:right="20" w:hanging="378"/>
        <w:spacing w:after="0" w:line="25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131"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(Continuing Operations)’ section within this Form 10-K. These measures are also reported by segment in the ‘Segment Revenue’ section within this Form 10-K.</w:t>
      </w:r>
    </w:p>
    <w:p>
      <w:pPr>
        <w:spacing w:after="0" w:line="12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 reconciliation of the reported change to the constant currency and organic change for the year ended December 31, 2023 from the year ended December 31, 2022 is as follows. The components of revenue change may not add due to rounding.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in</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9,483</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8,866</w:t>
            </w:r>
          </w:p>
        </w:tc>
        <w:tc>
          <w:tcPr>
            <w:tcW w:w="120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0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0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-24765</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-7620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-24765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-7620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our as-reported revenue increased by 7%, and our organic revenue increased by 8%. The increases in both as-reported and organic revenue were driven by strong performances in both segments as well as the recognition of higher interest income that is not allocated to the segments.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impairment,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years ended December 31, 2023 and 2022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0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169"/>
        </w:trPr>
        <w:tc>
          <w:tcPr>
            <w:tcW w:w="7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 in</w:t>
            </w:r>
          </w:p>
        </w:tc>
        <w:tc>
          <w:tcPr>
            <w:tcW w:w="920" w:type="dxa"/>
            <w:vAlign w:val="bottom"/>
            <w:gridSpan w:val="2"/>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1,365</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1,178</w:t>
            </w:r>
          </w:p>
        </w:tc>
        <w:tc>
          <w:tcPr>
            <w:tcW w:w="60" w:type="dxa"/>
            <w:vAlign w:val="bottom"/>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21"/>
                <w:szCs w:val="2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21"/>
                <w:szCs w:val="21"/>
                <w:color w:val="auto"/>
              </w:rPr>
            </w:pPr>
          </w:p>
        </w:tc>
      </w:tr>
      <w:tr>
        <w:trPr>
          <w:trHeight w:val="243"/>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21"/>
                <w:szCs w:val="21"/>
                <w:color w:val="auto"/>
              </w:rPr>
            </w:pPr>
          </w:p>
        </w:tc>
      </w:tr>
      <w:tr>
        <w:trPr>
          <w:trHeight w:val="276"/>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2,082</w:t>
            </w:r>
          </w:p>
        </w:tc>
        <w:tc>
          <w:tcPr>
            <w:tcW w:w="1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1,851</w:t>
            </w:r>
          </w:p>
        </w:tc>
        <w:tc>
          <w:tcPr>
            <w:tcW w:w="60" w:type="dxa"/>
            <w:vAlign w:val="bottom"/>
          </w:tcPr>
          <w:p>
            <w:pPr>
              <w:spacing w:after="0"/>
              <w:rPr>
                <w:sz w:val="24"/>
                <w:szCs w:val="24"/>
                <w:color w:val="auto"/>
              </w:rPr>
            </w:pP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1160" w:type="dxa"/>
            <w:vAlign w:val="bottom"/>
          </w:tcPr>
          <w:p>
            <w:pPr>
              <w:spacing w:after="0"/>
              <w:rPr>
                <w:sz w:val="18"/>
                <w:szCs w:val="18"/>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14.4 %</w:t>
            </w:r>
          </w:p>
        </w:tc>
        <w:tc>
          <w:tcPr>
            <w:tcW w:w="7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1160" w:type="dxa"/>
            <w:vAlign w:val="bottom"/>
          </w:tcPr>
          <w:p>
            <w:pPr>
              <w:spacing w:after="0"/>
              <w:rPr>
                <w:sz w:val="20"/>
                <w:szCs w:val="20"/>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22.0 %</w:t>
            </w:r>
          </w:p>
        </w:tc>
        <w:tc>
          <w:tcPr>
            <w:tcW w:w="7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-324485</wp:posOffset>
            </wp:positionV>
            <wp:extent cx="1111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-307340</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1"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Adjusted operating income increased for the year ended December 31, 2023 to $2.1 billion, from $1.9 billion for the year ended December 31, 2022. This increase resulted primarily from higher revenue, partially offset by higher salary expense and incentive and benefit costs, higher professional service and marketing-related expenses and increased travel and entertainment costs in the current year as compared to the prior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Adjusted EBITDA is defined as net income adjusted for income or loss from discontinued operations, net of tax, provision for income taxes, interest expense, impairment, depreciation and amortization, restructuring costs, transaction and transformation,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years ended December 31, 2023 and 2022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0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169"/>
        </w:trPr>
        <w:tc>
          <w:tcPr>
            <w:tcW w:w="7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in</w:t>
            </w:r>
          </w:p>
        </w:tc>
        <w:tc>
          <w:tcPr>
            <w:tcW w:w="920" w:type="dxa"/>
            <w:vAlign w:val="bottom"/>
            <w:gridSpan w:val="2"/>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1,064</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1,024</w:t>
            </w:r>
          </w:p>
        </w:tc>
        <w:tc>
          <w:tcPr>
            <w:tcW w:w="60" w:type="dxa"/>
            <w:vAlign w:val="bottom"/>
          </w:tcPr>
          <w:p>
            <w:pPr>
              <w:spacing w:after="0"/>
              <w:rPr>
                <w:sz w:val="21"/>
                <w:szCs w:val="2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160" w:type="dxa"/>
            <w:vAlign w:val="bottom"/>
          </w:tcPr>
          <w:p>
            <w:pPr>
              <w:spacing w:after="0"/>
              <w:rPr>
                <w:sz w:val="20"/>
                <w:szCs w:val="20"/>
                <w:color w:val="auto"/>
              </w:rPr>
            </w:pPr>
          </w:p>
        </w:tc>
        <w:tc>
          <w:tcPr>
            <w:tcW w:w="10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21"/>
                <w:szCs w:val="2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21"/>
                <w:szCs w:val="2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16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1"/>
                <w:szCs w:val="2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6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21"/>
                <w:szCs w:val="21"/>
                <w:color w:val="auto"/>
              </w:rPr>
            </w:pPr>
          </w:p>
        </w:tc>
      </w:tr>
      <w:tr>
        <w:trPr>
          <w:trHeight w:val="243"/>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tcPr>
          <w:p>
            <w:pPr>
              <w:spacing w:after="0"/>
              <w:rPr>
                <w:sz w:val="21"/>
                <w:szCs w:val="21"/>
                <w:color w:val="auto"/>
              </w:rPr>
            </w:pPr>
          </w:p>
        </w:tc>
      </w:tr>
      <w:tr>
        <w:trPr>
          <w:trHeight w:val="276"/>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2,430</w:t>
            </w:r>
          </w:p>
        </w:tc>
        <w:tc>
          <w:tcPr>
            <w:tcW w:w="1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2,387</w:t>
            </w:r>
          </w:p>
        </w:tc>
        <w:tc>
          <w:tcPr>
            <w:tcW w:w="60" w:type="dxa"/>
            <w:vAlign w:val="bottom"/>
          </w:tcPr>
          <w:p>
            <w:pPr>
              <w:spacing w:after="0"/>
              <w:rPr>
                <w:sz w:val="24"/>
                <w:szCs w:val="24"/>
                <w:color w:val="auto"/>
              </w:rPr>
            </w:pP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160" w:type="dxa"/>
            <w:vAlign w:val="bottom"/>
          </w:tcPr>
          <w:p>
            <w:pPr>
              <w:spacing w:after="0"/>
              <w:rPr>
                <w:sz w:val="18"/>
                <w:szCs w:val="18"/>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11.2 %</w:t>
            </w:r>
          </w:p>
        </w:tc>
        <w:tc>
          <w:tcPr>
            <w:tcW w:w="7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60" w:type="dxa"/>
            <w:vAlign w:val="bottom"/>
          </w:tcPr>
          <w:p>
            <w:pPr>
              <w:spacing w:after="0"/>
              <w:rPr>
                <w:sz w:val="20"/>
                <w:szCs w:val="20"/>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25.6 %</w:t>
            </w:r>
          </w:p>
        </w:tc>
        <w:tc>
          <w:tcPr>
            <w:tcW w:w="7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-324485</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-307340</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Adjusted EBITDA for both the years ended December 31, 2023 and 2022 was $2.4 billion, an increase of $43 million. This increase was due primarily to higher revenue, partially offset by higher salary expense and incentive and benefit costs, lower pension income, higher professional service and marketing-related expenses and increased travel and entertainment costs in the current year as compared to the prior year.</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3" w:right="2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income or loss from discontinued operations, net of tax, impairment, amortization, restructuring costs, transaction and transformation, gains and losses on disposals of operations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2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years ended December 31, 2023 and 2022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Borders>
              <w:bottom w:val="single" w:sz="8" w:color="auto"/>
            </w:tcBorders>
          </w:tcPr>
          <w:p>
            <w:pPr>
              <w:spacing w:after="0"/>
              <w:rPr>
                <w:sz w:val="16"/>
                <w:szCs w:val="16"/>
                <w:color w:val="auto"/>
              </w:rPr>
            </w:pPr>
          </w:p>
        </w:tc>
      </w:tr>
      <w:tr>
        <w:trPr>
          <w:trHeight w:val="169"/>
        </w:trPr>
        <w:tc>
          <w:tcPr>
            <w:tcW w:w="70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r>
      <w:tr>
        <w:trPr>
          <w:trHeight w:val="169"/>
        </w:trPr>
        <w:tc>
          <w:tcPr>
            <w:tcW w:w="7040" w:type="dxa"/>
            <w:vAlign w:val="bottom"/>
          </w:tcPr>
          <w:p>
            <w:pPr>
              <w:spacing w:after="0"/>
              <w:rPr>
                <w:sz w:val="14"/>
                <w:szCs w:val="14"/>
                <w:color w:val="auto"/>
              </w:rPr>
            </w:pPr>
          </w:p>
        </w:tc>
        <w:tc>
          <w:tcPr>
            <w:tcW w:w="352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and weighted-average shares in millions)</w:t>
            </w:r>
          </w:p>
        </w:tc>
        <w:tc>
          <w:tcPr>
            <w:tcW w:w="680" w:type="dxa"/>
            <w:vAlign w:val="bottom"/>
          </w:tcPr>
          <w:p>
            <w:pPr>
              <w:spacing w:after="0"/>
              <w:rPr>
                <w:sz w:val="14"/>
                <w:szCs w:val="14"/>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16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1,055</w:t>
            </w:r>
          </w:p>
        </w:tc>
        <w:tc>
          <w:tcPr>
            <w:tcW w:w="150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1,009</w:t>
            </w: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7"/>
        </w:trPr>
        <w:tc>
          <w:tcPr>
            <w:tcW w:w="704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the CARES Act</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7"/>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effect of internal reorganizations</w:t>
            </w:r>
          </w:p>
        </w:tc>
        <w:tc>
          <w:tcPr>
            <w:tcW w:w="1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2"/>
        </w:trPr>
        <w:tc>
          <w:tcPr>
            <w:tcW w:w="7040" w:type="dxa"/>
            <w:vAlign w:val="bottom"/>
          </w:tcPr>
          <w:p>
            <w:pPr>
              <w:spacing w:after="0"/>
              <w:rPr>
                <w:sz w:val="20"/>
                <w:szCs w:val="20"/>
                <w:color w:val="auto"/>
              </w:rPr>
            </w:pPr>
          </w:p>
        </w:tc>
        <w:tc>
          <w:tcPr>
            <w:tcW w:w="11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1,536</w:t>
            </w:r>
          </w:p>
        </w:tc>
        <w:tc>
          <w:tcPr>
            <w:tcW w:w="1500" w:type="dxa"/>
            <w:vAlign w:val="bottom"/>
            <w:gridSpan w:val="2"/>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r>
      <w:tr>
        <w:trPr>
          <w:trHeight w:val="20"/>
        </w:trPr>
        <w:tc>
          <w:tcPr>
            <w:tcW w:w="70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9.95</w:t>
            </w:r>
          </w:p>
        </w:tc>
        <w:tc>
          <w:tcPr>
            <w:tcW w:w="1500" w:type="dxa"/>
            <w:vAlign w:val="bottom"/>
            <w:gridSpan w:val="2"/>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r>
      <w:tr>
        <w:trPr>
          <w:trHeight w:val="247"/>
        </w:trPr>
        <w:tc>
          <w:tcPr>
            <w:tcW w:w="70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w:t>
            </w:r>
            <w:r>
              <w:rPr>
                <w:rFonts w:ascii="Times New Roman" w:cs="Times New Roman" w:eastAsia="Times New Roman" w:hAnsi="Times New Roman"/>
                <w:sz w:val="18"/>
                <w:szCs w:val="18"/>
                <w:color w:val="auto"/>
              </w:rPr>
              <w:t>:</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0.64</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43"/>
        </w:trPr>
        <w:tc>
          <w:tcPr>
            <w:tcW w:w="70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43"/>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effect of the CARES Act</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(0.21 )</w:t>
            </w:r>
          </w:p>
        </w:tc>
      </w:tr>
      <w:tr>
        <w:trPr>
          <w:trHeight w:val="243"/>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internal reorganizations</w:t>
            </w:r>
          </w:p>
        </w:tc>
        <w:tc>
          <w:tcPr>
            <w:tcW w:w="1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r>
      <w:tr>
        <w:trPr>
          <w:trHeight w:val="276"/>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16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14.49</w:t>
            </w:r>
          </w:p>
        </w:tc>
        <w:tc>
          <w:tcPr>
            <w:tcW w:w="1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-2225675</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1111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5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Our adjusted diluted earnings per share increased for the year ended December 31, 2023 as compared to the year ended December 31, 2022 primarily due to a lower weighted-average outstanding share count attributable to our share repurchase activity in the current year and higher revenue, partially offset by higher salary expense and incentive and benefit costs, lower pension income, higher professional service and marketing-related expenses and increased travel and entertainment costs in the current year as compared to the prior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Adjusted income before taxes is defined as income from operations before income taxes adjusted for impairment, amortization, restructuring costs, transaction and transformation,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63" w:name="page64"/>
    <w:bookmarkEnd w:id="63"/>
    <w:p>
      <w:pPr>
        <w:ind w:right="140"/>
        <w:spacing w:after="0" w:line="260"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impairment, amortization, restructuring costs, transaction and transformation, gains and losses on disposals of operations, the tax effects of internal reorganizations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2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10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Reconciliations of income from continuing operations before income taxes to adjusted income before taxes and provision for income taxes to adjusted income taxes for the years ended December 31, 2023 and 2022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0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169"/>
        </w:trPr>
        <w:tc>
          <w:tcPr>
            <w:tcW w:w="7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in</w:t>
            </w:r>
          </w:p>
        </w:tc>
        <w:tc>
          <w:tcPr>
            <w:tcW w:w="920" w:type="dxa"/>
            <w:vAlign w:val="bottom"/>
            <w:gridSpan w:val="2"/>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w:t>
            </w: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7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16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1,279</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1,258</w:t>
            </w:r>
          </w:p>
        </w:tc>
        <w:tc>
          <w:tcPr>
            <w:tcW w:w="60" w:type="dxa"/>
            <w:vAlign w:val="bottom"/>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21"/>
                <w:szCs w:val="2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21"/>
                <w:szCs w:val="2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20"/>
                <w:szCs w:val="20"/>
                <w:color w:val="auto"/>
              </w:rPr>
            </w:pPr>
          </w:p>
        </w:tc>
      </w:tr>
      <w:tr>
        <w:trPr>
          <w:trHeight w:val="247"/>
        </w:trPr>
        <w:tc>
          <w:tcPr>
            <w:tcW w:w="7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1,953</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1,924</w:t>
            </w:r>
          </w:p>
        </w:tc>
        <w:tc>
          <w:tcPr>
            <w:tcW w:w="6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0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20"/>
                <w:szCs w:val="20"/>
                <w:color w:val="auto"/>
              </w:rPr>
            </w:pPr>
          </w:p>
        </w:tc>
        <w:tc>
          <w:tcPr>
            <w:tcW w:w="7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21"/>
                <w:szCs w:val="21"/>
                <w:color w:val="auto"/>
              </w:rPr>
            </w:pP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the CARES Act</w:t>
            </w:r>
          </w:p>
        </w:tc>
        <w:tc>
          <w:tcPr>
            <w:tcW w:w="1160" w:type="dxa"/>
            <w:vAlign w:val="bottom"/>
          </w:tcPr>
          <w:p>
            <w:pPr>
              <w:spacing w:after="0"/>
              <w:rPr>
                <w:sz w:val="20"/>
                <w:szCs w:val="20"/>
                <w:color w:val="auto"/>
              </w:rPr>
            </w:pPr>
          </w:p>
        </w:tc>
        <w:tc>
          <w:tcPr>
            <w:tcW w:w="10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0"/>
                <w:szCs w:val="20"/>
                <w:color w:val="auto"/>
              </w:rPr>
            </w:pPr>
          </w:p>
        </w:tc>
      </w:tr>
      <w:tr>
        <w:trPr>
          <w:trHeight w:val="247"/>
        </w:trPr>
        <w:tc>
          <w:tcPr>
            <w:tcW w:w="7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effect of internal reorganizations</w:t>
            </w:r>
          </w:p>
        </w:tc>
        <w:tc>
          <w:tcPr>
            <w:tcW w:w="1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taxes</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0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GAAP tax rate</w:t>
            </w:r>
          </w:p>
        </w:tc>
        <w:tc>
          <w:tcPr>
            <w:tcW w:w="1160" w:type="dxa"/>
            <w:vAlign w:val="bottom"/>
          </w:tcPr>
          <w:p>
            <w:pPr>
              <w:spacing w:after="0"/>
              <w:rPr>
                <w:sz w:val="20"/>
                <w:szCs w:val="20"/>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16.8 %</w:t>
            </w:r>
          </w:p>
        </w:tc>
        <w:tc>
          <w:tcPr>
            <w:tcW w:w="7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38"/>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1160" w:type="dxa"/>
            <w:vAlign w:val="bottom"/>
          </w:tcPr>
          <w:p>
            <w:pPr>
              <w:spacing w:after="0"/>
              <w:rPr>
                <w:sz w:val="20"/>
                <w:szCs w:val="20"/>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20.9 %</w:t>
            </w:r>
          </w:p>
        </w:tc>
        <w:tc>
          <w:tcPr>
            <w:tcW w:w="7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-1600835</wp:posOffset>
            </wp:positionV>
            <wp:extent cx="1111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-641350</wp:posOffset>
            </wp:positionV>
            <wp:extent cx="1111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4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tax effect was calculated using an effective tax rate for each item.</w:t>
      </w:r>
    </w:p>
    <w:p>
      <w:pPr>
        <w:spacing w:after="0" w:line="1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U.S. GAAP tax rates were 16.8% and 15.4% for the years ended December 31, 2023 and 2022, respectively. The current year U.S. GAAP tax rate includes a $20 million deferred tax benefit related to changes in state apportionment and a $10 million deferred tax benefit related to the remeasurement of deferred tax assets and liabilities associated with the enactment of the Bermuda corporate income tax law. The prior year U.S. GAAP tax rate includes a $34 million tax benefit associated with amending the Company’s U.S. federal income tax returns for tax years 2019 and 2020, primarily related to the reduction of the BEAT, and a $22 million income tax benefit associated with foreign exchange remeasurement on income tax account balances.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adjusted income tax rates were 20.9% for both years ended December 31, 2023 and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Flow/Margin</w:t>
      </w:r>
    </w:p>
    <w:p>
      <w:pPr>
        <w:spacing w:after="0" w:line="17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 Free cash flow margin, which we include on an annual basis as seasonal fluctuations in our revenue render it not meaningful during interim periods, is calculated by dividing free cash flow by revenue.</w:t>
      </w:r>
    </w:p>
    <w:p>
      <w:pPr>
        <w:spacing w:after="0" w:line="10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Management believes that free cash flow and free cash flow margin present the core operating performance and cash generating capabilities of our business operations.</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3" w:right="2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years ended December 31, 2023 and 2022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60" w:type="dxa"/>
            <w:vAlign w:val="bottom"/>
            <w:shd w:val="clear" w:color="auto" w:fill="CFF0FC"/>
          </w:tcPr>
          <w:p>
            <w:pPr>
              <w:jc w:val="right"/>
              <w:ind w:right="8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60" w:type="dxa"/>
            <w:vAlign w:val="bottom"/>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Additions to fixed assets and software for internal use</w:t>
            </w: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60" w:type="dxa"/>
            <w:vAlign w:val="bottom"/>
          </w:tcPr>
          <w:p>
            <w:pPr>
              <w:spacing w:after="0"/>
              <w:rPr>
                <w:sz w:val="21"/>
                <w:szCs w:val="2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60" w:type="dxa"/>
            <w:vAlign w:val="bottom"/>
            <w:tcBorders>
              <w:bottom w:val="single" w:sz="8" w:color="auto"/>
            </w:tcBorders>
            <w:shd w:val="clear" w:color="auto" w:fill="CFF0FC"/>
          </w:tcPr>
          <w:p>
            <w:pPr>
              <w:jc w:val="right"/>
              <w:ind w:right="8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1,192</w:t>
            </w:r>
          </w:p>
        </w:tc>
        <w:tc>
          <w:tcPr>
            <w:tcW w:w="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60" w:type="dxa"/>
            <w:vAlign w:val="bottom"/>
          </w:tcPr>
          <w:p>
            <w:pPr>
              <w:spacing w:after="0"/>
              <w:rPr>
                <w:sz w:val="24"/>
                <w:szCs w:val="24"/>
                <w:color w:val="auto"/>
              </w:rPr>
            </w:pPr>
          </w:p>
        </w:tc>
      </w:tr>
      <w:tr>
        <w:trPr>
          <w:trHeight w:val="21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9,483</w:t>
            </w:r>
          </w:p>
        </w:tc>
        <w:tc>
          <w:tcPr>
            <w:tcW w:w="180" w:type="dxa"/>
            <w:vAlign w:val="bottom"/>
          </w:tcPr>
          <w:p>
            <w:pPr>
              <w:spacing w:after="0"/>
              <w:rPr>
                <w:sz w:val="18"/>
                <w:szCs w:val="18"/>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8,866</w:t>
            </w:r>
          </w:p>
        </w:tc>
        <w:tc>
          <w:tcPr>
            <w:tcW w:w="60" w:type="dxa"/>
            <w:vAlign w:val="bottom"/>
          </w:tcPr>
          <w:p>
            <w:pPr>
              <w:spacing w:after="0"/>
              <w:rPr>
                <w:sz w:val="18"/>
                <w:szCs w:val="18"/>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margin</w:t>
            </w:r>
          </w:p>
        </w:tc>
        <w:tc>
          <w:tcPr>
            <w:tcW w:w="10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12.6 %</w:t>
            </w:r>
          </w:p>
        </w:tc>
        <w:tc>
          <w:tcPr>
            <w:tcW w:w="10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-324485</wp:posOffset>
            </wp:positionV>
            <wp:extent cx="120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-307340</wp:posOffset>
            </wp:positionV>
            <wp:extent cx="120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3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favorable movement in free cash flow and free cash flow margin during the current-year period was primarily due to operating margin improvement and the non-recurrence of prior-year headwinds, including realized losses on foreign currency hedges, payments made in the prior year for certain discretionary compensation and taxes for one-time gains recognized in connection with the Willis Re divestiture and the 2021 income receipt related to the Aon transaction termination. These tailwinds were partially offset by increased Transformation program-related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conform to U.S. GAAP, which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Our estimates, judgments and assumptions are continually evaluated based on available information and experience. Because of the use of estimates inherent in the financial reporting process, actual results could differ from those estimates. The areas that we believe include critical accounting estimates are revenue recognition, costs to fulfill under our broking contracts, valuation of billed and unbilled receivables from clients, income taxes, commitments, contingencies and accrued liabilities, pension assumptions, and goodwill and intangible assets. The critical accounting estimates discussed below involve making difficult, subjective or complex accounting estimates that could have a material effect on our financial condition and results of operations. These critical accounting estimates require us to make assumptions about matters that are highly uncertain at the time of the estimate or assumption. Different estimates that we could have used, or changes in estimates that are reasonably likely to occur, may have a material effect on our results of operations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use significant estimates related to revenue recognition most commonly during our estimation of the transaction prices or where we recognize revenue over time on a proportional performance basis. A brief description of these policies and estimates is included below:</w:t>
      </w:r>
    </w:p>
    <w:p>
      <w:pPr>
        <w:spacing w:after="0" w:line="10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Estimation of transaction prices </w:t>
      </w:r>
      <w:r>
        <w:rPr>
          <w:rFonts w:ascii="Times New Roman" w:cs="Times New Roman" w:eastAsia="Times New Roman" w:hAnsi="Times New Roman"/>
          <w:sz w:val="18"/>
          <w:szCs w:val="18"/>
          <w:color w:val="auto"/>
        </w:rPr>
        <w:t>— This process occurs most frequently in certain broking transactions. In situations in which our fees are not fixed but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variable, we must estimate the likely commission per policy, taking into account the likelihood of cancellation before the end of the policy. For Medicare broking and Affinity arrangements, the commissions to which we will be entitled can vary based on the underlying individual insurance policies that are placed. For Medicare broking in particular, we base the estimates of transaction prices on supportable evidence from an analysis of past transactions, and only include amounts that are probable of being received or not refunded (referred to as applying ‘constraint’ under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In our direct-to-consumer Medicare broking arrangements, the estimate of the total renewal commissions that will be received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lifetime of the policy requires significant judgment, and will vary based on product type, estimated commission rates, the expected lives of the respective policies and other factors. The Company has applied an actuarial model to account for these uncertainties, which is updated periodically based on actual experience. Each of these processes result in us estimating a transaction price that may be significantly lower than the ultimate amount of commissions we may collect. The transaction price is then adjusted over time as we receive confirmation of our remuneration through receipt of commissions, or as other information becomes available.</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Proportional performance basis over time recognition </w:t>
      </w:r>
      <w:r>
        <w:rPr>
          <w:rFonts w:ascii="Times New Roman" w:cs="Times New Roman" w:eastAsia="Times New Roman" w:hAnsi="Times New Roman"/>
          <w:sz w:val="18"/>
          <w:szCs w:val="18"/>
          <w:color w:val="auto"/>
        </w:rPr>
        <w:t>— Where we recognize revenue on a proportional performance basis, primarily in our consulting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outsourced administration arrangements,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stages of project completion that, in turn, affect how we recognize revenue. We recognize a loss on an engagement when estimated revenue to be received for that engagement is less than the total estimated costs associated with the engagement. Losses are recognized in the period in which the loss becomes probable and the amount of the loss is reasonably estimable.</w:t>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3" w:right="2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Fulfill —Broking Contracts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our broking business, the Company must estimate the fulfillment costs incurred during the pre-placement of the broking contracts. These judgments include the following:</w:t>
      </w:r>
    </w:p>
    <w:p>
      <w:pPr>
        <w:spacing w:after="0" w:line="55"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activities in the pre-placement process should be eligible for capitalization;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and effort expended on those pre-placement activities;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payroll and related costs eligible for capitalization;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or quarterly timing of underlying insurance and reinsurance policy inception 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Billed and Unbilled Receivables from Clients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maintain allowances for doubtful accounts to reflect estimated losses resulting from a client’s failure to pay for the services after the services have been rendered, which are recorded in other operating expenses. We also maintain allowances related to our unbilled receivables for such items as expected realization or client disputes, the related provision for which is recorded as a reduction to revenue. Our allowance policy is based in part on the aging of the billed and unbilled client receivables and has been developed based on our write-off history. However, facts and circumstances, such as the average length of time the receivables are past due, general market conditions at the time we perform the work, current economic trends and our clients’ ability to pay, may cause fluctuations in our valuation of billed and unbilled receivables.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estimated future tax consequences of events attributable to differences 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for continuing operations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Accrued Liabilities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established provisions against various actual and potential claims, lawsuits and other proceedings relating principally to alleged errors and omissions in connection with the placement of insurance and reinsurance and the provision of consulting services in the ordinary course of business. Such provisions cover claims that have been reported but not paid and also claims that have been incurred but not reported. These provisions are established based on actuarial estimates together with individual case reviews and are believed to be adequate in the light of current information and legal advice. In certain cases, where a range of loss exists, we accrue the minimum amount in the range if no amount within the range is a better estimate than any other amount.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Commitments and Contingencies in Item 8 within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Assumptions</w:t>
      </w:r>
    </w:p>
    <w:p>
      <w:pPr>
        <w:spacing w:after="0" w:line="17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We maintain defined benefit pension plans for employees in several countries, with the most significant defined benefit plans offered in the U.S. and U.K. Our disclosures in Note 13 — Retirement Benefits contain additional information about our other less significant but material retirement plans. Within our critical accounting policy discussion, we have excluded analysis for plans outside of those noted in the description below, as any variance of recorded information based on management’s estimates would be immaterial.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Descriptions of our U.S. and U.K. plans, which comprise 88% of our projected benefit obligations and 91% of our plan assets, are below:</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3" w:lineRule="exact"/>
        <w:rPr>
          <w:sz w:val="20"/>
          <w:szCs w:val="20"/>
          <w:color w:val="auto"/>
        </w:rPr>
      </w:pPr>
    </w:p>
    <w:p>
      <w:pPr>
        <w:ind w:left="760" w:right="20"/>
        <w:spacing w:after="0" w:line="281"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was frozen in 2009. Approximately 600 WTW employees in the United States have a frozen accrued benefit under this plan.</w:t>
      </w:r>
    </w:p>
    <w:p>
      <w:pPr>
        <w:spacing w:after="0" w:line="109"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WTW Plan</w:t>
      </w:r>
      <w:r>
        <w:rPr>
          <w:rFonts w:ascii="Times New Roman" w:cs="Times New Roman" w:eastAsia="Times New Roman" w:hAnsi="Times New Roman"/>
          <w:sz w:val="18"/>
          <w:szCs w:val="18"/>
          <w:color w:val="auto"/>
        </w:rPr>
        <w:t xml:space="preserve">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are required to contribute 2% of pay on an after-tax basis to participate in the plan. Effective January 1, 2024, stable value benefits are earned under the same contributory formula for all eligible colleagues. To participate, participants are required to contribute 2% of eligible earnings (base salary only) on an after-tax basis.</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3" w:lineRule="exact"/>
        <w:rPr>
          <w:sz w:val="20"/>
          <w:szCs w:val="20"/>
          <w:color w:val="auto"/>
        </w:rPr>
      </w:pPr>
    </w:p>
    <w:p>
      <w:pPr>
        <w:ind w:left="760"/>
        <w:spacing w:after="0" w:line="281"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covers approximately 400 WTW employees in the U.K. The plan is now closed to new entrants. New employees in the U.K. are offered the opportunity to join a defined contribution plan.</w:t>
      </w:r>
    </w:p>
    <w:p>
      <w:pPr>
        <w:spacing w:after="0" w:line="109" w:lineRule="exact"/>
        <w:rPr>
          <w:sz w:val="20"/>
          <w:szCs w:val="20"/>
          <w:color w:val="auto"/>
        </w:rPr>
      </w:pPr>
    </w:p>
    <w:p>
      <w:pPr>
        <w:ind w:left="760" w:right="140"/>
        <w:spacing w:after="0" w:line="260" w:lineRule="auto"/>
        <w:rPr>
          <w:sz w:val="20"/>
          <w:szCs w:val="20"/>
          <w:color w:val="auto"/>
        </w:rPr>
      </w:pPr>
      <w:r>
        <w:rPr>
          <w:rFonts w:ascii="Times New Roman" w:cs="Times New Roman" w:eastAsia="Times New Roman" w:hAnsi="Times New Roman"/>
          <w:sz w:val="18"/>
          <w:szCs w:val="18"/>
          <w:u w:val="single" w:color="auto"/>
          <w:color w:val="auto"/>
        </w:rPr>
        <w:t>Legacy Towers Watson</w:t>
      </w:r>
      <w:r>
        <w:rPr>
          <w:rFonts w:ascii="Times New Roman" w:cs="Times New Roman" w:eastAsia="Times New Roman" w:hAnsi="Times New Roman"/>
          <w:sz w:val="18"/>
          <w:szCs w:val="18"/>
          <w:color w:val="auto"/>
        </w:rPr>
        <w:t xml:space="preserve">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 All participants now accrue defined contribution benefits.</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rates and other actuarial assumptions, are not recognized immediately in net income, but are instead recorded in other comprehensive income. The accumulated gains and losses not yet recognized in net income are amortized into net income as a component of the net periodic benefit cost/(income) over the average remaining service period or average remaining life expectancy, as appropriate, of the plan’s participants to the extent that the net gains or losses as of the beginning of the year exceed 10% of the greater of the market-related value of plan assets or the projected benefit obligation.</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WTW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cost and interest cost. The expected rate of return assumptions for all plans are supported by an analysis of the weighted-average yield expected to be achieved with the anticipated makeup of investments. We have allowed for actual and known inflation in preparing our estimates. Other material assumptions include rates of participant mortality, and the expected long-term rates of compensation and pension increases.</w:t>
      </w:r>
    </w:p>
    <w:p>
      <w:pPr>
        <w:spacing w:after="0" w:line="13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Funding is based on actuarially determined contributions and is limited to amounts that are currently deductible for tax purposes, or as agreed to with the plan trustees for the U.K. plans. Since funding calculations are based on different measurements than those used for accounting purposes, pension contributions are not equal to net periodic benefit cost.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67" w:name="page68"/>
    <w:bookmarkEnd w:id="67"/>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recorded a combined $39 million net periodic benefit income for our U.S. and U.K. plans for the year ended December 31, 2023. For the U.S. and U.K. plans, the following table presents our estimated net periodic benefit income for 2024 and the impact to both plans of a 0.25% increase and decrease to both the expected return on assets (‘EROA’) and the discount rate assumptions; and the projected benefit obligations as of December 31, 2023 and the impact of a 0.25% increase and decrease to the discount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Totals -</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Impact of 0.25% change to</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Impact of 0.25% change to</w:t>
            </w:r>
          </w:p>
        </w:tc>
      </w:tr>
      <w:tr>
        <w:trPr>
          <w:trHeight w:val="187"/>
        </w:trPr>
        <w:tc>
          <w:tcPr>
            <w:tcW w:w="402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current estimates</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EROA</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00" w:type="dxa"/>
            <w:vAlign w:val="bottom"/>
            <w:tcBorders>
              <w:bottom w:val="single" w:sz="8" w:color="auto"/>
            </w:tcBorders>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2024 (income)/expense:</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Plans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r>
      <w:tr>
        <w:trPr>
          <w:trHeight w:val="247"/>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U.K. Plans</w:t>
            </w: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December 31, 2023:</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7"/>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Plans</w:t>
            </w: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4,098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U.K. Plans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2,558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r>
    </w:tbl>
    <w:p>
      <w:pPr>
        <w:spacing w:after="0" w:line="152" w:lineRule="exact"/>
        <w:rPr>
          <w:sz w:val="20"/>
          <w:szCs w:val="20"/>
          <w:color w:val="auto"/>
        </w:rPr>
      </w:pPr>
    </w:p>
    <w:p>
      <w:pPr>
        <w:ind w:right="60"/>
        <w:spacing w:after="0" w:line="437" w:lineRule="auto"/>
        <w:rPr>
          <w:sz w:val="20"/>
          <w:szCs w:val="20"/>
          <w:color w:val="auto"/>
        </w:rPr>
      </w:pPr>
      <w:r>
        <w:rPr>
          <w:rFonts w:ascii="Times New Roman" w:cs="Times New Roman" w:eastAsia="Times New Roman" w:hAnsi="Times New Roman"/>
          <w:sz w:val="18"/>
          <w:szCs w:val="18"/>
          <w:color w:val="auto"/>
        </w:rPr>
        <w:t xml:space="preserve">Economic factors and conditions often affect multiple assumptions simultaneously, and the effects of changes in key assumptions are not necessarily linear. </w:t>
      </w:r>
      <w:r>
        <w:rPr>
          <w:rFonts w:ascii="Times New Roman" w:cs="Times New Roman" w:eastAsia="Times New Roman" w:hAnsi="Times New Roman"/>
          <w:sz w:val="18"/>
          <w:szCs w:val="18"/>
          <w:b w:val="1"/>
          <w:bCs w:val="1"/>
          <w:i w:val="1"/>
          <w:iCs w:val="1"/>
          <w:color w:val="auto"/>
        </w:rPr>
        <w:t>Goodwill and Intangible Assets — Impairment Review</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applying the acquisition method of accounting for business combinations, amounts 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arise. The fair value of the intangible assets is compared with their carrying value and an impairment loss would be recognized for the amount by which the carrying amount exceeds the fair value. Goodwill is tested for impairment annually as of October 1, and whenever indicators of impairment arise.</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Goodwill is tested at the reporting unit level, and the Company had seven reporting units as of October 1, 2023. During fiscal year 2023, the Company performed the impairment test for all reporting units which resulted in no impairments being identified. Six out of seven of our reporting units had estimated fair values that were significantly in excess of their carrying values. However, through this analysis, we determined that the reporting unit comprising our BDA business had a narrowed margin of excess fair value in 2023, driven primarily by reductions in market multiples for industry-specific competitors and an increase in the discount rate. This business had an excess fair value margin of 6.4% and holds $2.3 billion of goodwill at December 31, 2023. The Company continuously monitors and evaluates relevant events and circumstances that could unfavorably impact the significant assumptions noted above, including changes to the regulatory environment, general industry, market and macro-economic conditions and recent market valuations from transactions of comparable companies. It is possible that future changes in such circumstances, or in the inputs or assumptions used in estimating the fair value of the reporting unit, could require the Company to record a non-cash impairment charge.</w:t>
      </w:r>
    </w:p>
    <w:p>
      <w:pPr>
        <w:spacing w:after="0" w:line="13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To perform the test, we used valuation techniques to estimate the fair value of a reporting unit that are under the income and/or market approaches of valuation methods:</w:t>
      </w:r>
    </w:p>
    <w:p>
      <w:pPr>
        <w:spacing w:after="0" w:line="107" w:lineRule="exact"/>
        <w:rPr>
          <w:sz w:val="20"/>
          <w:szCs w:val="20"/>
          <w:color w:val="auto"/>
        </w:rPr>
      </w:pPr>
    </w:p>
    <w:p>
      <w:pPr>
        <w:ind w:left="760" w:right="80" w:hanging="378"/>
        <w:spacing w:after="0" w:line="26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Discounted cash flow method </w:t>
      </w:r>
      <w:r>
        <w:rPr>
          <w:rFonts w:ascii="Times New Roman" w:cs="Times New Roman" w:eastAsia="Times New Roman" w:hAnsi="Times New Roman"/>
          <w:sz w:val="18"/>
          <w:szCs w:val="18"/>
          <w:color w:val="auto"/>
        </w:rPr>
        <w:t>— Under the discounted cash flow method, an income approach, the business enterprise value is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discounting to present value the terminal value which is calculated using debt-free after-tax cash flows for a finite period of years. Key estimates in this approach were internal financial projection estimates prepared by management, assessment of business risk, and expected rates of return on capital.</w:t>
      </w:r>
    </w:p>
    <w:p>
      <w:pPr>
        <w:spacing w:after="0" w:line="122" w:lineRule="exact"/>
        <w:rPr>
          <w:rFonts w:ascii="Times New Roman" w:cs="Times New Roman" w:eastAsia="Times New Roman" w:hAnsi="Times New Roman"/>
          <w:sz w:val="18"/>
          <w:szCs w:val="18"/>
          <w:color w:val="auto"/>
        </w:rPr>
      </w:pPr>
    </w:p>
    <w:p>
      <w:pPr>
        <w:ind w:left="760" w:right="60" w:hanging="378"/>
        <w:spacing w:after="0" w:line="26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Guideline public company method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guideline public company method, a market approach, develops valuation multiples by comparing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units to similar publicly traded companies. Key estimates and determination of valuation multiples rely on the selection of similar companies, obtaining forecast revenue and EBITDA estimates for the similar companies and selection of valuation multiples as they apply to the reporting unit characteristics.</w:t>
      </w:r>
    </w:p>
    <w:p>
      <w:pPr>
        <w:spacing w:after="0" w:line="120" w:lineRule="exact"/>
        <w:rPr>
          <w:rFonts w:ascii="Times New Roman" w:cs="Times New Roman" w:eastAsia="Times New Roman" w:hAnsi="Times New Roman"/>
          <w:sz w:val="18"/>
          <w:szCs w:val="18"/>
          <w:color w:val="auto"/>
        </w:rPr>
      </w:pPr>
    </w:p>
    <w:p>
      <w:pPr>
        <w:ind w:left="760" w:right="140" w:hanging="378"/>
        <w:spacing w:after="0" w:line="26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Guideline transaction method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guideline transactions method, a market approach, actual transaction prices and operating data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deemed reasonably similar to the reporting units are used to develop valuation multiples as an indication of how much a knowledgeable investor in the marketplace would be willing to pay for the business units.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68" w:name="page69"/>
    <w:bookmarkEnd w:id="68"/>
    <w:p>
      <w:pPr>
        <w:ind w:right="3940"/>
        <w:spacing w:after="0" w:line="440"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Financial Risk Management</w:t>
      </w:r>
    </w:p>
    <w:p>
      <w:pPr>
        <w:ind w:right="220"/>
        <w:spacing w:after="0" w:line="281" w:lineRule="auto"/>
        <w:rPr>
          <w:sz w:val="20"/>
          <w:szCs w:val="20"/>
          <w:color w:val="auto"/>
        </w:rPr>
      </w:pPr>
      <w:r>
        <w:rPr>
          <w:rFonts w:ascii="Times New Roman" w:cs="Times New Roman" w:eastAsia="Times New Roman" w:hAnsi="Times New Roman"/>
          <w:sz w:val="18"/>
          <w:szCs w:val="18"/>
          <w:color w:val="auto"/>
        </w:rPr>
        <w:t>We are exposed to market risk from changes in foreign currency exchange rates. In order to manage the risk arising from these exposures, we enter into a variety of foreign currency derivatives. We do not hold financial or derivative instruments for trading purposes.</w:t>
      </w:r>
    </w:p>
    <w:p>
      <w:pPr>
        <w:spacing w:after="0" w:line="109" w:lineRule="exact"/>
        <w:rPr>
          <w:sz w:val="20"/>
          <w:szCs w:val="20"/>
          <w:color w:val="auto"/>
        </w:rPr>
      </w:pPr>
    </w:p>
    <w:p>
      <w:pPr>
        <w:jc w:val="both"/>
        <w:ind w:right="400"/>
        <w:spacing w:after="0" w:line="312" w:lineRule="auto"/>
        <w:rPr>
          <w:sz w:val="20"/>
          <w:szCs w:val="20"/>
          <w:color w:val="auto"/>
        </w:rPr>
      </w:pPr>
      <w:r>
        <w:rPr>
          <w:rFonts w:ascii="Times New Roman" w:cs="Times New Roman" w:eastAsia="Times New Roman" w:hAnsi="Times New Roman"/>
          <w:sz w:val="17"/>
          <w:szCs w:val="17"/>
          <w:color w:val="auto"/>
        </w:rPr>
        <w:t>A discussion of our accounting policies for financial and derivative instruments is included in Note 2 — Basis of Presentation, Significant Accounting Policies and Recent Accounting Pronouncements and Note 10 — Derivative Financial Instruments within Item 8 of this Annual Report on Form 10-K.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the large number of countries and currencies we operate in, movements in currency exchange rates may affect our results.</w:t>
      </w:r>
    </w:p>
    <w:p>
      <w:pPr>
        <w:spacing w:after="0" w:line="17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We report our operating results and financial condition in U.S. dollars. Our U.S. operations earn revenue and incur expenses primarily in U.S. dollars. Outside the U.S., we predominantly generate revenue and expenses in the local currency with the exception of our London market operations which earn revenue in several currencies but incur expenses predominantly in Pounds sterling.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gives an approximate analysis of revenue and expenses from continuing operations by currency in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Pounds</w:t>
            </w:r>
          </w:p>
        </w:tc>
        <w:tc>
          <w:tcPr>
            <w:tcW w:w="140" w:type="dxa"/>
            <w:vAlign w:val="bottom"/>
          </w:tcPr>
          <w:p>
            <w:pPr>
              <w:spacing w:after="0"/>
              <w:rPr>
                <w:sz w:val="13"/>
                <w:szCs w:val="13"/>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Euro</w:t>
            </w: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1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currencies</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4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11%</w:t>
            </w:r>
          </w:p>
        </w:tc>
        <w:tc>
          <w:tcPr>
            <w:tcW w:w="140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8"/>
                <w:szCs w:val="8"/>
                <w:color w:val="auto"/>
              </w:rPr>
              <w:t>(i)</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17%</w:t>
            </w: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9505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95" w:lineRule="exact"/>
        <w:rPr>
          <w:sz w:val="20"/>
          <w:szCs w:val="20"/>
          <w:color w:val="auto"/>
        </w:rPr>
      </w:pPr>
    </w:p>
    <w:p>
      <w:pPr>
        <w:ind w:left="280" w:right="100" w:hanging="272"/>
        <w:spacing w:after="0" w:line="258" w:lineRule="auto"/>
        <w:tabs>
          <w:tab w:leader="none" w:pos="2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exposures to foreign exchange risk arise from:</w:t>
      </w:r>
    </w:p>
    <w:p>
      <w:pPr>
        <w:spacing w:after="0" w:line="117"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London market operations;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lending between subsidiaries;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London market operations</w:t>
      </w:r>
    </w:p>
    <w:p>
      <w:pPr>
        <w:spacing w:after="0" w:line="1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Company’s primary foreign exchange risks in its London market operations arise from changes in the exchange rate between the U.S. dollar and Pound sterling as its London market operations earn the majority of its revenue in U.S. dollars but incur expenses predominantly in Pounds sterling and may also hold significant foreign currency asset or liability positions on its consolidated balance sheet. In addition, the London market operations earn significant revenue in Euro and Japanese yen.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foreign exchange risks in our London market operations are hedged to the extent that:</w:t>
      </w:r>
    </w:p>
    <w:p>
      <w:pPr>
        <w:spacing w:after="0" w:line="117" w:lineRule="exact"/>
        <w:rPr>
          <w:sz w:val="20"/>
          <w:szCs w:val="20"/>
          <w:color w:val="auto"/>
        </w:rPr>
      </w:pPr>
    </w:p>
    <w:p>
      <w:pPr>
        <w:ind w:left="760" w:right="20" w:hanging="378"/>
        <w:spacing w:after="0" w:line="260"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Pounds sterling expenses exceed Pounds sterling revenue, in which case the Company limits its exposure to this exchange rate risk by the use of forward and option contracts matched to a portion of the forecasted Pounds sterling outflows arising in the ordinary course of business. In addition, we are also exposed to foreign exchange risk on any net Pounds sterling asset or liability position in our London market operations; and</w:t>
      </w:r>
    </w:p>
    <w:p>
      <w:pPr>
        <w:spacing w:after="0" w:line="73" w:lineRule="exact"/>
        <w:rPr>
          <w:rFonts w:ascii="Times New Roman" w:cs="Times New Roman" w:eastAsia="Times New Roman" w:hAnsi="Times New Roman"/>
          <w:sz w:val="18"/>
          <w:szCs w:val="18"/>
          <w:color w:val="auto"/>
        </w:rPr>
      </w:pPr>
    </w:p>
    <w:p>
      <w:pPr>
        <w:jc w:val="both"/>
        <w:ind w:left="760" w:right="220" w:hanging="378"/>
        <w:spacing w:after="0" w:line="26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operations also earn significant revenue in Euro and Japanese yen. The Company limits its exposure to changes in the exchange rates between the U.S. dollar and these currencies by the use of foreign exchange contracts matched to a proportion of forecast cash inflows in these specific currencies and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Intercompany lending between subsidiaries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2023, we had notional amounts of $1.2 billion (denominated primarily in U.S. dollars, Pounds sterling and Euros), with a net asset fair value of $3 million. Such derivatives typically mature within three months.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Translation risk</w:t>
      </w:r>
    </w:p>
    <w:p>
      <w:pPr>
        <w:spacing w:after="0" w:line="17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Outside our U.S. and London market operations, we predominantly earn revenue and incur expenses in the local currency. When we translate the results and net assets of these operations into U.S. dollars for reporting purposes, movements in exchange rates will affect reported results and net assets. For example, if the U.S. dollar strengthens against the Euro, the reported results of our Eurozone operations in U.S. dollar terms will be lower.</w:t>
      </w:r>
    </w:p>
    <w:p>
      <w:pPr>
        <w:spacing w:after="0" w:line="109"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The table below provides information about our foreign currency forward exchange and option contracts which are designated as hedging instruments and are sensitive to exchange rate risk. The table summarizes the U.S. dollar equivalent amounts of each currency bought and sold forward and the weighted-average contractual exchange rates. All forward exchange contracts mature within two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Settlement date before December 31,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1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1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31"/>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920" w:type="dxa"/>
            <w:vAlign w:val="bottom"/>
            <w:vMerge w:val="restart"/>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187"/>
        </w:trPr>
        <w:tc>
          <w:tcPr>
            <w:tcW w:w="5600" w:type="dxa"/>
            <w:vAlign w:val="bottom"/>
            <w:gridSpan w:val="2"/>
            <w:vMerge w:val="continue"/>
          </w:tcPr>
          <w:p>
            <w:pPr>
              <w:spacing w:after="0"/>
              <w:rPr>
                <w:sz w:val="16"/>
                <w:szCs w:val="16"/>
                <w:color w:val="auto"/>
              </w:rPr>
            </w:pPr>
          </w:p>
        </w:tc>
        <w:tc>
          <w:tcPr>
            <w:tcW w:w="940" w:type="dxa"/>
            <w:vAlign w:val="bottom"/>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92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9"/>
        </w:trPr>
        <w:tc>
          <w:tcPr>
            <w:tcW w:w="54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top w:val="single" w:sz="8" w:color="auto"/>
            </w:tcBorders>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top w:val="single" w:sz="8" w:color="auto"/>
            </w:tcBorders>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sold</w:t>
            </w: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dollars sold for Pounds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sterling</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 £1</w:t>
            </w:r>
          </w:p>
        </w:tc>
        <w:tc>
          <w:tcPr>
            <w:tcW w:w="1080" w:type="dxa"/>
            <w:vAlign w:val="bottom"/>
            <w:gridSpan w:val="2"/>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 = £1</w:t>
            </w:r>
          </w:p>
        </w:tc>
        <w:tc>
          <w:tcPr>
            <w:tcW w:w="0" w:type="dxa"/>
            <w:vAlign w:val="bottom"/>
          </w:tcPr>
          <w:p>
            <w:pPr>
              <w:spacing w:after="0"/>
              <w:rPr>
                <w:sz w:val="1"/>
                <w:szCs w:val="1"/>
                <w:color w:val="auto"/>
              </w:rPr>
            </w:pPr>
          </w:p>
        </w:tc>
      </w:tr>
      <w:tr>
        <w:trPr>
          <w:trHeight w:val="249"/>
        </w:trPr>
        <w:tc>
          <w:tcPr>
            <w:tcW w:w="5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Euros sold for U.S. dollars</w:t>
            </w:r>
          </w:p>
        </w:tc>
        <w:tc>
          <w:tcPr>
            <w:tcW w:w="9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$1.07</w:t>
            </w:r>
          </w:p>
        </w:tc>
        <w:tc>
          <w:tcPr>
            <w:tcW w:w="1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$1.10</w:t>
            </w:r>
          </w:p>
        </w:tc>
        <w:tc>
          <w:tcPr>
            <w:tcW w:w="0" w:type="dxa"/>
            <w:vAlign w:val="bottom"/>
          </w:tcPr>
          <w:p>
            <w:pPr>
              <w:spacing w:after="0"/>
              <w:rPr>
                <w:sz w:val="1"/>
                <w:szCs w:val="1"/>
                <w:color w:val="auto"/>
              </w:rPr>
            </w:pPr>
          </w:p>
        </w:tc>
      </w:tr>
      <w:tr>
        <w:trPr>
          <w:trHeight w:val="232"/>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gridSpan w:val="2"/>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600" w:type="dxa"/>
            <w:vAlign w:val="bottom"/>
            <w:tcBorders>
              <w:bottom w:val="single" w:sz="8" w:color="CFF0FC"/>
            </w:tcBorders>
            <w:gridSpan w:val="2"/>
            <w:shd w:val="clear" w:color="auto" w:fill="CFF0FC"/>
          </w:tcPr>
          <w:p>
            <w:pPr>
              <w:ind w:left="20"/>
              <w:spacing w:after="0" w:line="227" w:lineRule="exact"/>
              <w:rPr>
                <w:sz w:val="20"/>
                <w:szCs w:val="20"/>
                <w:color w:val="auto"/>
              </w:rPr>
            </w:pPr>
            <w:r>
              <w:rPr>
                <w:rFonts w:ascii="Times New Roman" w:cs="Times New Roman" w:eastAsia="Times New Roman" w:hAnsi="Times New Roman"/>
                <w:sz w:val="18"/>
                <w:szCs w:val="18"/>
                <w:color w:val="auto"/>
              </w:rPr>
              <w:t xml:space="preserve">Fair value </w:t>
            </w:r>
            <w:r>
              <w:rPr>
                <w:rFonts w:ascii="Times New Roman" w:cs="Times New Roman" w:eastAsia="Times New Roman" w:hAnsi="Times New Roman"/>
                <w:sz w:val="24"/>
                <w:szCs w:val="24"/>
                <w:color w:val="auto"/>
                <w:vertAlign w:val="superscript"/>
              </w:rPr>
              <w:t>(i)</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ind w:right="74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-367665</wp:posOffset>
            </wp:positionV>
            <wp:extent cx="1028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-367665</wp:posOffset>
            </wp:positionV>
            <wp:extent cx="939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1028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939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939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7" w:lineRule="exact"/>
        <w:rPr>
          <w:sz w:val="20"/>
          <w:szCs w:val="20"/>
          <w:color w:val="auto"/>
        </w:rPr>
      </w:pPr>
    </w:p>
    <w:p>
      <w:pPr>
        <w:ind w:left="280" w:right="40" w:hanging="272"/>
        <w:spacing w:after="0" w:line="258" w:lineRule="auto"/>
        <w:tabs>
          <w:tab w:leader="none" w:pos="2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the contract amount and the cash flow in U.S. dollars which would have been receivable had the foreign currency forward exchange contracts been entered into on December 31, 2023 at the forward exchange rates prevailing at that date.</w:t>
      </w:r>
    </w:p>
    <w:p>
      <w:pPr>
        <w:spacing w:after="0" w:line="11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Income earned within foreign subsidiaries outside of the U.K. is generally offset by expenses in the same local currency, however the Company does have exposure to foreign exchange movements on the net income of these entities.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Company has access to $1.5 billion under a revolving credit facility (see Note 11 — Debt within Item 8 of this Annual Report on Form 10-K for further information). As of December 31, 2023, no amount was drawn on this facility. We are also subject to market risk from exposure to changes in interest rates based on our investing activities where our primary interest rate risk arises from changes in short-term interest rates in U.S. dollars, Pounds sterling and Euros.</w:t>
      </w:r>
    </w:p>
    <w:p>
      <w:pPr>
        <w:spacing w:after="0" w:line="12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The table below provides information about our financial instruments that are sensitive to changes in interest rates. The Company had no outstanding floating rate-based debt at December 31, 2023.</w:t>
      </w:r>
    </w:p>
    <w:p>
      <w:pPr>
        <w:spacing w:after="0" w:line="15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Expected to mature before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5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70"/>
              <w:spacing w:after="0" w:line="12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9"/>
                <w:szCs w:val="9"/>
                <w:color w:val="auto"/>
              </w:rPr>
            </w:pPr>
          </w:p>
        </w:tc>
        <w:tc>
          <w:tcPr>
            <w:tcW w:w="820" w:type="dxa"/>
            <w:vAlign w:val="bottom"/>
            <w:vMerge w:val="restart"/>
          </w:tcPr>
          <w:p>
            <w:pPr>
              <w:jc w:val="right"/>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9"/>
                <w:szCs w:val="9"/>
                <w:color w:val="auto"/>
              </w:rPr>
            </w:pPr>
          </w:p>
        </w:tc>
        <w:tc>
          <w:tcPr>
            <w:tcW w:w="800" w:type="dxa"/>
            <w:vAlign w:val="bottom"/>
            <w:vMerge w:val="restart"/>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9"/>
                <w:szCs w:val="9"/>
                <w:color w:val="auto"/>
              </w:rPr>
            </w:pPr>
          </w:p>
        </w:tc>
        <w:tc>
          <w:tcPr>
            <w:tcW w:w="820" w:type="dxa"/>
            <w:vAlign w:val="bottom"/>
          </w:tcPr>
          <w:p>
            <w:pPr>
              <w:jc w:val="center"/>
              <w:ind w:right="50"/>
              <w:spacing w:after="0" w:line="108" w:lineRule="exact"/>
              <w:rPr>
                <w:sz w:val="20"/>
                <w:szCs w:val="20"/>
                <w:color w:val="auto"/>
              </w:rPr>
            </w:pPr>
            <w:r>
              <w:rPr>
                <w:rFonts w:ascii="Times New Roman" w:cs="Times New Roman" w:eastAsia="Times New Roman" w:hAnsi="Times New Roman"/>
                <w:sz w:val="10"/>
                <w:szCs w:val="10"/>
                <w:b w:val="1"/>
                <w:bCs w:val="1"/>
                <w:color w:val="auto"/>
              </w:rPr>
              <w:t>(i)</w:t>
            </w:r>
          </w:p>
        </w:tc>
        <w:tc>
          <w:tcPr>
            <w:tcW w:w="0" w:type="dxa"/>
            <w:vAlign w:val="bottom"/>
          </w:tcPr>
          <w:p>
            <w:pPr>
              <w:spacing w:after="0"/>
              <w:rPr>
                <w:sz w:val="1"/>
                <w:szCs w:val="1"/>
                <w:color w:val="auto"/>
              </w:rPr>
            </w:pPr>
          </w:p>
        </w:tc>
      </w:tr>
      <w:tr>
        <w:trPr>
          <w:trHeight w:val="40"/>
        </w:trPr>
        <w:tc>
          <w:tcPr>
            <w:tcW w:w="15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debt</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  2,700</w:t>
            </w:r>
          </w:p>
        </w:tc>
        <w:tc>
          <w:tcPr>
            <w:tcW w:w="100" w:type="dxa"/>
            <w:vAlign w:val="bottom"/>
          </w:tcPr>
          <w:p>
            <w:pPr>
              <w:spacing w:after="0"/>
              <w:rPr>
                <w:sz w:val="20"/>
                <w:szCs w:val="20"/>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  5,250</w:t>
            </w: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  5,004</w:t>
            </w:r>
          </w:p>
        </w:tc>
        <w:tc>
          <w:tcPr>
            <w:tcW w:w="0" w:type="dxa"/>
            <w:vAlign w:val="bottom"/>
          </w:tcPr>
          <w:p>
            <w:pPr>
              <w:spacing w:after="0"/>
              <w:rPr>
                <w:sz w:val="1"/>
                <w:szCs w:val="1"/>
                <w:color w:val="auto"/>
              </w:rPr>
            </w:pPr>
          </w:p>
        </w:tc>
      </w:tr>
      <w:tr>
        <w:trPr>
          <w:trHeight w:val="247"/>
        </w:trPr>
        <w:tc>
          <w:tcPr>
            <w:tcW w:w="3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Fixed rate payable</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3.600 %</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4.400 %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4.650 %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4.500 %</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4.440 %</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4.368 %</w:t>
            </w:r>
          </w:p>
        </w:tc>
        <w:tc>
          <w:tcPr>
            <w:tcW w:w="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Represents the net present value of the expected cash flows discounted at current market rates of interest or quoted market rates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Fiduciary Funds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last year. This has resulted in the Company recognizing higher interest income over the same period in the prior year. Interest income in the future will be a function of the short-term rates we are able to obtain by currency and the cash balances available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70" w:name="page71"/>
    <w:bookmarkEnd w:id="70"/>
    <w:p>
      <w:pPr>
        <w:spacing w:after="0" w:line="260" w:lineRule="auto"/>
        <w:rPr>
          <w:sz w:val="20"/>
          <w:szCs w:val="20"/>
          <w:color w:val="auto"/>
        </w:rPr>
      </w:pPr>
      <w:r>
        <w:rPr>
          <w:rFonts w:ascii="Times New Roman" w:cs="Times New Roman" w:eastAsia="Times New Roman" w:hAnsi="Times New Roman"/>
          <w:sz w:val="18"/>
          <w:szCs w:val="18"/>
          <w:color w:val="auto"/>
        </w:rPr>
        <w:t>invest in these instruments. Interest income was $145 million, $55 million and $12 million for the years ended December 31, 2023, 2022 and 2021, respectively. At December 31, 2023, we held $2.2 billion of fiduciary funds invested in interest-bearing accounts. If short-term interest rates increased or decreased by 25 basis points, interest earned on these invested fiduciary funds, and therefore our interest income recognized, would increase or decrease by approximately $6 million on an annualized basis.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Concentrations of Credit Risk</w:t>
      </w:r>
    </w:p>
    <w:p>
      <w:pPr>
        <w:spacing w:after="0" w:line="17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Credit risk represents the loss that would be recognized at the reporting date if counterparties failed to perform as contracted. The Company currently does not anticipate non-performance by its counterparties. The Company generally does not require collateral or other security to support financial instruments with credit risk.</w:t>
      </w:r>
    </w:p>
    <w:p>
      <w:pPr>
        <w:spacing w:after="0" w:line="12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Concentrations of credit risk that arise from financial instruments exist for groups of customers or counterparties when they have similar economic characteristics that would cause their ability to meet contractual obligations to be similarly affected by changes in economic or other conditions. Financial instruments on the balance sheet that potentially subject the Company to concentrations of credit risk consist primarily of cash and cash equivalents, fiduciary funds, accounts receivable and derivatives which are recorded at fair value.</w:t>
      </w:r>
    </w:p>
    <w:p>
      <w:pPr>
        <w:spacing w:after="0" w:line="1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Company maintains a policy of providing for the diversification of cash and cash equivalent investments and places such investments in an extensive number of financial institutions to limit the amount of credit risk exposure. These financial institutions are monitored on an ongoing basis for credit quality predominantly using information provided by credit agencies.</w:t>
      </w:r>
    </w:p>
    <w:p>
      <w:pPr>
        <w:spacing w:after="0" w:line="12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Concentrations of credit risk with respect to receivables are limited due to the large number of clients and markets in which the Company does business, as well as the dispersion across many geographic areas. Management does not believe that significant risk exists in connection with the Company’s concentrations of credit as of December 31, 2023.</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3"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FORM 10-K</w:t>
      </w: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For the year ended December 31, 2023</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 (PCAOB ID: 34)</w:t>
            </w:r>
          </w:p>
        </w:tc>
        <w:tc>
          <w:tcPr>
            <w:tcW w:w="5340" w:type="dxa"/>
            <w:vAlign w:val="bottom"/>
            <w:gridSpan w:val="4"/>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each of the three years in the period ended December 31, 2023</w:t>
            </w:r>
          </w:p>
        </w:tc>
        <w:tc>
          <w:tcPr>
            <w:tcW w:w="2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2023 and 2022</w:t>
            </w:r>
          </w:p>
        </w:tc>
        <w:tc>
          <w:tcPr>
            <w:tcW w:w="20" w:type="dxa"/>
            <w:vAlign w:val="bottom"/>
            <w:tcBorders>
              <w:bottom w:val="single" w:sz="8" w:color="0000EE"/>
            </w:tcBorders>
          </w:tcPr>
          <w:p>
            <w:pPr>
              <w:spacing w:after="0"/>
              <w:rPr>
                <w:sz w:val="22"/>
                <w:szCs w:val="22"/>
                <w:color w:val="auto"/>
              </w:rPr>
            </w:pPr>
          </w:p>
        </w:tc>
        <w:tc>
          <w:tcPr>
            <w:tcW w:w="6120" w:type="dxa"/>
            <w:vAlign w:val="bottom"/>
            <w:gridSpan w:val="5"/>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05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each of the three years in the period ended December 31,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06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05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 for each of the three years in the period ended December 31, 2023</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7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Notes to the Consolidated Financial Statements</w:t>
            </w:r>
          </w:p>
        </w:tc>
        <w:tc>
          <w:tcPr>
            <w:tcW w:w="2820" w:type="dxa"/>
            <w:vAlign w:val="bottom"/>
            <w:gridSpan w:val="2"/>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681"/>
        </w:trPr>
        <w:tc>
          <w:tcPr>
            <w:tcW w:w="40" w:type="dxa"/>
            <w:vAlign w:val="bottom"/>
          </w:tcPr>
          <w:p>
            <w:pPr>
              <w:spacing w:after="0"/>
              <w:rPr>
                <w:sz w:val="24"/>
                <w:szCs w:val="24"/>
                <w:color w:val="auto"/>
              </w:rPr>
            </w:pPr>
          </w:p>
        </w:tc>
        <w:tc>
          <w:tcPr>
            <w:tcW w:w="3240" w:type="dxa"/>
            <w:vAlign w:val="bottom"/>
            <w:tcBorders>
              <w:top w:val="single" w:sz="8" w:color="0000FF"/>
            </w:tcBorders>
          </w:tcPr>
          <w:p>
            <w:pPr>
              <w:spacing w:after="0"/>
              <w:rPr>
                <w:sz w:val="24"/>
                <w:szCs w:val="24"/>
                <w:color w:val="auto"/>
              </w:rPr>
            </w:pPr>
          </w:p>
        </w:tc>
        <w:tc>
          <w:tcPr>
            <w:tcW w:w="4060" w:type="dxa"/>
            <w:vAlign w:val="bottom"/>
            <w:gridSpan w:val="4"/>
          </w:tcPr>
          <w:p>
            <w:pPr>
              <w:jc w:val="right"/>
              <w:ind w:right="1620"/>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Willis Towers Watson Public Limited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Willis Towers Watson Public Limited Company and subsidiaries (the ‘Company’) as of December 31, 2023 and 2022, the related consolidated statements of comprehensive income,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(‘US GAAP’).</w:t>
      </w:r>
    </w:p>
    <w:p>
      <w:pPr>
        <w:spacing w:after="0" w:line="7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22, 2024, expressed an unqualified opinion on the Company’s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0" w:lineRule="exact"/>
        <w:rPr>
          <w:sz w:val="20"/>
          <w:szCs w:val="20"/>
          <w:color w:val="auto"/>
        </w:rPr>
      </w:pPr>
    </w:p>
    <w:p>
      <w:pPr>
        <w:ind w:right="286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Provisions for Liabilities - Errors &amp; Omissions Reserve — Refer to Notes 2, 15 and 16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established provisions against various actual and potential claims, lawsuits and other proceedings relating principally to alleged errors and omissions (‘E&amp;O’) which arise in connection with the placement of insurance and reinsurance and provision of broking, consulting and outsourcing services in the ordinary course of business. Such provisions cover claims that have been reported but not paid and also claims that have been incurred but not reported (‘IBNR’). These provisions are established based on actuarial estimates together with individual case reviews. Significant management judgment is required to estimate the amounts of such claims.</w:t>
      </w:r>
    </w:p>
    <w:p>
      <w:pPr>
        <w:spacing w:after="0" w:line="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Auditing management’s judgments related to its E&amp;O provision, and in particular the broking, consulting and outsourcing business provisions related to the IBNR, and the provisions related to significant claims reported but not paid, involved especially complex and subjective judgment and an increased extent of effort, including the need to involve our actuarial specialists.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determination of E&amp;O provisions included the following, among others:</w:t>
      </w:r>
    </w:p>
    <w:p>
      <w:pPr>
        <w:spacing w:after="0" w:line="117" w:lineRule="exact"/>
        <w:rPr>
          <w:sz w:val="20"/>
          <w:szCs w:val="20"/>
          <w:color w:val="auto"/>
        </w:rPr>
      </w:pPr>
    </w:p>
    <w:p>
      <w:pPr>
        <w:ind w:left="760" w:right="200" w:hanging="378"/>
        <w:spacing w:after="0" w:line="260"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Company’s estimation of the E&amp;O provisions, including controls over the underlying historical claims data, the actuarial methodology used, the assumptions selected by management that are used to calculate the broking, consulting and outsourcing business IBNR provisions, and the establishment and quarterly evaluation of provisions for reported claims, including significant claims.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73" w:name="page74"/>
    <w:bookmarkEnd w:id="73"/>
    <w:p>
      <w:pPr>
        <w:ind w:left="760" w:right="60" w:hanging="378"/>
        <w:spacing w:after="0" w:line="258"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IBNR provisions, we evaluated the appropriateness of the IBNR models, and evaluated the consistency of the model with prior years in order to challenge the methodology used to estimate the provisions. With the assistance of our actuarial specialists, we assessed the methodology and models used, including key inputs and assumptions used in, and arithmetical accuracy of, the models used. We also performed retrospective reviews of management’s estimated claims emergence in comparison to actual results and evaluated the provisions set by management in comparison to a range of independent estimates that we developed.</w:t>
      </w:r>
    </w:p>
    <w:p>
      <w:pPr>
        <w:spacing w:after="0" w:line="74" w:lineRule="exact"/>
        <w:rPr>
          <w:rFonts w:ascii="Times New Roman" w:cs="Times New Roman" w:eastAsia="Times New Roman" w:hAnsi="Times New Roman"/>
          <w:sz w:val="18"/>
          <w:szCs w:val="18"/>
          <w:color w:val="auto"/>
        </w:rPr>
      </w:pPr>
    </w:p>
    <w:p>
      <w:pPr>
        <w:ind w:left="760" w:right="400" w:hanging="378"/>
        <w:spacing w:after="0" w:line="281"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E&amp;O matters and the appropriateness of their projected settlement values through inquiries of, and confirmations from, in-house counsel and external lawyers handling those matters for the Company.</w:t>
      </w:r>
    </w:p>
    <w:p>
      <w:pPr>
        <w:spacing w:after="0" w:line="51" w:lineRule="exact"/>
        <w:rPr>
          <w:sz w:val="20"/>
          <w:szCs w:val="20"/>
          <w:color w:val="auto"/>
        </w:rPr>
      </w:pPr>
    </w:p>
    <w:p>
      <w:pPr>
        <w:ind w:right="274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Benefits Delivery &amp; Administration Reporting Unit— Refer to Notes 2 and 9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evaluation of goodwill for impairment is performed annually as of October 1, and whenever indicators of impairment exist. Goodwill is tested at the reporting unit level, and the Company had seven reporting units as of October 1, 2023. In the impairment test, the fair value of each reporting unit is compared with its carrying value, including goodwill. If the carrying value of a reporting unit exceeds its fair value, the difference is recognized as an impairment loss. Through this analysis, the Company determined that the reporting unit comprising its Benefits Delivery &amp; Administration (‘BDA’) business had a narrowed margin of excess fair value in 2023. The Company estimated the fair value of the reporting unit using the discounted cash flow method and guideline public company method. Significant management judgement is required to make assumptions and estimates that are subject to risk and uncertainty related to discount rate, and forecasts of future revenue and operating margin. Changes in these assumptions could have a significant impact on either the fair value, the amount of any goodwill impairment charge, or both.</w:t>
      </w:r>
    </w:p>
    <w:p>
      <w:pPr>
        <w:spacing w:after="0" w:line="8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Auditing management’s judgments related to its goodwill impairment analysis on the BDA reporting unit, and in particular the discount rate, and forecasts of future revenue and operating margin, involved especially complex and subjective auditor judgment and an increased extent of effort. This included the need to involve our fair value specialists when performing audit procedures to evaluate the reasonableness of management’s estimates and assumptions related to the selection of the discount rate, specifically due to the sensitivity of the BDA reporting unit’s fair value to a change in the discount rate.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discount rate and forecasts of future revenue and operating margin used by management to estimate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BDA reporting unit included the following, among others:</w:t>
      </w:r>
    </w:p>
    <w:p>
      <w:pPr>
        <w:spacing w:after="0" w:line="98" w:lineRule="exact"/>
        <w:rPr>
          <w:sz w:val="20"/>
          <w:szCs w:val="20"/>
          <w:color w:val="auto"/>
        </w:rPr>
      </w:pPr>
    </w:p>
    <w:p>
      <w:pPr>
        <w:ind w:left="760" w:right="140" w:hanging="378"/>
        <w:spacing w:after="0" w:line="265"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Company’s goodwill impairment evaluation, including those over the determination of the fair value of the BDA reporting unit, including controls related to management’s assumptions of discount rates, and forecasts of future revenues and operating margins.</w:t>
      </w:r>
    </w:p>
    <w:p>
      <w:pPr>
        <w:spacing w:after="0" w:line="69"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BDA reporting unit revenues and operating margins, by comparing actual results to management’s historical forecasts.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BDA reporting unit forecasted revenues and operating margins by comparing the forecasts to:</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Historical revenues and operating margins;</w:t>
      </w:r>
    </w:p>
    <w:p>
      <w:pPr>
        <w:spacing w:after="0" w:line="117" w:lineRule="exact"/>
        <w:rPr>
          <w:sz w:val="20"/>
          <w:szCs w:val="20"/>
          <w:color w:val="auto"/>
        </w:rPr>
      </w:pPr>
    </w:p>
    <w:p>
      <w:pPr>
        <w:ind w:left="1540" w:hanging="514"/>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 and,</w:t>
      </w:r>
    </w:p>
    <w:p>
      <w:pPr>
        <w:spacing w:after="0" w:line="116" w:lineRule="exact"/>
        <w:rPr>
          <w:rFonts w:ascii="Times New Roman" w:cs="Times New Roman" w:eastAsia="Times New Roman" w:hAnsi="Times New Roman"/>
          <w:sz w:val="18"/>
          <w:szCs w:val="18"/>
          <w:color w:val="auto"/>
        </w:rPr>
      </w:pPr>
    </w:p>
    <w:p>
      <w:pPr>
        <w:ind w:left="1540" w:right="160" w:hanging="514"/>
        <w:spacing w:after="0" w:line="281"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Company press releases as well as in analyst and industry reports for the Company and certain of its peer companies.</w:t>
      </w:r>
    </w:p>
    <w:p>
      <w:pPr>
        <w:spacing w:after="0" w:line="54"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(1) the valuation methodology and (2) the discount rate. We developed a range of independent estimates and compared those to the discount rate selected by management.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9"/>
        </w:trPr>
        <w:tc>
          <w:tcPr>
            <w:tcW w:w="7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FF0FC"/>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9,483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8,866</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8,998</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5,344</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5,065</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5,253</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40" w:type="dxa"/>
            <w:vAlign w:val="bottom"/>
          </w:tcPr>
          <w:p>
            <w:pPr>
              <w:spacing w:after="0"/>
              <w:rPr>
                <w:sz w:val="20"/>
                <w:szCs w:val="20"/>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1,815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1,673</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281</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20"/>
                <w:szCs w:val="20"/>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236"/>
        </w:trPr>
        <w:tc>
          <w:tcPr>
            <w:tcW w:w="7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7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8,118</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7,688</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6,796</w:t>
            </w:r>
          </w:p>
        </w:tc>
      </w:t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Pr>
          <w:p>
            <w:pPr>
              <w:spacing w:after="0"/>
              <w:rPr>
                <w:sz w:val="20"/>
                <w:szCs w:val="20"/>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1,365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2,202</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701</w:t>
            </w:r>
          </w:p>
        </w:tc>
      </w:tr>
      <w:tr>
        <w:trPr>
          <w:trHeight w:val="24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7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1,279</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2,692</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(536 )</w:t>
            </w:r>
          </w:p>
        </w:tc>
      </w:tr>
      <w:tr>
        <w:trPr>
          <w:trHeight w:val="24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7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1,064</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7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2,080</w:t>
            </w:r>
          </w:p>
        </w:tc>
      </w:tr>
      <w:tr>
        <w:trPr>
          <w:trHeight w:val="23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1,064</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4,236</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740" w:type="dxa"/>
            <w:vAlign w:val="bottom"/>
            <w:shd w:val="clear" w:color="auto" w:fill="CFF0FC"/>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1,055</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4,222</w:t>
            </w:r>
          </w:p>
        </w:tc>
      </w:tr>
      <w:tr>
        <w:trPr>
          <w:trHeight w:val="219"/>
        </w:trPr>
        <w:tc>
          <w:tcPr>
            <w:tcW w:w="7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7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9"/>
        </w:trPr>
        <w:tc>
          <w:tcPr>
            <w:tcW w:w="7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per share</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10.01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16.68</w:t>
            </w:r>
          </w:p>
        </w:tc>
      </w:tr>
      <w:tr>
        <w:trPr>
          <w:trHeight w:val="247"/>
        </w:trPr>
        <w:tc>
          <w:tcPr>
            <w:tcW w:w="7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per share</w:t>
            </w:r>
          </w:p>
        </w:tc>
        <w:tc>
          <w:tcPr>
            <w:tcW w:w="7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16.20</w:t>
            </w:r>
          </w:p>
        </w:tc>
      </w:tr>
      <w:tr>
        <w:trPr>
          <w:trHeight w:val="236"/>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10.01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32.88</w:t>
            </w:r>
          </w:p>
        </w:tc>
      </w:tr>
      <w:tr>
        <w:trPr>
          <w:trHeight w:val="20"/>
        </w:trPr>
        <w:tc>
          <w:tcPr>
            <w:tcW w:w="7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per share</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9.95</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16.63</w:t>
            </w:r>
          </w:p>
        </w:tc>
      </w:tr>
      <w:tr>
        <w:trPr>
          <w:trHeight w:val="247"/>
        </w:trPr>
        <w:tc>
          <w:tcPr>
            <w:tcW w:w="7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per share</w:t>
            </w:r>
          </w:p>
        </w:tc>
        <w:tc>
          <w:tcPr>
            <w:tcW w:w="7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16.15</w:t>
            </w:r>
          </w:p>
        </w:tc>
      </w:tr>
      <w:tr>
        <w:trPr>
          <w:trHeight w:val="236"/>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9.95</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32.78</w:t>
            </w:r>
          </w:p>
        </w:tc>
      </w:tr>
      <w:tr>
        <w:trPr>
          <w:trHeight w:val="20"/>
        </w:trPr>
        <w:tc>
          <w:tcPr>
            <w:tcW w:w="7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1,064</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4,236</w:t>
            </w: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net of tax:</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pension and post-retirement benefits</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260</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instruments</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net of tax, before non-controlling interests</w:t>
            </w:r>
          </w:p>
        </w:tc>
        <w:tc>
          <w:tcPr>
            <w:tcW w:w="7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w:t>
            </w:r>
          </w:p>
        </w:tc>
      </w:t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740" w:type="dxa"/>
            <w:vAlign w:val="bottom"/>
          </w:tcPr>
          <w:p>
            <w:pPr>
              <w:spacing w:after="0"/>
              <w:rPr>
                <w:sz w:val="20"/>
                <w:szCs w:val="20"/>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4,411</w:t>
            </w:r>
          </w:p>
        </w:tc>
      </w:tr>
      <w:tr>
        <w:trPr>
          <w:trHeight w:val="243"/>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7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WTW</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4,395</w:t>
            </w:r>
          </w:p>
        </w:tc>
      </w:tr>
      <w:tr>
        <w:trPr>
          <w:trHeight w:val="20"/>
        </w:trPr>
        <w:tc>
          <w:tcPr>
            <w:tcW w:w="7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-4683125</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-4683125</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-3098800</wp:posOffset>
            </wp:positionV>
            <wp:extent cx="1028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-3081655</wp:posOffset>
            </wp:positionV>
            <wp:extent cx="1028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-3098800</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-3081655</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-2430780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-2430780</wp:posOffset>
            </wp:positionV>
            <wp:extent cx="1028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-1780540</wp:posOffset>
            </wp:positionV>
            <wp:extent cx="102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-1780540</wp:posOffset>
            </wp:positionV>
            <wp:extent cx="1028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-504825</wp:posOffset>
            </wp:positionV>
            <wp:extent cx="1028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-504825</wp:posOffset>
            </wp:positionV>
            <wp:extent cx="1028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-187960</wp:posOffset>
            </wp:positionV>
            <wp:extent cx="1028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-187960</wp:posOffset>
            </wp:positionV>
            <wp:extent cx="10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millions of U.S. dollars,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1,424</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1,262</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9,073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11,772</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2,387</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414</w:t>
            </w:r>
          </w:p>
        </w:tc>
      </w:tr>
      <w:tr>
        <w:trPr>
          <w:trHeight w:val="236"/>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13,433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15,835</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718</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10,173</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2,273</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586</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benefits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827</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1,357</w:t>
            </w:r>
          </w:p>
        </w:tc>
      </w:tr>
      <w:tr>
        <w:trPr>
          <w:trHeight w:val="236"/>
        </w:trPr>
        <w:tc>
          <w:tcPr>
            <w:tcW w:w="7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15,657</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15,934</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29,090</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31,769</w:t>
            </w: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9,073</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11,772</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1,915</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716</w:t>
            </w:r>
          </w:p>
        </w:tc>
      </w:tr>
      <w:tr>
        <w:trPr>
          <w:trHeight w:val="240"/>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12,630</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14,779</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4,471</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480</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357</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620</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w:t>
            </w:r>
          </w:p>
        </w:tc>
      </w:tr>
      <w:tr>
        <w:trPr>
          <w:trHeight w:val="236"/>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6,867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6,897</w:t>
            </w:r>
          </w:p>
        </w:tc>
      </w:tr>
      <w:tr>
        <w:trPr>
          <w:trHeight w:val="24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19,497</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21,676</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10,876</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1,466</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1,764</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(2,621 )</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 at cost, 17,519 in 2022</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9,520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10,016</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9,593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10,093</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29,090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-5368290</wp:posOffset>
            </wp:positionV>
            <wp:extent cx="1200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-4117975</wp:posOffset>
            </wp:positionV>
            <wp:extent cx="1200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-1917065</wp:posOffset>
            </wp:positionV>
            <wp:extent cx="1200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-667385</wp:posOffset>
            </wp:positionV>
            <wp:extent cx="1200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-350520</wp:posOffset>
            </wp:positionV>
            <wp:extent cx="1200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400" w:hanging="272"/>
        <w:spacing w:after="0" w:line="258" w:lineRule="auto"/>
        <w:tabs>
          <w:tab w:leader="none" w:pos="2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102,538,072 (2023) and 106,756,364 (2022); Outstanding 102,538,072 (2023) and 106,756,364 (2022); (b) Preference shares, $0.000115 nominal value; Authorized 1,000,000,000 and Issued none in 2023 and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millions of U.S. dollars)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9"/>
        </w:trPr>
        <w:tc>
          <w:tcPr>
            <w:tcW w:w="1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0"/>
        </w:trPr>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1,064</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1,024</w:t>
            </w:r>
          </w:p>
        </w:tc>
        <w:tc>
          <w:tcPr>
            <w:tcW w:w="1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4,236</w:t>
            </w:r>
          </w:p>
        </w:tc>
      </w:tr>
      <w:tr>
        <w:trPr>
          <w:trHeight w:val="239"/>
        </w:trPr>
        <w:tc>
          <w:tcPr>
            <w:tcW w:w="7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total net cash from operating activities: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72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263</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Impairment</w:t>
            </w:r>
          </w:p>
        </w:tc>
        <w:tc>
          <w:tcPr>
            <w:tcW w:w="72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restructuring charges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Non-cash lease expense</w:t>
            </w:r>
          </w:p>
        </w:tc>
        <w:tc>
          <w:tcPr>
            <w:tcW w:w="72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periodic benefit of defined benefit pension plans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(168 )</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Provision for doubtful receivables from clients</w:t>
            </w:r>
          </w:p>
        </w:tc>
        <w:tc>
          <w:tcPr>
            <w:tcW w:w="72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(Benefit from)/provision for deferred income taxes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226</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(gain)/loss on disposal of operations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(2,679 )</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Non-cash foreign exchange loss/(gain)</w:t>
            </w:r>
          </w:p>
        </w:tc>
        <w:tc>
          <w:tcPr>
            <w:tcW w:w="72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net</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20"/>
        </w:trPr>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purchase of subsidiaries: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(134 )</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liabilities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(175 )</w:t>
            </w:r>
          </w:p>
        </w:tc>
      </w:tr>
      <w:tr>
        <w:trPr>
          <w:trHeight w:val="223"/>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Provisions</w:t>
            </w: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23"/>
        </w:trPr>
        <w:tc>
          <w:tcPr>
            <w:tcW w:w="712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7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1,345</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812</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2,061</w:t>
            </w:r>
          </w:p>
        </w:tc>
      </w:tr>
      <w:tr>
        <w:trPr>
          <w:trHeight w:val="22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FLOWS (USED IN)/FROM INVESTING ACTIVITIES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Additions to fixed assets and software for internal use</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Capitalized software costs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Acquisitions of operations, net of cash acquired</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Net proceeds/(payments) from sale of operations</w:t>
            </w:r>
          </w:p>
        </w:tc>
        <w:tc>
          <w:tcPr>
            <w:tcW w:w="72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4,048</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and fiduciary funds transferred in sale of operations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(1,030 )</w:t>
            </w:r>
          </w:p>
        </w:tc>
      </w:tr>
      <w:tr>
        <w:trPr>
          <w:trHeight w:val="223"/>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(Purchase)/sale of investments</w:t>
            </w: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23"/>
        </w:trPr>
        <w:tc>
          <w:tcPr>
            <w:tcW w:w="712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in)/from investing activities</w:t>
            </w:r>
          </w:p>
        </w:tc>
        <w:tc>
          <w:tcPr>
            <w:tcW w:w="7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(1,085 )</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2,570</w:t>
            </w:r>
          </w:p>
        </w:tc>
      </w:tr>
      <w:tr>
        <w:trPr>
          <w:trHeight w:val="22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Senior notes issued</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748</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Debt issuance costs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Repayments of debt</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(1,008 )</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Repurchase of shares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(1,000 )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(1,627 )</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issuance of shares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Net (payments)/proceeds from fiduciary funds held for clients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Payments of deferred and contingent consideration related to acquisitions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20"/>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Cash paid for employee taxes on withholding shares</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39"/>
        </w:trPr>
        <w:tc>
          <w:tcPr>
            <w:tcW w:w="7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(374 )</w:t>
            </w:r>
          </w:p>
        </w:tc>
      </w:tr>
      <w:tr>
        <w:trPr>
          <w:trHeight w:val="223"/>
        </w:trPr>
        <w:tc>
          <w:tcPr>
            <w:tcW w:w="7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Acquisitions of and dividends paid to non-controlling interests</w:t>
            </w: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23"/>
        </w:trPr>
        <w:tc>
          <w:tcPr>
            <w:tcW w:w="712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(1,200 )</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(3,445 )</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(3,114 )</w:t>
            </w:r>
          </w:p>
        </w:tc>
      </w:tr>
      <w:tr>
        <w:trPr>
          <w:trHeight w:val="175"/>
        </w:trPr>
        <w:tc>
          <w:tcPr>
            <w:tcW w:w="71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(DECREASE)/INCREASE IN CASH, CASH EQUIVALENTS AND RESTRICTED</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57"/>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CASH </w:t>
            </w:r>
            <w:r>
              <w:rPr>
                <w:rFonts w:ascii="Times New Roman" w:cs="Times New Roman" w:eastAsia="Times New Roman" w:hAnsi="Times New Roman"/>
                <w:sz w:val="21"/>
                <w:szCs w:val="21"/>
                <w:color w:val="auto"/>
                <w:vertAlign w:val="superscript"/>
              </w:rPr>
              <w:t>(i)</w:t>
            </w:r>
          </w:p>
        </w:tc>
        <w:tc>
          <w:tcPr>
            <w:tcW w:w="7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(940 )</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(2,806 )</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1,517</w:t>
            </w:r>
          </w:p>
        </w:tc>
      </w:tr>
      <w:tr>
        <w:trPr>
          <w:trHeight w:val="229"/>
        </w:trPr>
        <w:tc>
          <w:tcPr>
            <w:tcW w:w="7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29"/>
        </w:trPr>
        <w:tc>
          <w:tcPr>
            <w:tcW w:w="712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6"/>
                <w:szCs w:val="16"/>
                <w:color w:val="auto"/>
              </w:rPr>
              <w:t xml:space="preserve">CASH, CASH EQUIVALENTS AND RESTRICTED CASH, BEGINNING OF YEAR </w:t>
            </w:r>
            <w:r>
              <w:rPr>
                <w:rFonts w:ascii="Times New Roman" w:cs="Times New Roman" w:eastAsia="Times New Roman" w:hAnsi="Times New Roman"/>
                <w:sz w:val="21"/>
                <w:szCs w:val="21"/>
                <w:color w:val="auto"/>
                <w:vertAlign w:val="superscript"/>
              </w:rPr>
              <w:t>(i)</w:t>
            </w: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4,721</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7,691</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6,301</w:t>
            </w:r>
          </w:p>
        </w:tc>
      </w:tr>
      <w:tr>
        <w:trPr>
          <w:trHeight w:val="263"/>
        </w:trPr>
        <w:tc>
          <w:tcPr>
            <w:tcW w:w="7120" w:type="dxa"/>
            <w:vAlign w:val="bottom"/>
            <w:gridSpan w:val="2"/>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CASH, CASH EQUIVALENTS AND RESTRICTED CASH, END OF YEAR </w:t>
            </w:r>
            <w:r>
              <w:rPr>
                <w:rFonts w:ascii="Times New Roman" w:cs="Times New Roman" w:eastAsia="Times New Roman" w:hAnsi="Times New Roman"/>
                <w:sz w:val="21"/>
                <w:szCs w:val="21"/>
                <w:color w:val="auto"/>
                <w:vertAlign w:val="superscript"/>
              </w:rPr>
              <w:t>(i)</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3,792</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4,721</w:t>
            </w: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7,691</w:t>
            </w:r>
          </w:p>
        </w:tc>
      </w:tr>
      <w:tr>
        <w:trPr>
          <w:trHeight w:val="115"/>
        </w:trPr>
        <w:tc>
          <w:tcPr>
            <w:tcW w:w="1500" w:type="dxa"/>
            <w:vAlign w:val="bottom"/>
            <w:tcBorders>
              <w:top w:val="single" w:sz="8" w:color="CFF0FC"/>
              <w:bottom w:val="single" w:sz="8" w:color="auto"/>
            </w:tcBorders>
          </w:tcPr>
          <w:p>
            <w:pPr>
              <w:spacing w:after="0"/>
              <w:rPr>
                <w:sz w:val="10"/>
                <w:szCs w:val="10"/>
                <w:color w:val="auto"/>
              </w:rPr>
            </w:pPr>
          </w:p>
        </w:tc>
        <w:tc>
          <w:tcPr>
            <w:tcW w:w="562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-3792220</wp:posOffset>
            </wp:positionV>
            <wp:extent cx="1111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-3792220</wp:posOffset>
            </wp:positionV>
            <wp:extent cx="1028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-2611120</wp:posOffset>
            </wp:positionV>
            <wp:extent cx="1111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-2611120</wp:posOffset>
            </wp:positionV>
            <wp:extent cx="1028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-847090</wp:posOffset>
            </wp:positionV>
            <wp:extent cx="1111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-847090</wp:posOffset>
            </wp:positionV>
            <wp:extent cx="1028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-119380</wp:posOffset>
            </wp:positionV>
            <wp:extent cx="1111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-102235</wp:posOffset>
            </wp:positionV>
            <wp:extent cx="1111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-119380</wp:posOffset>
            </wp:positionV>
            <wp:extent cx="1028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-102235</wp:posOffset>
            </wp:positionV>
            <wp:extent cx="1028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280" w:right="160" w:hanging="272"/>
        <w:spacing w:after="0" w:line="243" w:lineRule="auto"/>
        <w:tabs>
          <w:tab w:leader="none" w:pos="2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29"/>
              <w:spacing w:after="0"/>
              <w:rPr>
                <w:sz w:val="20"/>
                <w:szCs w:val="20"/>
                <w:color w:val="auto"/>
              </w:rPr>
            </w:pPr>
            <w:r>
              <w:rPr>
                <w:rFonts w:ascii="Times New Roman" w:cs="Times New Roman" w:eastAsia="Times New Roman" w:hAnsi="Times New Roman"/>
                <w:sz w:val="12"/>
                <w:szCs w:val="12"/>
                <w:b w:val="1"/>
                <w:bCs w:val="1"/>
                <w:color w:val="auto"/>
                <w:w w:val="96"/>
              </w:rPr>
              <w:t>Total WTW</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040" w:type="dxa"/>
            <w:vAlign w:val="bottom"/>
          </w:tcPr>
          <w:p>
            <w:pPr>
              <w:jc w:val="right"/>
              <w:ind w:right="349"/>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209"/>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70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1"/>
                <w:szCs w:val="11"/>
                <w:color w:val="auto"/>
              </w:rPr>
            </w:pPr>
          </w:p>
        </w:tc>
        <w:tc>
          <w:tcPr>
            <w:tcW w:w="660" w:type="dxa"/>
            <w:vAlign w:val="bottom"/>
            <w:gridSpan w:val="2"/>
          </w:tcPr>
          <w:p>
            <w:pPr>
              <w:jc w:val="right"/>
              <w:ind w:right="89"/>
              <w:spacing w:after="0" w:line="135"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1"/>
                <w:szCs w:val="11"/>
                <w:color w:val="auto"/>
              </w:rPr>
            </w:pPr>
          </w:p>
        </w:tc>
        <w:tc>
          <w:tcPr>
            <w:tcW w:w="6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00" w:type="dxa"/>
            <w:vAlign w:val="bottom"/>
          </w:tcPr>
          <w:p>
            <w:pPr>
              <w:spacing w:after="0"/>
              <w:rPr>
                <w:sz w:val="11"/>
                <w:szCs w:val="11"/>
                <w:color w:val="auto"/>
              </w:rPr>
            </w:pPr>
          </w:p>
        </w:tc>
        <w:tc>
          <w:tcPr>
            <w:tcW w:w="9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520" w:type="dxa"/>
            <w:vAlign w:val="bottom"/>
          </w:tcPr>
          <w:p>
            <w:pPr>
              <w:spacing w:after="0"/>
              <w:rPr>
                <w:sz w:val="13"/>
                <w:szCs w:val="13"/>
                <w:color w:val="auto"/>
              </w:rPr>
            </w:pPr>
          </w:p>
        </w:tc>
        <w:tc>
          <w:tcPr>
            <w:tcW w:w="10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2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w w:val="91"/>
              </w:rPr>
              <w:t>shares</w:t>
            </w:r>
          </w:p>
        </w:tc>
        <w:tc>
          <w:tcPr>
            <w:tcW w:w="100" w:type="dxa"/>
            <w:vAlign w:val="bottom"/>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w w:val="96"/>
              </w:rPr>
              <w:t>Total equity</w:t>
            </w: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128,965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10,748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2,434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(2,359 )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10,820</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10,932</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(7,155 )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(1,627 )</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4,222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4,222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($3.02 per share)</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0" w:type="dxa"/>
            <w:vAlign w:val="bottom"/>
          </w:tcPr>
          <w:p>
            <w:pPr>
              <w:spacing w:after="0"/>
              <w:rPr>
                <w:sz w:val="1"/>
                <w:szCs w:val="1"/>
                <w:color w:val="auto"/>
              </w:rPr>
            </w:pPr>
          </w:p>
        </w:tc>
      </w:tr>
      <w:tr>
        <w:trPr>
          <w:trHeight w:val="139"/>
        </w:trPr>
        <w:tc>
          <w:tcPr>
            <w:tcW w:w="35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attributable to non-controlling</w:t>
            </w:r>
          </w:p>
        </w:tc>
        <w:tc>
          <w:tcPr>
            <w:tcW w:w="10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10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39"/>
        </w:trPr>
        <w:tc>
          <w:tcPr>
            <w:tcW w:w="35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shares under employee stock</w:t>
            </w:r>
          </w:p>
        </w:tc>
        <w:tc>
          <w:tcPr>
            <w:tcW w:w="10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 plans</w:t>
            </w:r>
          </w:p>
        </w:tc>
        <w:tc>
          <w:tcPr>
            <w:tcW w:w="10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and net settlements</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Reduction of non-controlling interests </w:t>
            </w:r>
            <w:r>
              <w:rPr>
                <w:rFonts w:ascii="Times New Roman" w:cs="Times New Roman" w:eastAsia="Times New Roman" w:hAnsi="Times New Roman"/>
                <w:sz w:val="19"/>
                <w:szCs w:val="19"/>
                <w:color w:val="auto"/>
                <w:vertAlign w:val="superscript"/>
              </w:rPr>
              <w:t>(ii)</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122,056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10,804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4,645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(2,186 )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13,260</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13,308</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(15,729 )</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(3,530 )</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(3,530 )</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(3,530 )</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($3.28 per share)</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0" w:type="dxa"/>
            <w:vAlign w:val="bottom"/>
          </w:tcPr>
          <w:p>
            <w:pPr>
              <w:spacing w:after="0"/>
              <w:rPr>
                <w:sz w:val="1"/>
                <w:szCs w:val="1"/>
                <w:color w:val="auto"/>
              </w:rPr>
            </w:pPr>
          </w:p>
        </w:tc>
      </w:tr>
      <w:tr>
        <w:trPr>
          <w:trHeight w:val="139"/>
        </w:trPr>
        <w:tc>
          <w:tcPr>
            <w:tcW w:w="35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attributable to non-controlling</w:t>
            </w:r>
          </w:p>
        </w:tc>
        <w:tc>
          <w:tcPr>
            <w:tcW w:w="10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10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(436 )</w:t>
            </w:r>
          </w:p>
        </w:tc>
        <w:tc>
          <w:tcPr>
            <w:tcW w:w="0" w:type="dxa"/>
            <w:vAlign w:val="bottom"/>
          </w:tcPr>
          <w:p>
            <w:pPr>
              <w:spacing w:after="0"/>
              <w:rPr>
                <w:sz w:val="1"/>
                <w:szCs w:val="1"/>
                <w:color w:val="auto"/>
              </w:rPr>
            </w:pPr>
          </w:p>
        </w:tc>
      </w:tr>
      <w:tr>
        <w:trPr>
          <w:trHeight w:val="139"/>
        </w:trPr>
        <w:tc>
          <w:tcPr>
            <w:tcW w:w="35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shares under employee stock</w:t>
            </w:r>
          </w:p>
        </w:tc>
        <w:tc>
          <w:tcPr>
            <w:tcW w:w="10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 plans</w:t>
            </w:r>
          </w:p>
        </w:tc>
        <w:tc>
          <w:tcPr>
            <w:tcW w:w="10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and net settlements</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Additional non-controlling interests</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Reduction of non-controlling interests </w:t>
            </w:r>
            <w:r>
              <w:rPr>
                <w:rFonts w:ascii="Times New Roman" w:cs="Times New Roman" w:eastAsia="Times New Roman" w:hAnsi="Times New Roman"/>
                <w:sz w:val="19"/>
                <w:szCs w:val="19"/>
                <w:color w:val="auto"/>
                <w:vertAlign w:val="superscript"/>
              </w:rPr>
              <w:t>(ii)</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106,756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10,876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10,016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10,093</w:t>
            </w: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(4,483 )</w:t>
            </w: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declared ($3.36 per share)</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0" w:type="dxa"/>
            <w:vAlign w:val="bottom"/>
          </w:tcPr>
          <w:p>
            <w:pPr>
              <w:spacing w:after="0"/>
              <w:rPr>
                <w:sz w:val="1"/>
                <w:szCs w:val="1"/>
                <w:color w:val="auto"/>
              </w:rPr>
            </w:pPr>
          </w:p>
        </w:tc>
      </w:tr>
      <w:tr>
        <w:trPr>
          <w:trHeight w:val="139"/>
        </w:trPr>
        <w:tc>
          <w:tcPr>
            <w:tcW w:w="3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attributable to non-controlling</w:t>
            </w:r>
          </w:p>
        </w:tc>
        <w:tc>
          <w:tcPr>
            <w:tcW w:w="10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85"/>
        </w:trPr>
        <w:tc>
          <w:tcPr>
            <w:tcW w:w="3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0" w:type="dxa"/>
            <w:vAlign w:val="bottom"/>
          </w:tcPr>
          <w:p>
            <w:pPr>
              <w:spacing w:after="0"/>
              <w:rPr>
                <w:sz w:val="1"/>
                <w:szCs w:val="1"/>
                <w:color w:val="auto"/>
              </w:rPr>
            </w:pPr>
          </w:p>
        </w:tc>
      </w:tr>
      <w:tr>
        <w:trPr>
          <w:trHeight w:val="139"/>
        </w:trPr>
        <w:tc>
          <w:tcPr>
            <w:tcW w:w="3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shares under employee stock</w:t>
            </w:r>
          </w:p>
        </w:tc>
        <w:tc>
          <w:tcPr>
            <w:tcW w:w="10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 plans</w:t>
            </w: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 and net settlements</w:t>
            </w: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Reduction of non-controlling interests </w:t>
            </w:r>
            <w:r>
              <w:rPr>
                <w:rFonts w:ascii="Times New Roman" w:cs="Times New Roman" w:eastAsia="Times New Roman" w:hAnsi="Times New Roman"/>
                <w:sz w:val="19"/>
                <w:szCs w:val="19"/>
                <w:color w:val="auto"/>
                <w:vertAlign w:val="superscript"/>
              </w:rPr>
              <w:t>(ii)</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75"/>
        </w:trPr>
        <w:tc>
          <w:tcPr>
            <w:tcW w:w="3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102,538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10,910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9,520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9,593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-2773680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-2773680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-2773680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-2773680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-2773680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-2773680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-2773680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-1463675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-1463675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-1463675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-1463675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-1463675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-1463675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-1463675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-144780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-144780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-144780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-144780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-144780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-144780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-144780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64" w:lineRule="exact"/>
        <w:rPr>
          <w:sz w:val="20"/>
          <w:szCs w:val="20"/>
          <w:color w:val="auto"/>
        </w:rPr>
      </w:pPr>
    </w:p>
    <w:p>
      <w:pPr>
        <w:ind w:left="280" w:hanging="272"/>
        <w:spacing w:after="0"/>
        <w:tabs>
          <w:tab w:leader="none" w:pos="2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1" w:lineRule="exact"/>
        <w:rPr>
          <w:rFonts w:ascii="Times New Roman" w:cs="Times New Roman" w:eastAsia="Times New Roman" w:hAnsi="Times New Roman"/>
          <w:sz w:val="13"/>
          <w:szCs w:val="13"/>
          <w:color w:val="auto"/>
        </w:rPr>
      </w:pPr>
    </w:p>
    <w:p>
      <w:pPr>
        <w:ind w:left="280" w:right="20" w:hanging="272"/>
        <w:spacing w:after="0" w:line="277" w:lineRule="auto"/>
        <w:tabs>
          <w:tab w:leader="none" w:pos="2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1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are in millions of U.S. dollars, except per share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Willis Towers Watson Public Limited Company is a leading global advisory, broking and solutions company that provides data-driven, insight-led solutions in the areas of people, risk and capital. The Company has 48,000 colleagues serving more than 140 countries and markets.</w:t>
      </w:r>
    </w:p>
    <w:p>
      <w:pPr>
        <w:spacing w:after="0" w:line="10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2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23"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8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23"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5" w:lineRule="exact"/>
        <w:rPr>
          <w:sz w:val="20"/>
          <w:szCs w:val="20"/>
          <w:color w:val="auto"/>
        </w:rPr>
      </w:pPr>
    </w:p>
    <w:p>
      <w:pPr>
        <w:ind w:right="3220"/>
        <w:spacing w:after="0" w:line="440" w:lineRule="auto"/>
        <w:rPr>
          <w:sz w:val="20"/>
          <w:szCs w:val="20"/>
          <w:color w:val="auto"/>
        </w:rPr>
      </w:pPr>
      <w:r>
        <w:rPr>
          <w:rFonts w:ascii="Times New Roman" w:cs="Times New Roman" w:eastAsia="Times New Roman" w:hAnsi="Times New Roman"/>
          <w:sz w:val="18"/>
          <w:szCs w:val="18"/>
          <w:b w:val="1"/>
          <w:bCs w:val="1"/>
          <w:color w:val="auto"/>
        </w:rPr>
        <w:t>Note 2 — Basis of Presentation, Significant Accounting Policies and Recent Accounting Pronouncements Basis of Presentation</w:t>
      </w:r>
    </w:p>
    <w:p>
      <w:pPr>
        <w:spacing w:after="0" w:line="265"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of WTW and our subsidiaries are presented in accordance with the rules and regulations of the SEC for annual reports on Form 10-K and are prepared in accordance with U.S. GAAP. All intercompany accounts and transactions have been eliminated in consolidation.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accompanying consolidated financial statements include the accounts of WTW and those of our majority-owned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subsidiaries. We determine whether we have a controlling financial interest in an entity by first evaluating whether the entity is a voting interest entity or a variable interest entity (‘VIE’). Variable interest entities are entities that lack one or more of the characteristics of a voting interest entity and therefore require a different approach in determining which party involved with the VIE should consolidate the entity. With a VIE, either the entity does not have sufficient equity at risk to finance its activities without additional subordinated financial support from other parties, or the equity holders, as a group, do not have the power to direct the activities that most significantly impact its financial performance, the obligation to absorb expected losses of the entity, or the right to receive the expected residual returns of the entity. The entity that has a controlling financial interest in a VIE is referred to as the primary beneficiary and is required to consolidate the VIE.</w:t>
      </w:r>
    </w:p>
    <w:p>
      <w:pPr>
        <w:spacing w:after="0" w:line="13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Voting interest entities are entities that have sufficient equity and provide equity investors voting rights that give them the power to make significant decisions related to the entity’s operations. The usual condition for a controlling financial interest in a voting interest entity is ownership of a majority voting interest. Accordingly, we consolidate our voting interest entity investments in which we hold, directly or indirectly, more than 50% of the voting rights.</w:t>
      </w:r>
    </w:p>
    <w:p>
      <w:pPr>
        <w:spacing w:after="0" w:line="126"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Use of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These consolidated financial statements conform to U.S. GAAP, which requires management to make estimates and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reported amounts of assets and liabilities as well as disclosures of contingent assets and liabilities at the date of the financial statements and the reported amounts of revenue and expenses during the reporting periods. Our estimates,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79" w:name="page80"/>
    <w:bookmarkEnd w:id="79"/>
    <w:p>
      <w:pPr>
        <w:ind w:right="160"/>
        <w:spacing w:after="0" w:line="260" w:lineRule="auto"/>
        <w:rPr>
          <w:sz w:val="20"/>
          <w:szCs w:val="20"/>
          <w:color w:val="auto"/>
        </w:rPr>
      </w:pPr>
      <w:r>
        <w:rPr>
          <w:rFonts w:ascii="Times New Roman" w:cs="Times New Roman" w:eastAsia="Times New Roman" w:hAnsi="Times New Roman"/>
          <w:sz w:val="18"/>
          <w:szCs w:val="18"/>
          <w:color w:val="auto"/>
        </w:rPr>
        <w:t>judgments and assumptions are continually evaluated based on available information and experience. Because of the use of estimates inherent in the financial reporting process, actual results could differ from those estimates. Estimates are used when accounting for revenue recognition and related costs, the selection of useful lives of fixed and intangible assets, impairment testing, valuation of billed and unbilled receivables from clients, discretionary compensation, income taxes, pension assumptions, incurred but not reported claims, legal reserves and goodwill and intangible assets.</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Management evaluates at each annual and interim period whether there are conditions or events, considered in the aggregate, that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date of these financial statements.</w:t>
      </w:r>
    </w:p>
    <w:p>
      <w:pPr>
        <w:spacing w:after="0" w:line="1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carrying values of our cash, cash equivalents and restricted cash, accounts receivable, short-term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and revolving lines of credit approximate their fair values because of the short maturity and liquidity of those instruments. The fair value of our senior notes and note receivable are considered Level 2 financial instruments as they are corroborated by observable market data. See Note 12 — Fair Value Measurements for additional information about our measurements of fair value.</w:t>
      </w:r>
    </w:p>
    <w:p>
      <w:pPr>
        <w:spacing w:after="0" w:line="12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and cash equivalents primarily consist of time deposits with original maturities of three months or less. In certain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countries in which we conduct business, we are subject to capital adequacy requirements. Most significantly, Willis Limited, our U.K. brokerage subsidiary regulated by the Financial Conduct Authority, is currently required to maintain $105 million in unencumbered and available financial resources, of which at least $66 million must be in cash, for regulatory purposes. Term deposits and certificates of deposits with original maturities greater than three months are considered to be short-term investments and are included in Prepaid and other current assets. Additionally, see Note 21 — Supplemental Disclosures of Cash Flow Information for a reconciliation of the cash, cash equivalents and restricted cash as presented on our consolidated balance sheets and the consolidated statements of cash flows.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Fiduciary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collects premiums from insureds and, after deducting commissions, remits the premiums to the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insurers. The Company also collects claims or refunds from insurers on behalf of insureds. Certain of our health and welfare benefits administration outsourcing agreements require us to hold funds on behalf of clients to pay obligations on their behalf or for plan participants to pay for medical costs (‘benefit funds’). Benefit funds held in cash and cash equivalents are part of fiduciary funds. In some instances, plan participants direct us to invest these benefit funds on their behalf (‘benefit funds investments’). Each of these transactions is reported on our consolidated balance sheets as assets and corresponding liabilities unless such balances are due to or from the same party and a right of offset exists, in which case the balances are recorded net.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assets on the consolidated balance sheets are comprised of fiduciary funds, benefit funds investments and fiduciary receivables:</w:t>
      </w:r>
    </w:p>
    <w:p>
      <w:pPr>
        <w:spacing w:after="0" w:line="169" w:lineRule="exact"/>
        <w:rPr>
          <w:sz w:val="20"/>
          <w:szCs w:val="20"/>
          <w:color w:val="auto"/>
        </w:rPr>
      </w:pPr>
    </w:p>
    <w:p>
      <w:pPr>
        <w:ind w:left="38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Fiduciary funds – </w:t>
      </w:r>
      <w:r>
        <w:rPr>
          <w:rFonts w:ascii="Times New Roman" w:cs="Times New Roman" w:eastAsia="Times New Roman" w:hAnsi="Times New Roman"/>
          <w:sz w:val="18"/>
          <w:szCs w:val="18"/>
          <w:color w:val="auto"/>
        </w:rPr>
        <w:t>These amounts are restricted cash and cash equivalents held for unremitted insurance premiums and claims and benefit funds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and are recorded within fiduciary assets on the consolidated balance sheets. Fiduciary funds are generally required to be kept in certain regulated bank accounts subject to guidelines which emphasize capital preservation and liquidity. Such funds are not available to service the Company’s debt or for other corporate purposes. Notwithstanding the legal relationships with insureds and insurers and excluding earnings on benefit funds, the Company is entitled to retain investment income earned on fiduciary funds in accordance with industry custom and practice and, in some cases, as supported by agreements with insureds. The period for which the Company holds such funds in its broking capacity is dependent upon the date the insured remits the payment of the premium to the Company, or the date the Company receives a refund from the insurer, and the date the Company is required to forward such payments to the insurer or insured, respectively. For the benefit funds, cash and cash equivalents are held until the funds are directed by plan participants to either be invested in mutual funds or paid out on their behalf. Fiduciary funds are included in the beginning and ending balances of cash, cash equivalents and restricted cash in the consolidated statements of cash flows. See Note 21 — Supplemental Disclosures of Cash Flow Information for a reconciliation of the fiduciary funds as presented on our consolidated balance sheets and the consolidated statements of cash flows.</w:t>
      </w:r>
    </w:p>
    <w:p>
      <w:pPr>
        <w:spacing w:after="0" w:line="132" w:lineRule="exact"/>
        <w:rPr>
          <w:sz w:val="20"/>
          <w:szCs w:val="20"/>
          <w:color w:val="auto"/>
        </w:rPr>
      </w:pPr>
    </w:p>
    <w:p>
      <w:pPr>
        <w:ind w:left="380" w:right="2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Benefit funds investments – </w:t>
      </w:r>
      <w:r>
        <w:rPr>
          <w:rFonts w:ascii="Times New Roman" w:cs="Times New Roman" w:eastAsia="Times New Roman" w:hAnsi="Times New Roman"/>
          <w:sz w:val="18"/>
          <w:szCs w:val="18"/>
          <w:color w:val="auto"/>
        </w:rPr>
        <w:t>Benefit funds investments can be invested in open-ended mutual funds at the direction of the participant. Such funds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available to service the Company’s debt or for other corporate purposes and earnings accrue to the participant.</w:t>
      </w:r>
    </w:p>
    <w:p>
      <w:pPr>
        <w:spacing w:after="0" w:line="105" w:lineRule="exact"/>
        <w:rPr>
          <w:sz w:val="20"/>
          <w:szCs w:val="20"/>
          <w:color w:val="auto"/>
        </w:rPr>
      </w:pPr>
    </w:p>
    <w:p>
      <w:pPr>
        <w:ind w:left="38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Fiduciary receivables – </w:t>
      </w:r>
      <w:r>
        <w:rPr>
          <w:rFonts w:ascii="Times New Roman" w:cs="Times New Roman" w:eastAsia="Times New Roman" w:hAnsi="Times New Roman"/>
          <w:sz w:val="18"/>
          <w:szCs w:val="18"/>
          <w:color w:val="auto"/>
        </w:rPr>
        <w:t>Uncollected premiums from insureds, uncollected claims or refunds from insurers and unremitted benefits funds are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fiduciary assets on the consolidated balance sheets. In certain instances, the Company advances premiums, refunds or claims to insurance underwriters or insureds prior to collection. Such advances are made from fiduciary funds and are reflected in the consolidated balance sheets as fiduciary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80" w:name="page81"/>
    <w:bookmarkEnd w:id="80"/>
    <w:p>
      <w:pPr>
        <w:ind w:right="480"/>
        <w:spacing w:after="0" w:line="265" w:lineRule="auto"/>
        <w:rPr>
          <w:sz w:val="20"/>
          <w:szCs w:val="20"/>
          <w:color w:val="auto"/>
        </w:rPr>
      </w:pPr>
      <w:r>
        <w:rPr>
          <w:rFonts w:ascii="Times New Roman" w:cs="Times New Roman" w:eastAsia="Times New Roman" w:hAnsi="Times New Roman"/>
          <w:sz w:val="18"/>
          <w:szCs w:val="18"/>
          <w:color w:val="auto"/>
        </w:rPr>
        <w:t>Fiduciary liabilities on the consolidated balance sheets represent the obligations to remit all fiduciary assets as required under the terms of the various arrangements. Fiduciary receivables and liabilities for which cash has not been collected are equal and offsetting and have not been presented in the consolidated statements of cash flows.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Accounts receivable includes both billed and unbilled receivables and is stated at estimated net realizable values. Provision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billed receivables is recorded, when necessary, in an amount considered by management to be sufficient to meet probable future losses related to uncollectible accounts. Accrued and unbilled receivables are stated at net realizable value which includes an allowance for accrued and unbillable amounts. See Note 4 — Revenue for additional information about our accounts receivable.</w:t>
      </w:r>
    </w:p>
    <w:p>
      <w:pPr>
        <w:spacing w:after="0" w:line="1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Acquired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part of the acquisition accounting for the TRANZACT business in 2019, the acquired accounts receivable arising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direct-to-consumer Medicare broking sales were present-valued at the acquisition date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Cash collections for these receivables are expected to occur over a period of several years. Due to the provisions of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(‘ASC 606’), these receivables are not discounted for a significant financing component when initially recognized.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the acquired renewal commissions receivables have been accounted for prospectively using the cost-recovery method in which future cash receipts will initially be applied against the acquisition date fair value until the value reaches zero. Any cash received in excess of the fair value determined at acquisition is recorded to earnings when it is received. The adjusted values of these acquired renewal commissions receivables are included in Prepaid and other current assets or Other non-current assets, as appropriate, on the consolidated balance sheets.</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recognizes deferred tax assets and liabilities for the estimated future tax consequences of events attributable to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for continuing operations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Positions taken in the Company’s tax returns may be subject to challenge by the taxing authorities upon examination. The Company recognizes the benefits of uncertain tax positions in the financial statements when it is more likely than not that a position will be sustained on the basis of the technical merits of the position assuming the tax authorities have full knowledge of the position and all relevant facts. Recognition also occurs upon either the lapse of the relevant statute of limitations or when positions are effectively settled. The benefit recognized is the largest amount of tax benefit that is greater than 50 percent likely to be realized on settlement with the tax authority. The Company adjusts its recognition of uncertain tax benefits in the period in which new information is available impacting either the recognition or measurement of its uncertain tax positions. Such adjustments are reflected as increases or decreases to income taxes in the period in which they are determined.</w:t>
      </w:r>
    </w:p>
    <w:p>
      <w:pPr>
        <w:spacing w:after="0" w:line="13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The Company recognizes interest and penalties relating to unrecognized tax benefits within income taxes. See Note 7 — Income Taxes for additional information regarding the Company’s income taxes.</w:t>
      </w:r>
    </w:p>
    <w:p>
      <w:pPr>
        <w:spacing w:after="0" w:line="1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Transactions in currencies other than the functional currency of the entity are recorded at the rates of exchange prevailing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transaction. Monetary assets and liabilities in currencies other than the functional currency are translated at the rates of exchange prevailing at the balance sheet date and the related transaction gains and losses are reported as income or expense in the consolidated statements of comprehensive income. Certain intercompany loans are determined to be of a long-term investment nature. The Company records transaction gains and losses from re-measuring such loans as other comprehensive income in the consolidated statements of comprehensive income.</w:t>
      </w:r>
    </w:p>
    <w:p>
      <w:pPr>
        <w:spacing w:after="0" w:line="13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Upon consolidation, the results of operations of subsidiaries and associates whose functional currency is other than the U.S. dollar are translated into U.S. dollars at the average exchange rates, and assets and liabilities are translated at year-end exchange rates. Translation adjustments are presented as a separate component of other comprehensive income in the financial statements and are included in net income only upon sale or liquidation of the underlying foreign subsidiary or associated company.</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uses derivative financial instruments to alter the risk profile of an existing underlying exposure. Forward and option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exchange contracts are used to manage currency exposures arising from future income and expenses and to offset balance sheet exposures in currencies other than the functional currency of an entity. We do not hold any derivatives for trading purposes. The fair values of derivative contracts are recorded in other assets and other liabilities in the consolidated balance sheets. The effective portions of changes in the fair value of derivatives that qualify for hedge accounting as cash flow hedges are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81" w:name="page82"/>
    <w:bookmarkEnd w:id="81"/>
    <w:p>
      <w:pPr>
        <w:ind w:right="60"/>
        <w:spacing w:after="0" w:line="258" w:lineRule="auto"/>
        <w:rPr>
          <w:sz w:val="20"/>
          <w:szCs w:val="20"/>
          <w:color w:val="auto"/>
        </w:rPr>
      </w:pPr>
      <w:r>
        <w:rPr>
          <w:rFonts w:ascii="Times New Roman" w:cs="Times New Roman" w:eastAsia="Times New Roman" w:hAnsi="Times New Roman"/>
          <w:sz w:val="18"/>
          <w:szCs w:val="18"/>
          <w:color w:val="auto"/>
        </w:rPr>
        <w:t>recorded in other comprehensive income. Amounts are reclassified from other comprehensive income into earnings when the hedged exposure affects earnings. If the derivative is designated and qualifies as an effective hedge, the changes in the fair value of the derivative and of the hedged item associated with the hedged risk are both recognized in earnings. The amount of hedge ineffectiveness recognized in earnings is based on the extent to which an offset between the fair value of the derivative and hedged item is not achieved. Changes in the fair value of derivatives that do not qualify for hedge accounting, together with any hedge ineffectiveness on those that do qualify, are recorded in Other income, net or interest expense as appropriate.</w:t>
      </w:r>
    </w:p>
    <w:p>
      <w:pPr>
        <w:spacing w:after="0" w:line="128"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The Company evaluates whether its contracts include clauses or conditions which would be required to be separately accounted for at fair value as embedded derivatives. See Note 10 — Derivative Financial Instruments for additional information about the Company’s derivatives.</w:t>
      </w:r>
    </w:p>
    <w:p>
      <w:pPr>
        <w:spacing w:after="0" w:line="1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Commitments, Contingencies and Provisions for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establishes provisions against various actual and potential claims,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proceedings relating principally to alleged errors and omissions in the ordinary course of business. Such provisions cover claims that have been reported but not paid and also unasserted claims and related legal fees. These provisions are established based on actuarial estimates together with individual case reviews and are believed to be adequate in light of current information and legal advice. In certain cases, where a range of loss exists, we accrue the minimum amount in the range if no amount within the range is a better estimate than any other amount. To the extent such losses can be recovered under the Company’s insurance programs, estimated recoveries are recorded when losses for insured events are recognized and the recoveries are likely to be realized. Significant management judgment is required to estimate the amounts of such unasserted claims and the related insurance recoveries. The Company analyzes its litigation exposure based on available information, including consultation with outside counsel handling the defense of these matters, to assess its potential liability. These contingent liabilities are not discounted. See Note 15 — Commitments and Contingencies and Note 16 — Supplementary Information for Certain Balance Sheet Accounts for additional information about our commitments, contingencies and provisions for liabilities.</w:t>
      </w:r>
    </w:p>
    <w:p>
      <w:pPr>
        <w:spacing w:after="0" w:line="135"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equity-based compensation plans that provide for grants of restricted stock units and stock options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non-employee directors of the Company. Additionally, the Company has cash-settled share-based compensation plans that provide for grants to employees.</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expenses equity-based compensation, which is included in Salaries and benefits in the consolidated statements of comprehensive income, primarily on a straight-line basis over the requisite service period. The significant assumptions underlying our expense calculations include the fair value of the award on the date of grant, the estimated achievement of any performance targets and estimated forfeiture rates. The awards under equity-based compensation are classified as equity and are included as a component of equity on the Company’s consolidated balance sheets, as the ultimate payment of such awards will not be achieved through use of the Company’s cash or other assets.</w:t>
      </w:r>
    </w:p>
    <w:p>
      <w:pPr>
        <w:spacing w:after="0" w:line="12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For the cash-settled share-based compensation, the Company recognizes a liability for the fair-value of the awards as of each reporting date. The liability for these awards is included within Other current liabilities or Other non-current liabilities in the consolidated balance sheets depending on when the amounts are payable. Expense is recognized over the service period, and as the liability is remeasured at the end of each reporting period, changes in fair value are recognized as compensation cost within Salaries and benefits in the consolidated statements of comprehensive income. The significant assumptions underlying our expense calculations include the estimated achievement of any performance targets and estimated forfeiture 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 Share-based Compensation for additional information about the Company’s share-based compensation.</w:t>
      </w:r>
    </w:p>
    <w:p>
      <w:pPr>
        <w:spacing w:after="0" w:line="169"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Fixed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Fixed assets are stated at cost less accumulated depreciation. Expenditures for improvements are capitalized; repairs and maintenance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to expense as incurred. Depreciation is computed primarily using the straight-line method based on the estimated useful lives of assets.</w:t>
      </w:r>
    </w:p>
    <w:p>
      <w:pPr>
        <w:spacing w:after="0" w:line="10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Depreciation on internally-developed software is amortized over the estimated useful life of the asset ranging from 3 to 10 years. Buildings include assets held under finance leases and are depreciated over the lesser of 50 years, the asset lives or the lease terms, as appropriate. Depreciation on leasehold improvements is calculated over the lesser of the useful lives of the assets or the remaining lease terms. Depreciation on furniture and equipment is calculated based on a range of 3 to 10 years. Land is not depreciated.</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Long-lived assets are tested for recoverability whenever events or changes in circumstance indicate that their carrying amounts may not be recoverable. An impairment loss is recognized if the carrying amount of a long-lived asset is not recoverable and exceeds its fair value. Recoverability is determined based on the undiscounted cash flows expected to result from the use and eventual disposition of the asset or asset group. Long-lived assets and certain identifiable intangible assets to be disposed of are reported at the lower of carrying amount or fair value less cost to sell. See Note 8 — Fixed Assets for additional information about our fixed assets.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82" w:name="page83"/>
    <w:bookmarkEnd w:id="82"/>
    <w:p>
      <w:pPr>
        <w:ind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As an advisory, broking and solutions company providing services to clients in more than 140 countries, we enter into lease agreements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time to time, primarily for the use of real estate for our office space. We determine if an arrangement is a lease at the inception of the contract, and the nature of our operations is such that it is generally clear whether an arrangement contains a lease and what underlying asset is being leased. The majority of the leases into which we enter are operating leases. Upon entering into leases, we obtain the right to control the use of an identified space for a lease term and recognize these right-of-use (‘ROU’) assets on our consolidated balance sheets with corresponding lease liabilities reflecting our obligation to make the related lease payments. ROU assets are amortized over the term of the lease.</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12529"/>
        </w:rPr>
        <w:t>Our real estate leases are generally long-term in nature, with terms that currently range from three to 11 years. Our most significant lease supports our London market operations with a lease term through 2032. Our real estate leases often contain options to renew the lease, either through exercise of the option or through automatic renewal. Additionally, certain leases have options to cancel the lease with appropriate notice to the landlord prior to the end of the stated lease term. As we enter into new leases, we consider these options as we assess lease terms in our recognized ROU assets and lease liabilities. If we are reasonably certain to exercise an option to renew a lease, we include this period in our lease term. To the extent that we have the option to cancel a lease, we recognize our ROU assets and lease liabilities using the term that would result from using this earlier date. If a significant penalty is required to cancel the lease at an earlier date, we assess our lease term as ending at the point when no significant penalty would be due.</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12529"/>
        </w:rPr>
        <w:t xml:space="preserve">In addition to payments for previously-agreed base rent, many of our lease agreements are subject to variable and unknown future payments, typically in the form of common area maintenance charges (a non-lease component as defined by ASC 842, </w:t>
      </w:r>
      <w:r>
        <w:rPr>
          <w:rFonts w:ascii="Times New Roman" w:cs="Times New Roman" w:eastAsia="Times New Roman" w:hAnsi="Times New Roman"/>
          <w:sz w:val="18"/>
          <w:szCs w:val="18"/>
          <w:i w:val="1"/>
          <w:iCs w:val="1"/>
          <w:color w:val="212529"/>
        </w:rPr>
        <w:t>Leases</w:t>
      </w:r>
      <w:r>
        <w:rPr>
          <w:rFonts w:ascii="Times New Roman" w:cs="Times New Roman" w:eastAsia="Times New Roman" w:hAnsi="Times New Roman"/>
          <w:sz w:val="18"/>
          <w:szCs w:val="18"/>
          <w:color w:val="212529"/>
        </w:rPr>
        <w:t xml:space="preserve"> (‘ASC 842’)) or real estate taxes. These variable payments are excluded from our lease liabilities and ROU assets, and instead are recognized as lease expense within Other operating expenses on the consolidated statement of comprehensive income as the amounts are incurred. To the extent that we have agreed to fixed charges for common area maintenance or other non-lease components, or our base rent increases by an index or rate (most commonly an inflation rate), these amounts are included in the measurement of our lease liabilities and ROU assets. We have elected the practical expedient under ASC 842 which allows the lease and non-lease components to be combined in our measurement of lease liabilities and ROU assets.</w:t>
      </w:r>
    </w:p>
    <w:p>
      <w:pPr>
        <w:spacing w:after="0" w:line="133"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212529"/>
        </w:rPr>
        <w:t>From time to time we may enter into subleases if we are unable to cancel or fully occupy a space and are able to find an appropriate subtenant. However, entering subleases is not a primary objective of our business operations and these arrangements do not currently represent a material amount of cash flows.</w:t>
      </w:r>
    </w:p>
    <w:p>
      <w:pPr>
        <w:spacing w:after="0" w:line="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212529"/>
        </w:rPr>
        <w:t>We are required to use judgment in the determination of the incremental borrowing rates to calculate the present values of our future lease payments. Since the majority of our debt is publicly traded, our real estate function is centralized, and our treasury function is centralized and generally prohibits our subsidiaries from borrowing externally, we have determined it appropriate to use the Company’s consolidated unsecured borrowing rate, and we adjust for collateralization in accordance with ASC 842. Using the resulting interest rate curves from publicly traded debt at this collateralized borrowing rate, we select the interest rate at lease inception by reference to the lease term and lease currency. Approximately 90% of our leases are denominated in U.S. dollars, Pounds sterling or Euros.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leases generally do not subject us to restrictive covenants and contain no residual value guarantees.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Leases for additional information about our operating leases.</w:t>
      </w:r>
    </w:p>
    <w:p>
      <w:pPr>
        <w:spacing w:after="0" w:line="1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applying the acquisition method of accounting for business combinations, amounts assigned to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exist. The fair values of intangible assets are compared with their carrying values, and an impairment loss would be recognized for the amount by which a carrying amount exceeds its fair value.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held at December 31, 2023 are being amortized on the basis noted and over the following expected life: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506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Amortization basis</w:t>
            </w:r>
          </w:p>
        </w:tc>
        <w:tc>
          <w:tcPr>
            <w:tcW w:w="100" w:type="dxa"/>
            <w:vAlign w:val="bottom"/>
          </w:tcPr>
          <w:p>
            <w:pPr>
              <w:spacing w:after="0"/>
              <w:rPr>
                <w:sz w:val="13"/>
                <w:szCs w:val="13"/>
                <w:color w:val="auto"/>
              </w:rPr>
            </w:pPr>
          </w:p>
        </w:tc>
        <w:tc>
          <w:tcPr>
            <w:tcW w:w="21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Expected life</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5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line with underlying cash flows</w:t>
            </w:r>
          </w:p>
        </w:tc>
        <w:tc>
          <w:tcPr>
            <w:tcW w:w="100" w:type="dxa"/>
            <w:vAlign w:val="bottom"/>
            <w:shd w:val="clear" w:color="auto" w:fill="CFF0FC"/>
          </w:tcPr>
          <w:p>
            <w:pPr>
              <w:spacing w:after="0"/>
              <w:rPr>
                <w:sz w:val="20"/>
                <w:szCs w:val="20"/>
                <w:color w:val="auto"/>
              </w:rPr>
            </w:pPr>
          </w:p>
        </w:tc>
        <w:tc>
          <w:tcPr>
            <w:tcW w:w="21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3 to 21</w:t>
            </w:r>
          </w:p>
        </w:tc>
        <w:tc>
          <w:tcPr>
            <w:tcW w:w="0" w:type="dxa"/>
            <w:vAlign w:val="bottom"/>
          </w:tcPr>
          <w:p>
            <w:pPr>
              <w:spacing w:after="0"/>
              <w:rPr>
                <w:sz w:val="1"/>
                <w:szCs w:val="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line with underlying cash flows or straight-line basis</w:t>
            </w:r>
          </w:p>
        </w:tc>
        <w:tc>
          <w:tcPr>
            <w:tcW w:w="100" w:type="dxa"/>
            <w:vAlign w:val="bottom"/>
          </w:tcPr>
          <w:p>
            <w:pPr>
              <w:spacing w:after="0"/>
              <w:rPr>
                <w:sz w:val="20"/>
                <w:szCs w:val="20"/>
                <w:color w:val="auto"/>
              </w:rPr>
            </w:pPr>
          </w:p>
        </w:tc>
        <w:tc>
          <w:tcPr>
            <w:tcW w:w="2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5 to 9</w:t>
            </w: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 and trade name</w:t>
            </w:r>
          </w:p>
        </w:tc>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Straight-line basis</w:t>
            </w:r>
          </w:p>
        </w:tc>
        <w:tc>
          <w:tcPr>
            <w:tcW w:w="100" w:type="dxa"/>
            <w:vAlign w:val="bottom"/>
            <w:shd w:val="clear" w:color="auto" w:fill="CFF0FC"/>
          </w:tcPr>
          <w:p>
            <w:pPr>
              <w:spacing w:after="0"/>
              <w:rPr>
                <w:sz w:val="21"/>
                <w:szCs w:val="21"/>
                <w:color w:val="auto"/>
              </w:rPr>
            </w:pPr>
          </w:p>
        </w:tc>
        <w:tc>
          <w:tcPr>
            <w:tcW w:w="21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5 to 25</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line with underlying cash flows or straight-line basis</w:t>
            </w:r>
          </w:p>
        </w:tc>
        <w:tc>
          <w:tcPr>
            <w:tcW w:w="100" w:type="dxa"/>
            <w:vAlign w:val="bottom"/>
          </w:tcPr>
          <w:p>
            <w:pPr>
              <w:spacing w:after="0"/>
              <w:rPr>
                <w:sz w:val="20"/>
                <w:szCs w:val="20"/>
                <w:color w:val="auto"/>
              </w:rPr>
            </w:pPr>
          </w:p>
        </w:tc>
        <w:tc>
          <w:tcPr>
            <w:tcW w:w="2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5 to 11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Goodwill is tested for impairment annually as of October 1, and whenever indicators of impairment exist. Goodwill is tested at the reporting unit level, and the Company had seven reporting units as of October 1, 2023. In the impairment test, the fair value of each reporting unit is compared with its carrying value, including goodwill. If the carrying value of a reporting unit exceeds its fair value,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83" w:name="page84"/>
    <w:bookmarkEnd w:id="83"/>
    <w:p>
      <w:pPr>
        <w:ind w:right="40"/>
        <w:spacing w:after="0" w:line="265" w:lineRule="auto"/>
        <w:rPr>
          <w:sz w:val="20"/>
          <w:szCs w:val="20"/>
          <w:color w:val="auto"/>
        </w:rPr>
      </w:pPr>
      <w:r>
        <w:rPr>
          <w:rFonts w:ascii="Times New Roman" w:cs="Times New Roman" w:eastAsia="Times New Roman" w:hAnsi="Times New Roman"/>
          <w:sz w:val="18"/>
          <w:szCs w:val="18"/>
          <w:color w:val="auto"/>
        </w:rPr>
        <w:t>the difference is recognized as an impairment loss. The Company’s goodwill impairment tests for the years ended December 31, 2023 and 2022 have not resulted in any impairment charges. See Note 9 — Goodwill and Other Intangible Assets for additional information about our goodwill and other intangible assets.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Pensions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multiple defined benefit pension and defined contribution plans. The net periodic cost of the Company’s defined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is measured on an actuarial basis using various methods and actuarial assumptions. The most significant assumptions are the discount rates (formulated using the granular approach to calculating service and interest cost) and the expected long-term rates of return on plan assets. Other material assumptions include rates of participant mortality, the expected long-term rates of compensation and pension increases and rates of employee termination. Gains and losses occur when actual experience differs from actuarial assumptions. If such gains or losses exceed ten percent of the greater of the market-related value of plan assets or the projected benefit obligation, the Company amortizes those gains or losses over the average remaining service period or average remaining life expectancy, as appropriate, of the plan participants. In accordance with U.S. GAAP, the Company records the funded status of its pension plans based on the projected benefit obligation on its consolidated balance sheets.</w:t>
      </w:r>
    </w:p>
    <w:p>
      <w:pPr>
        <w:spacing w:after="0" w:line="13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Contributions to the Company’s defined contribution plans are recognized as incurred. Differences between contributions payable in the year and contributions actually paid are shown as either other assets or other liabilities in the consolidated balance sheets. See Note 13 — Retirement Benefits for additional information about our pensions.</w:t>
      </w:r>
    </w:p>
    <w:p>
      <w:pPr>
        <w:spacing w:after="0" w:line="12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u w:val="single" w:color="auto"/>
          <w:color w:val="auto"/>
        </w:rPr>
        <w:t>Revenue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recognize revenue from a variety of services, with broking, consulting and outsourced administration representing our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offerings. All other revenue streams, which can be recognized at either a point in time or over time, are individually less significant and are grouped in Other in our revenue disaggregation disclosures in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Revenue. These Other revenue streams represent approximately 6% of customer contract revenue from continuing operations each year.</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Broking </w:t>
      </w:r>
      <w:r>
        <w:rPr>
          <w:rFonts w:ascii="Times New Roman" w:cs="Times New Roman" w:eastAsia="Times New Roman" w:hAnsi="Times New Roman"/>
          <w:sz w:val="18"/>
          <w:szCs w:val="18"/>
          <w:color w:val="auto"/>
        </w:rPr>
        <w:t>— Representing 47% to 48% of customer contract revenue from continuing operations each year, in our broking arrangements, we earn revenue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as an intermediary in the placement of effective insurance policies. Generally, we act as an agent and view our client to be the party looking to obtain insurance coverage for various risks, or an employer or sponsoring organization looking to obtain insurance coverage for its employees or members. Also, prior to the disposal of Willis Re (see Note 3— Acquisitions and Divestitures) we acted as an agent in reinsurance broking arrangements where our client was the party looking to cede risks to the reinsurance markets. Our primary performance obligation under the majority of these arrangements is to place an effective insurance or reinsurance policy, but there can also be significant post-placement obligations in certain contracts to which we need to allocate revenue. The most common of these is for claims handling or call center support. The revenue recognition method for these, after the relative fair value allocation, is described further as part of the ‘Outsourced Administration’ description below.</w:t>
      </w:r>
    </w:p>
    <w:p>
      <w:pPr>
        <w:spacing w:after="0" w:line="13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Due to the nature of the majority of our broking arrangements, no single document constitutes the contract for ASC 606 purposes. Our services may be governed by a mixture of different types of contractual arrangements depending on the jurisdiction or type of coverage, including terms of business agreements, broker-of-record letters, statements of work or local custom and practice. This is then confirmed by the client’s acceptance of the underlying insurance contract. Prior to the policy inception date, the client has not accepted nor formally committed to perform under the arrangement (i.e. pay for the insurance coverage in place). Therefore, in the majority of broking arrangements, the contract date is the date the insurance policy incepts. However, in certain instances such as employer-sponsored Medicare broking or Affinity arrangements, where the employer or sponsoring organization is our customer, client acceptance of underlying individual policy placements is not required, and therefore the date at which we have a contract with a customer is not dependent upon placement.</w:t>
      </w:r>
    </w:p>
    <w:p>
      <w:pPr>
        <w:spacing w:after="0" w:line="13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As noted, our primary performance obligations typically consist of only the placement of an effective insurance policy which precedes the inception date of the policy. Therefore, most of our fulfillment costs are incurred before we can recognize revenue, and are thus deferred during the pre-placement process. Where we have material post-placement services obligations, we estimate the relative fair value of the post-placement services using either the expected cost-plus-margin or the market assessment approach.</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from our broking services consists of commissions or fees negotiated in lieu of commissions. At times, we may receive additional income for performing these services from the insurance and reinsurance carriers’ markets, which is collectively referred to as ‘market derived income’. In situations in which our fees are not fixed but are variable, we must estimate the likely commission per policy, taking into account the likelihood of cancellation before the end of the policy term. For employer-sponsored Medicare broking, Affinity arrangements and historically for proportional treaty reinsurance broking, the commissions to which we will be entitled can vary based on the underlying individual insurance policies that are placed. For employer-sponsored Medicare broking and proportional treaty reinsurance broking in particular, we base the estimates of transaction prices on supportable evidence from an analysis of past transactions, and only include amounts that are probable of being received or not refunded (referred to as applying ‘constraint’ under ASC 606). This is an area requiring significant judgment and results in us estimating a transaction price that may be significantly lower than the ultimate amount of commissions we may collect. The transaction price is then adjusted over time as we receive confirmation of our remuneration through receipt of treaty statements, or as other information becomes available.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84" w:name="page85"/>
    <w:bookmarkEnd w:id="84"/>
    <w:p>
      <w:pPr>
        <w:spacing w:after="0" w:line="260" w:lineRule="auto"/>
        <w:rPr>
          <w:sz w:val="20"/>
          <w:szCs w:val="20"/>
          <w:color w:val="auto"/>
        </w:rPr>
      </w:pPr>
      <w:r>
        <w:rPr>
          <w:rFonts w:ascii="Times New Roman" w:cs="Times New Roman" w:eastAsia="Times New Roman" w:hAnsi="Times New Roman"/>
          <w:sz w:val="18"/>
          <w:szCs w:val="18"/>
          <w:color w:val="auto"/>
        </w:rPr>
        <w:t>We recognize revenue for most broking arrangements as of a point in time at the later of the policy inception date or when the policy placement is complete, because this is viewed as the date when control is transferred to the client. For employer-sponsored Medicare broking, we recognize revenue over time, as we stand ready under our agreements to place retiree Medicare coverage. For this type of broking arrangement, we recognize the majority of our placement revenue in the fourth quarter of the calendar year when most of the placement or renewal activity occurs.</w:t>
      </w:r>
    </w:p>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also have a direct-to-consumer Medicare broking offering. The contractual arrangements in this offering differ from our employer-sponsored Medicare broking offering described above. The governing contracts in our direct-to-consumer Medicare broking offering are the contractual arrangements with insurance carriers, for whom we act as an agent, that provide compensation in return for issued policies. Once an application is submitted to a carrier, our obligation is complete, and we have no ongoing fulfillment obligations. We receive compensation from carriers in the form of commissions, administrative fees and marketing fees in the first year, and depending on the type of policy issued, we may receive renewal commissions for up to 25 years, provided the policies are renewed for such periods of time.</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our obligation is complete upon application submission to the carrier, we recognize revenue at that date, which includes both compensation due to us in the first year as well as an estimate of the total renewal commissions that will be received over the lifetime of the policy. This variable consideration estimate requires significant judgment, and will vary based on product type, estimated commission rates, the expected lives of the respective policies and other factors. The Company has applied an actuarial model to account for these uncertainties, which is updated periodically based on actual experience, and includes an element of ‘constraint’ as defined by ASC 606 such that no significant reversal is expected to occur in the future. Actual results will differ from these estimates.</w:t>
      </w:r>
    </w:p>
    <w:p>
      <w:pPr>
        <w:spacing w:after="0" w:line="13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timing of renewal payments in our direct-to-consumer Medicare broking offering is reflective of regulatory restrictions and insurance carriers’ protection for cancellations and varies based on policy holder decisions that are outside of the control of both the Company and the insurance carriers. As such, the estimate of these renewal commissions receivables has not been discounted to reflect a significant financing component.</w:t>
      </w:r>
    </w:p>
    <w:p>
      <w:pPr>
        <w:spacing w:after="0" w:line="121"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Consulting </w:t>
      </w:r>
      <w:r>
        <w:rPr>
          <w:rFonts w:ascii="Times New Roman" w:cs="Times New Roman" w:eastAsia="Times New Roman" w:hAnsi="Times New Roman"/>
          <w:sz w:val="18"/>
          <w:szCs w:val="18"/>
          <w:color w:val="auto"/>
        </w:rPr>
        <w:t>— We earn revenue for advisory and consulting work that may be structured as different types of service offerings, including annual 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projects of a short duration or stand-ready obligations. Collectively, our consulting arrangements represent 32% to 33% of customer contract revenue from continuing operations each year.</w:t>
      </w:r>
    </w:p>
    <w:p>
      <w:pPr>
        <w:spacing w:after="0" w:line="120"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have engagement letters with our clients that specify the terms and conditions upon which the engagements are based. These terms and conditions can only be changed upon agreement by both parties.</w:t>
      </w:r>
    </w:p>
    <w:p>
      <w:pPr>
        <w:spacing w:after="0" w:line="10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 assessing our performance obligations, our consulting work is typically highly integrated, with the various promised services representing inputs of the combined overall output. We view these arrangements as representing a single performance obligation. To the extent we do not integrate our services, as is the case with unrelated services that may be sourced from different areas of our business, we consider these separate performance obligations.</w:t>
      </w:r>
    </w:p>
    <w:p>
      <w:pPr>
        <w:spacing w:after="0" w:line="12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Fee terms can be in the form of fixed-fees (including fixed-fees offset by commissions), time-and-expense fees, commissions, per-participant fees, or fees based on assets under management. Payment is typically due on a monthly basis as we perform under the contract, and we are entitled to be reimbursed for work performed to date in the event of termination.</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majority of our revenue from these consulting engagements is recognized over time, either because our clients are simultaneously receiving and consuming the benefits of our services, or because we have an enforceable right to payment for performance rendered to date. Additionally, from time to time, we may be entitled to an additional fee based on achieving certain performance criteria. To the extent that we cannot estimate with reasonable assurance the likelihood that we will achieve the performance target, we will ‘constrain’ this portion of the transaction price and recognize it when or as the uncertainty is resolved.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different progress measures to determine our revenue depending on the nature of the engagement:</w:t>
      </w:r>
    </w:p>
    <w:p>
      <w:pPr>
        <w:spacing w:after="0" w:line="115" w:lineRule="exact"/>
        <w:rPr>
          <w:sz w:val="20"/>
          <w:szCs w:val="20"/>
          <w:color w:val="auto"/>
        </w:rPr>
      </w:pPr>
    </w:p>
    <w:p>
      <w:pPr>
        <w:ind w:left="760" w:right="20" w:hanging="378"/>
        <w:spacing w:after="0" w:line="254"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recurring projects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projects of short duration. </w:t>
      </w:r>
      <w:r>
        <w:rPr>
          <w:rFonts w:ascii="Times New Roman" w:cs="Times New Roman" w:eastAsia="Times New Roman" w:hAnsi="Times New Roman"/>
          <w:sz w:val="18"/>
          <w:szCs w:val="18"/>
          <w:color w:val="auto"/>
        </w:rPr>
        <w:t>These projects are typically straightforward and highly predictable in nature with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time-and-expense or fixed fee terms. Time-and-expense fees are recognized as hours or expenses are incurred using the ‘right to invoice’ practical expedient allowed under ASC 606. For fixed-fee arrangements, to the extent estimates can be made of the remaining work required under the arrangement, revenue is based upon the proportional performance method, using the value of labor hours spent to date compared to the estimated total value of labor hours for the entire engagement. We believe that cost represents a faithful depiction of the transfer of value because the completion of these performance obligations is based upon the professional services of employees of differing experience levels and thereby costs. It is appropriate that satisfaction of these performance obligations considers both the number of hours incurred by each employee and the value of each labor hour worked (as opposed to simply the hours worked).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85" w:name="page86"/>
    <w:bookmarkEnd w:id="85"/>
    <w:p>
      <w:pPr>
        <w:ind w:left="760" w:right="20" w:hanging="378"/>
        <w:spacing w:after="0" w:line="258"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Stand-ready obligations. </w:t>
      </w:r>
      <w:r>
        <w:rPr>
          <w:rFonts w:ascii="Times New Roman" w:cs="Times New Roman" w:eastAsia="Times New Roman" w:hAnsi="Times New Roman"/>
          <w:sz w:val="18"/>
          <w:szCs w:val="18"/>
          <w:color w:val="auto"/>
        </w:rPr>
        <w:t>These projects consist of repetitive monthly or quarterly services performed consistently each period. As none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provided under these services are performed at specified times and quantities, but at the discretion of each customer, our obligation is to stand ready to perform these services on an as-needed basis. These arrangements represent a ‘series’ performance obligation in accordance with ASC 606. Each time increment (i.e., each month or quarter) of standing ready to provide the overall services is distinct and the customer obtains value from each period of service independent of the other periods of service.</w:t>
      </w:r>
    </w:p>
    <w:p>
      <w:pPr>
        <w:spacing w:after="0" w:line="13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Where we recognize revenue on a proportional performance basis,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 of project completion that, in turn, affect how we recognize revenue. We recognize a loss on an engagement when estimated revenue to be received for that engagement is less than the total estimated costs associated with the engagement. Losses are recognized in the period in which the loss becomes probable and the amount of the loss is reasonably estimable.</w:t>
      </w:r>
    </w:p>
    <w:p>
      <w:pPr>
        <w:spacing w:after="0" w:line="1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Outsourced Administration </w:t>
      </w:r>
      <w:r>
        <w:rPr>
          <w:rFonts w:ascii="Times New Roman" w:cs="Times New Roman" w:eastAsia="Times New Roman" w:hAnsi="Times New Roman"/>
          <w:sz w:val="18"/>
          <w:szCs w:val="18"/>
          <w:color w:val="auto"/>
        </w:rPr>
        <w:t>— We provide customized benefits outsourcing and co-sourcing solutions services in relation to the administration of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defined contribution, and health and welfare plans. These plans are sponsored by our clients to provide benefits to their active or retired employees. Additionally, these services include operating call centers and may include providing access to, and managing, a variety of consumer-directed savings accounts. The operation of call centers and consumer-directed accounts can be provisioned as part of an ongoing administration or solutions service, or separately as part of a broking arrangement. The products and services available to all clients are the same, but the selections by a client can vary and portray customized products and services based on the customer’s specific needs. Our services often include the use of proprietary systems that are configured for each of our clients’ needs. In total, our outsourced administration services represent 12% to 13% of customer contract revenue from continuing operations each year.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typically consist of an implementation phase and an ongoing administration phase:</w:t>
      </w:r>
    </w:p>
    <w:p>
      <w:pPr>
        <w:spacing w:after="0" w:line="115" w:lineRule="exact"/>
        <w:rPr>
          <w:sz w:val="20"/>
          <w:szCs w:val="20"/>
          <w:color w:val="auto"/>
        </w:rPr>
      </w:pPr>
    </w:p>
    <w:p>
      <w:pPr>
        <w:ind w:left="760" w:right="100" w:hanging="378"/>
        <w:spacing w:after="0" w:line="261"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phase. </w:t>
      </w:r>
      <w:r>
        <w:rPr>
          <w:rFonts w:ascii="Times New Roman" w:cs="Times New Roman" w:eastAsia="Times New Roman" w:hAnsi="Times New Roman"/>
          <w:sz w:val="18"/>
          <w:szCs w:val="18"/>
          <w:color w:val="auto"/>
        </w:rPr>
        <w:t>Work performed during the implementation phase is considered a set-up activity because it does not transfer a service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and therefore costs are deferred during this phase of the arrangement. Since these arrangements are longer term in nature and subject to more changes in scope as the project progresses, our contracts generally provide that if the client terminates a contract, we are entitled to an additional payment for services performed through the termination date designed to recover our up-front costs of implementation.</w:t>
      </w:r>
    </w:p>
    <w:p>
      <w:pPr>
        <w:spacing w:after="0" w:line="70" w:lineRule="exact"/>
        <w:rPr>
          <w:rFonts w:ascii="Times New Roman" w:cs="Times New Roman" w:eastAsia="Times New Roman" w:hAnsi="Times New Roman"/>
          <w:sz w:val="18"/>
          <w:szCs w:val="18"/>
          <w:color w:val="auto"/>
        </w:rPr>
      </w:pPr>
    </w:p>
    <w:p>
      <w:pPr>
        <w:ind w:left="760" w:right="60" w:hanging="378"/>
        <w:spacing w:after="0" w:line="255"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administration phase. </w:t>
      </w:r>
      <w:r>
        <w:rPr>
          <w:rFonts w:ascii="Times New Roman" w:cs="Times New Roman" w:eastAsia="Times New Roman" w:hAnsi="Times New Roman"/>
          <w:sz w:val="18"/>
          <w:szCs w:val="18"/>
          <w:color w:val="auto"/>
        </w:rPr>
        <w:t>The ongoing administration phase includes a variety of plan administration services, system hosting and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More specifically, these services include data management, calculations, reporting, fulfillment/communications, compliance services, call center support, and in our health and welfare arrangements, annual onboarding and enrollment support. While there are a variety of activities performed, the overall nature of the obligation is to provide an integrated outsourcing solution to the customer. The arrangement represents a stand-ready obligation to perform these activities on an as-needed basis. The customer obtains value from each period of service, and each time increment (i.e., each month, or each benefits cycle in our health and welfare arrangements) is distinct and substantially the same. Accordingly, the ongoing administration services represent a ‘series’ in accordance with ASC 606 and are deemed one performance obligation.</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engagement letters with our clients that specify the terms and conditions upon which the engagements are based. These terms and conditions can only be changed upon agreement by both parties. Fees for these arrangements can be fixed, per-participant-per-month, or in the case of call center services, provided in conjunction with our broking services, with an allocation based on commissions. Our fees are not typically payable until the commencement of the ongoing administration phase. However, in our health and welfare arrangements, we begin transferring services to our customers approximately four months prior to payments being due as part of our annual onboarding and enrollment work. Although our per-participant-per-month and commission-based fees are considered variable, they are typically predictable in nature, and therefore we generally do not ‘constrain’ any portion of our transaction price estimates. Once fees become payable, payment is typically due on a monthly basis as we perform under the contract, and we are entitled to be reimbursed for work performed to date in the event of termination.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is recognized over time as the services are performed because our clients are simultaneously receiving and consuming the benefits of our services. For our health and welfare arrangements where each benefits cycle represents a time increment under the series guidance, revenue is recognized based on proportional performance. We use an input measure (value of labor hours worked) as the measure of progress. Given that the service is stand-ready in nature, it can be difficult to predict the remaining obligation under the benefits cycle. Therefore, the input measure is based on the historical effort expended each month, which is measured as labor cost. This results in slightly more revenue being recognized during periods of annual onboarding since we are performing both our normal monthly services and our annual services during this portion of the benefits cycle.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86" w:name="page87"/>
    <w:bookmarkEnd w:id="86"/>
    <w:p>
      <w:pPr>
        <w:spacing w:after="0" w:line="260" w:lineRule="auto"/>
        <w:rPr>
          <w:sz w:val="20"/>
          <w:szCs w:val="20"/>
          <w:color w:val="auto"/>
        </w:rPr>
      </w:pPr>
      <w:r>
        <w:rPr>
          <w:rFonts w:ascii="Times New Roman" w:cs="Times New Roman" w:eastAsia="Times New Roman" w:hAnsi="Times New Roman"/>
          <w:sz w:val="18"/>
          <w:szCs w:val="18"/>
          <w:color w:val="auto"/>
        </w:rPr>
        <w:t>For all other outsourced administration arrangements where a month represents our time increment under the series guidance, we allocate transaction price to the month we are performing our services. Therefore, the amount recognized each month is the variable consideration related to that month plus the fixed monthly or annual fee. The fixed monthly or annual fee is recognized on a straight-line basis. Revenue recognition for these types of arrangements is therefore more consistent throughout the year.</w:t>
      </w:r>
    </w:p>
    <w:p>
      <w:pPr>
        <w:spacing w:after="0" w:line="12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Reimbursed expenses </w:t>
      </w:r>
      <w:r>
        <w:rPr>
          <w:rFonts w:ascii="Times New Roman" w:cs="Times New Roman" w:eastAsia="Times New Roman" w:hAnsi="Times New Roman"/>
          <w:sz w:val="18"/>
          <w:szCs w:val="18"/>
          <w:color w:val="auto"/>
        </w:rPr>
        <w:t>— Client reimbursable expenses, including those relating to travel, other out-of-pocket expenses and any third-party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revenue, and an equivalent amount of reimbursable expenses is included in other operating expenses as a cost of revenue as incurred. Reimbursed expenses represented approximately 1% or less of customer contract revenue from continuing operations each year. Taxes collected from customers and remitted to government authorities are recorded net and are excluded from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Interest income is recognized as earned.</w:t>
      </w:r>
    </w:p>
    <w:p>
      <w:pPr>
        <w:spacing w:after="0" w:line="171"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Other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Other income includes gains on disposal of intangible assets, which primarily arise from settlements through enforcing non-compete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the event of losing accounts through producer defection or the disposal of books of business.</w:t>
      </w:r>
    </w:p>
    <w:p>
      <w:pPr>
        <w:spacing w:after="0" w:line="1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Cost to obtain or fulfill contracts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Costs to obtain customers include commissions for brokers under specific agreements that would not be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 contract being signed and executed. The Company has elected to apply the ASC 606 ‘practical expedient’ which allows us to expense these costs as incurred if the amortization period related to the resulting asset would be one year or less. The Company has no significant instances of contracts that would be amortized for a period greater than a year, and therefore has no contract costs capitalized for these arrangements.</w:t>
      </w:r>
    </w:p>
    <w:p>
      <w:pPr>
        <w:spacing w:after="0" w:line="12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Costs to fulfill include costs incurred by the Company that are expected to be recovered within the expected contract period. The costs associated with our system implementation activities and consulting contracts are recorded through time entry.</w:t>
      </w:r>
    </w:p>
    <w:p>
      <w:pPr>
        <w:spacing w:after="0" w:line="10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For our broking business, the Company must estimate the fulfillment costs incurred during the pre-placement of the broking contracts. These judgments include:</w:t>
      </w:r>
    </w:p>
    <w:p>
      <w:pPr>
        <w:spacing w:after="0" w:line="55"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activities in the pre-placement process should be eligible for capitalization;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and effort expended on those pre-placement activities;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payroll and related costs eligible for capitalization;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or quarterly timing of underlying insurance and reinsurance policy inception dates.</w:t>
      </w:r>
    </w:p>
    <w:p>
      <w:pPr>
        <w:spacing w:after="0" w:line="17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amortize costs to fulfill over the period we receive the related benefits. For broking pre-placement costs, this is typically less than a year. In our system implementation and consulting arrangements, we include the likelihood of contract renewals in our estimate of the amortization period, resulting in most costs being amortized for a greater length of time than the initial contract term.</w:t>
      </w:r>
    </w:p>
    <w:p>
      <w:pPr>
        <w:spacing w:after="0" w:line="121"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7"/>
          <w:szCs w:val="17"/>
          <w:i w:val="1"/>
          <w:iCs w:val="1"/>
          <w:u w:val="single" w:color="auto"/>
          <w:color w:val="auto"/>
        </w:rPr>
        <w:t>Transaction and transformation, net</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Transaction and transformation, net consists of two components, transaction-related costs and termination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receipts related to acquisitions and disposals, and transformation expenses associated with our Transformation program (see Note 6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Restructuring Costs).</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Transaction costs primarily include legal and other professional fees as well as other costs that are directly attributable to an acquisition or an in-process but not yet completed divestiture. Costs related to divestitures incurred during the period of the divestment are not included in transaction costs, but are instead included in the gain or loss on disposal of a business within Other income, net on the consolidated statements of comprehensive income. Additionally, on July 26, 2021, WTW and Aon plc (‘Aon’) announced they had terminated the business combination agreement between the two companies previously entered into in March 2020. Per the terms of the agreement and as part of this termination, Aon agreed to pay WTW $1 billion in connection with such termination, which was received by WTW on July 27, 2021. The $1 billion income receipt was included within Transaction and transformation, net in the consolidated statement of comprehensive income during the year ended December 31, 2021.</w:t>
      </w:r>
    </w:p>
    <w:p>
      <w:pPr>
        <w:spacing w:after="0" w:line="13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 xml:space="preserve">Transformation costs are costs incurred under the Transformation program but are not eligible to be classified as restructuring costs under ASC 420,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Disposal Cost Obligation </w:t>
      </w:r>
      <w:r>
        <w:rPr>
          <w:rFonts w:ascii="Times New Roman" w:cs="Times New Roman" w:eastAsia="Times New Roman" w:hAnsi="Times New Roman"/>
          <w:sz w:val="18"/>
          <w:szCs w:val="18"/>
          <w:color w:val="auto"/>
        </w:rPr>
        <w:t>(‘ASC 420’)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are not expected to continue beyond the defined period of the program.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is intended to improve reportable segment disclosure requirements through enhanced disclosures about significant segment expenses. Among other amendments, this ASU creates a ‘significant expense principle,’ and adds required disclosures of significant expenses for each reportable segment, as well as certain other disclosures to help investors understand how the chief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87" w:name="page88"/>
    <w:bookmarkEnd w:id="87"/>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operating decision maker (‘CODM’) evaluates segment expenses and operating results. In addition, this ASU requires for interim periods all disclosures about a reportable segment’s profit or loss and assets under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that had previously only been provided annually (e.g., interest revenue and expense, depreciation and amortization expense). The annual requirements of this ASU became effective for the Company on January 1, 2024, at which time we adopted it, and will include the new disclosures in our Annual Report on Form 10-K for the year ended December 31, 2024. New interim disclosures are required for fiscal years beginning January 1, 2025.</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income tax disclosures by requiring consistent 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 reconciliation using both percentages and amounts disaggregated into specific categories with certain reconciling items at or above 5% of the statutory tax, further disaggregated by its nature and/or jurisdiction. Additionally, income taxes paid will be required to be presented by federal, state, local and foreign jurisdictions, including amounts paid to individual jurisdictions representing 5% or more of the total income taxes paid. This ASU becomes effective for the Company on January 1, 2025, with early adoption permitted. The guidance is applied prospectively, with the option for retrospective application. The Company does not plan to early-adopt this ASU and is assessing the expected impact on its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w:t>
      </w:r>
    </w:p>
    <w:p>
      <w:pPr>
        <w:spacing w:after="0" w:line="17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Inflation Reduction Act (the ‘IRA’) was enacted into law on August 16, 2022 and certain portions of the IRA became effective January 1, 2023. The IRA introduced, among other provisions, a share repurchase excise tax and a new Corporate Alternative Minimum Tax (‘CAMT’) which imposes a 15% tax on the adjusted financial statement income of ‘applicable corporations’. Since becoming effective, the IRA has not had a material impact on the Company's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E.U. member states formally adopted the E.U.’s Pillar Two Directive, which introduces a global corporate minimum tax of 15% for certain large multinational companies. For the rules to take effect, E.U. member states were required to enact domestic legislation by the end of 2023 to be effective January 1, 2024. While we do not anticipate that this legislation will have a material impact on our tax provision or effective tax rate, we continue to monitor evolving tax legislation in the jurisdictions in which we operate.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disclosures discuss significant transactions during the three-year period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Company completed acquisitions, including acquisitions of non-controlling interests of certain subsidiaries, during the years ended December 31, 2023, 2022 and 2021 for combined cash payments of $56 million, $111 million and $52 million, respectively, and contingent or deferred consideration fair valued at $3 million, $28 million and $21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Divestment of Russian Business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first quarter of 2022, WTW announced its intention to transfer ownership of its Russian subsidiaries to local management who will operate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 million, which includes an allocation of Risk &amp; Broking goodwill, and was recognized as a loss on disposal of a business within Other income, net on our consolidated statements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are held outside of our Russian entities, were $81 million recorded during 2022 in Other operating expenses on our consolidated statements of comprehensive income.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Willis Re Divestiture</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13, 2021, the Company entered into a definitive security and asset purchase agreement (the ‘Willis Re SAPA’)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 (‘Principal Closing’). Although the majority of the Willis Re businesses transferred to Gallagher at Principal Closing, the assets and liabilities of certain Willis Re businesses were not transferred to Gallagher at the time due to local territory restrictions (‘Deferred Closing’). The Deferred Closing for all but one business was completed during the second quarter of 2022, and all net earnings of the Deferred Closing businesses accumulated between the Principal Closing and Deferred Closing remained payable to Gallagher at June 30, 2022 and September 30, 2022. The Company recognized a preliminary pre-tax gain of $2.3 billion upon completion of the sale in 2021, and during the second quarter of 2022, WTW recognized a $60 million reduction to the pre-tax gain related to an updated estimate of the working capital transferred upon disposal. The Company recognized the final allocation of the proceeds and related tax expense, as well as an adjustment of certain indemnities in the third quarter of 2022. These amounts as well as the amounts payable with respect to the settled Deferred Closing businesses were remitted to Gallagher in October 2022. The remaining Deferred Closing business transferred during the fourth quarter of 2022, and all businesses have now been transferred to Gallagher. The gain is subject to tax in certain jurisdictions, mainly in the U.S., and is predominantly tax-exempt in the U.K.</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the Company reclassified the results of its Willis Re operations as discontinued operations on its consolidated statements of comprehensive income and reclassified Willis Re assets and liabilities as held for sale on its consolidated balance sheets. The consolidated cash flow statements were not adjusted for the divestiture. Willis Re was previously included in the Company's former Investment, Risk and Reinsurance segment. As noted above, the results of the Deferred Closing businesses following the Principal Closing until their respective Deferred Closing dates had been included in income from discontinued operations on the consolidated statements of comprehensive income during 2022.</w:t>
      </w:r>
    </w:p>
    <w:p>
      <w:pPr>
        <w:spacing w:after="0" w:line="12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Company is accounting for the earnout as a gain contingency and therefore did not record any receivables upon close. Rather, the earnout will be recognized in the Company’s consolidated financial statements if and when a receipt becomes certain in 2025.</w:t>
      </w:r>
    </w:p>
    <w:p>
      <w:pPr>
        <w:spacing w:after="0" w:line="1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number of services are continuing under a cost reimbursement Transition Services Agreement (‘TSA’) in which WTW is providing Gallagher support including real estate leases, information technology, payroll, human resources and accounting. During the third quarter of 2023, the term for these services was extended from November 30, 2023 to May 31, 2024 and may be further extended by Gallagher, in accordance with the terms of the TSA. Fees earned under the TSA were $36 million and $45 million during the years ended December 31, 2023 and 2022, respectively, and have been recognized as a reduction to the costs incurred to service the TSA and are included in continuing operations within Other operating expenses on the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The following selected financial information relates to the operations of Willis Re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223"/>
        </w:trPr>
        <w:tc>
          <w:tcPr>
            <w:tcW w:w="76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discontinued operations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721</w:t>
            </w: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7"/>
        </w:trPr>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r>
      <w:tr>
        <w:trPr>
          <w:trHeight w:val="238"/>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0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r>
      <w:tr>
        <w:trPr>
          <w:trHeight w:val="247"/>
        </w:trPr>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r>
      <w:tr>
        <w:trPr>
          <w:trHeight w:val="24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4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444</w:t>
            </w:r>
          </w:p>
        </w:tc>
      </w:tr>
      <w:tr>
        <w:trPr>
          <w:trHeight w:val="238"/>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4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4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r>
      <w:tr>
        <w:trPr>
          <w:trHeight w:val="238"/>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(Loss)/gain on disposal of Willis Re</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2,300</w:t>
            </w:r>
          </w:p>
        </w:tc>
      </w:tr>
      <w:tr>
        <w:trPr>
          <w:trHeight w:val="247"/>
        </w:trPr>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 from/(provision for) income tax expense</w:t>
            </w: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8"/>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(payable to)/receivable from Gallagher on Deferred Closing</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200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200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3"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The expense amounts reflected above represent only the direct costs attributable to the Willis Re business and exclude allocations of corporate costs that were retained following the sale. Neither the discontinued operations presented above, nor the unallocated corporate costs, reflect the impact of any cost reimbursement that has been received under the TSA.</w:t>
      </w:r>
    </w:p>
    <w:p>
      <w:pPr>
        <w:spacing w:after="0" w:line="1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amounts included in the consolidated balance sheets did not transfer to Gallagher under the terms of the Willis Re SAPA, and instead are to be settled by the Company, noting that certain fiduciary positions continued to be held under the terms of various co-broking agreements between subsidiaries of the Company and Gallagher. At December 31, 2022, the amounts of significant assets and liabilities related to the Willis Re businesses which were not transferred in the sale were $3.2 billion of fiduciary assets and liabilities, $29 million of accounts receivable and $73 million of other current liabilities. On May 31, 2023, the Company and Gallagher entered into a side letter to the Willis Re SAPA which became effective on June 1, 2023 and which (A) ended the co-broking agreements prospectively and which (B) transferred related fiduciary and certain non-fiduciary assets and liabilities to Gallagher at that time based on then-current estimates. These non-fiduciary amounts were finalized in the third quarter of 2023. The value of the initial transfer amounted to $74 million of other current liabilities less $26 million of accounts receivables due to the Company, totaling $48 million of net cash transferred to Gallagher. Additionally, total fiduciary assets and liabilities of $4.5 billion, including $868 million of fiduciary cash, were transferred to Gallagher. The total cash outflow of $916 million is included in cash used in investing activities in the consolidated statements of cash flows. During the third quarter of 2023, WTW and Gallagher agreed to a final settlement of all balances which resulted in a $5 million increase to the gain on disposal recognized at that time, and is included within Other income, net on our consolidated statements of comprehensive income. The settlement of remaining amounts owed to Gallagher totaling $11 million was transferred in October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Miller Divestiture</w:t>
      </w:r>
    </w:p>
    <w:p>
      <w:pPr>
        <w:spacing w:after="0" w:line="17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On March 1, 2021, the Company completed the transaction to sell its U.K.-based, majority-owned wholesale subsidiary Miller for final total consideration of GBP 623 million ($818 million), which includes amounts paid to the minority shareholder. The $356 million net tax-exempt gain on the sale was included in Other income, net in the consolidated statement of comprehensive income during the year ended December 31, 2021. Prior to disposal, Miller was included within the Company's former Investment, Risk and Reinsurance segment.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Disposals</w:t>
      </w:r>
    </w:p>
    <w:p>
      <w:pPr>
        <w:spacing w:after="0" w:line="17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completed other disposals during the years ended December 31, 2023, 2022 and 2021 for cash proceeds of $89 million, $1 million and $75 million, respectively, and net gains on disposal of $38 million, $64 million and $26 million, respectively. There were no non-cash proceeds recognized on disposals for the years ended December 31, 2023 and 2021; for the year ended December 31, 2022, the Company recognized non-cash proceeds on disposals of $63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6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 presents revenue by service offering and segment, as well as a reconciliation to total revenue for the years ended December 31, 2023, 2022 and 2021. Along with reimbursable expenses and other, total revenue by service offering represents our revenue from customer contracts.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Outsourced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Total revenue</w:t>
            </w: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12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Total revenue</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from</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Broking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2"/>
                <w:szCs w:val="12"/>
                <w:color w:val="auto"/>
              </w:rPr>
            </w:pPr>
          </w:p>
        </w:tc>
        <w:tc>
          <w:tcPr>
            <w:tcW w:w="10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Administratio</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188"/>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by service</w:t>
            </w:r>
          </w:p>
        </w:tc>
        <w:tc>
          <w:tcPr>
            <w:tcW w:w="140" w:type="dxa"/>
            <w:vAlign w:val="bottom"/>
          </w:tcPr>
          <w:p>
            <w:pPr>
              <w:spacing w:after="0"/>
              <w:rPr>
                <w:sz w:val="12"/>
                <w:szCs w:val="12"/>
                <w:color w:val="auto"/>
              </w:rPr>
            </w:pPr>
          </w:p>
        </w:tc>
        <w:tc>
          <w:tcPr>
            <w:tcW w:w="1040" w:type="dxa"/>
            <w:vAlign w:val="bottom"/>
            <w:gridSpan w:val="2"/>
          </w:tcPr>
          <w:p>
            <w:pPr>
              <w:jc w:val="right"/>
              <w:ind w:right="128"/>
              <w:spacing w:after="0" w:line="148"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68"/>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customer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i w:val="1"/>
                <w:iCs w:val="1"/>
                <w:color w:val="auto"/>
              </w:rPr>
              <w:t>Total revenue</w:t>
            </w:r>
          </w:p>
        </w:tc>
        <w:tc>
          <w:tcPr>
            <w:tcW w:w="0" w:type="dxa"/>
            <w:vAlign w:val="bottom"/>
          </w:tcPr>
          <w:p>
            <w:pPr>
              <w:spacing w:after="0"/>
              <w:rPr>
                <w:sz w:val="1"/>
                <w:szCs w:val="1"/>
                <w:color w:val="auto"/>
              </w:rPr>
            </w:pPr>
          </w:p>
        </w:tc>
      </w:tr>
      <w:tr>
        <w:trPr>
          <w:trHeight w:val="189"/>
        </w:trPr>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i w:val="1"/>
                <w:iCs w:val="1"/>
                <w:color w:val="auto"/>
              </w:rPr>
              <w:t>offering</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(i)</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i w:val="1"/>
                <w:iCs w:val="1"/>
                <w:color w:val="auto"/>
              </w:rPr>
              <w:t>contracts</w:t>
            </w:r>
          </w:p>
        </w:tc>
        <w:tc>
          <w:tcPr>
            <w:tcW w:w="140" w:type="dxa"/>
            <w:vAlign w:val="bottom"/>
          </w:tcPr>
          <w:p>
            <w:pPr>
              <w:spacing w:after="0"/>
              <w:rPr>
                <w:sz w:val="16"/>
                <w:szCs w:val="16"/>
                <w:color w:val="auto"/>
              </w:rPr>
            </w:pPr>
          </w:p>
        </w:tc>
        <w:tc>
          <w:tcPr>
            <w:tcW w:w="9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120" w:type="dxa"/>
            <w:vAlign w:val="bottom"/>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HWC</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2,594</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1,078</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5,552</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5,625</w:t>
            </w:r>
          </w:p>
        </w:tc>
        <w:tc>
          <w:tcPr>
            <w:tcW w:w="5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5,655</w:t>
            </w:r>
          </w:p>
        </w:tc>
        <w:tc>
          <w:tcPr>
            <w:tcW w:w="0" w:type="dxa"/>
            <w:vAlign w:val="bottom"/>
          </w:tcPr>
          <w:p>
            <w:pPr>
              <w:spacing w:after="0"/>
              <w:rPr>
                <w:sz w:val="1"/>
                <w:szCs w:val="1"/>
                <w:color w:val="auto"/>
              </w:rPr>
            </w:pPr>
          </w:p>
        </w:tc>
      </w:tr>
      <w:tr>
        <w:trPr>
          <w:trHeight w:val="175"/>
        </w:trPr>
        <w:tc>
          <w:tcPr>
            <w:tcW w:w="102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1,415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2,522</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979</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5,248</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5,312</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5,351</w:t>
            </w:r>
          </w:p>
        </w:tc>
        <w:tc>
          <w:tcPr>
            <w:tcW w:w="0" w:type="dxa"/>
            <w:vAlign w:val="bottom"/>
          </w:tcPr>
          <w:p>
            <w:pPr>
              <w:spacing w:after="0"/>
              <w:rPr>
                <w:sz w:val="1"/>
                <w:szCs w:val="1"/>
                <w:color w:val="auto"/>
              </w:rPr>
            </w:pPr>
          </w:p>
        </w:tc>
      </w:tr>
      <w:tr>
        <w:trPr>
          <w:trHeight w:val="175"/>
        </w:trPr>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2,538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5,231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5,291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5,328</w:t>
            </w:r>
          </w:p>
        </w:tc>
        <w:tc>
          <w:tcPr>
            <w:tcW w:w="0" w:type="dxa"/>
            <w:vAlign w:val="bottom"/>
          </w:tcPr>
          <w:p>
            <w:pPr>
              <w:spacing w:after="0"/>
              <w:rPr>
                <w:sz w:val="1"/>
                <w:szCs w:val="1"/>
                <w:color w:val="auto"/>
              </w:rPr>
            </w:pPr>
          </w:p>
        </w:tc>
      </w:tr>
      <w:tr>
        <w:trPr>
          <w:trHeight w:val="175"/>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R&amp;B</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3,628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3,641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3,748</w:t>
            </w:r>
          </w:p>
        </w:tc>
        <w:tc>
          <w:tcPr>
            <w:tcW w:w="0" w:type="dxa"/>
            <w:vAlign w:val="bottom"/>
          </w:tcPr>
          <w:p>
            <w:pPr>
              <w:spacing w:after="0"/>
              <w:rPr>
                <w:sz w:val="1"/>
                <w:szCs w:val="1"/>
                <w:color w:val="auto"/>
              </w:rPr>
            </w:pPr>
          </w:p>
        </w:tc>
      </w:tr>
      <w:tr>
        <w:trPr>
          <w:trHeight w:val="175"/>
        </w:trPr>
        <w:tc>
          <w:tcPr>
            <w:tcW w:w="102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2,745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370</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3,384</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3,395</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3,471</w:t>
            </w:r>
          </w:p>
        </w:tc>
        <w:tc>
          <w:tcPr>
            <w:tcW w:w="0" w:type="dxa"/>
            <w:vAlign w:val="bottom"/>
          </w:tcPr>
          <w:p>
            <w:pPr>
              <w:spacing w:after="0"/>
              <w:rPr>
                <w:sz w:val="1"/>
                <w:szCs w:val="1"/>
                <w:color w:val="auto"/>
              </w:rPr>
            </w:pPr>
          </w:p>
        </w:tc>
      </w:tr>
      <w:tr>
        <w:trPr>
          <w:trHeight w:val="175"/>
        </w:trPr>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3,476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139"/>
        </w:trPr>
        <w:tc>
          <w:tcPr>
            <w:tcW w:w="10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Divested</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Businesses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02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75"/>
        </w:trPr>
        <w:tc>
          <w:tcPr>
            <w:tcW w:w="10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Corporate </w:t>
            </w:r>
            <w:r>
              <w:rPr>
                <w:rFonts w:ascii="Times New Roman" w:cs="Times New Roman" w:eastAsia="Times New Roman" w:hAnsi="Times New Roman"/>
                <w:sz w:val="19"/>
                <w:szCs w:val="19"/>
                <w:color w:val="auto"/>
                <w:vertAlign w:val="superscript"/>
              </w:rPr>
              <w:t>(i)</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5"/>
        </w:trPr>
        <w:tc>
          <w:tcPr>
            <w:tcW w:w="102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5"/>
        </w:trPr>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69"/>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2,986</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1,159</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9,202</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9,304</w:t>
            </w:r>
          </w:p>
        </w:tc>
        <w:tc>
          <w:tcPr>
            <w:tcW w:w="5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9,483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FF0FC"/>
            </w:tcBorders>
            <w:shd w:val="clear" w:color="auto" w:fill="CFF0FC"/>
          </w:tcPr>
          <w:p>
            <w:pPr>
              <w:jc w:val="right"/>
              <w:ind w:right="468"/>
              <w:spacing w:after="0" w:line="156" w:lineRule="exact"/>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4,167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2,902</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1,054</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526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8,649</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8,726</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8,866</w:t>
            </w:r>
          </w:p>
        </w:tc>
        <w:tc>
          <w:tcPr>
            <w:tcW w:w="0" w:type="dxa"/>
            <w:vAlign w:val="bottom"/>
          </w:tcPr>
          <w:p>
            <w:pPr>
              <w:spacing w:after="0"/>
              <w:rPr>
                <w:sz w:val="1"/>
                <w:szCs w:val="1"/>
                <w:color w:val="auto"/>
              </w:rPr>
            </w:pPr>
          </w:p>
        </w:tc>
      </w:tr>
      <w:tr>
        <w:trPr>
          <w:trHeight w:val="156"/>
        </w:trPr>
        <w:tc>
          <w:tcPr>
            <w:tcW w:w="1020" w:type="dxa"/>
            <w:vAlign w:val="bottom"/>
          </w:tcPr>
          <w:p>
            <w:pPr>
              <w:jc w:val="right"/>
              <w:ind w:right="468"/>
              <w:spacing w:after="0" w:line="156" w:lineRule="exact"/>
              <w:rPr>
                <w:sz w:val="20"/>
                <w:szCs w:val="20"/>
                <w:color w:val="auto"/>
              </w:rPr>
            </w:pPr>
            <w:r>
              <w:rPr>
                <w:rFonts w:ascii="Times New Roman" w:cs="Times New Roman" w:eastAsia="Times New Roman" w:hAnsi="Times New Roman"/>
                <w:sz w:val="14"/>
                <w:szCs w:val="14"/>
                <w:color w:val="auto"/>
              </w:rPr>
              <w:t>2021</w:t>
            </w:r>
          </w:p>
        </w:tc>
        <w:tc>
          <w:tcPr>
            <w:tcW w:w="2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4,182</w:t>
            </w:r>
          </w:p>
        </w:tc>
        <w:tc>
          <w:tcPr>
            <w:tcW w:w="2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2,936</w:t>
            </w:r>
          </w:p>
        </w:tc>
        <w:tc>
          <w:tcPr>
            <w:tcW w:w="38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1,134</w:t>
            </w:r>
          </w:p>
        </w:tc>
        <w:tc>
          <w:tcPr>
            <w:tcW w:w="300" w:type="dxa"/>
            <w:vAlign w:val="bottom"/>
            <w:gridSpan w:val="2"/>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531</w:t>
            </w:r>
          </w:p>
        </w:tc>
        <w:tc>
          <w:tcPr>
            <w:tcW w:w="24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8,783</w:t>
            </w:r>
          </w:p>
        </w:tc>
        <w:tc>
          <w:tcPr>
            <w:tcW w:w="30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43</w:t>
            </w:r>
          </w:p>
        </w:tc>
        <w:tc>
          <w:tcPr>
            <w:tcW w:w="24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8,826</w:t>
            </w:r>
          </w:p>
        </w:tc>
        <w:tc>
          <w:tcPr>
            <w:tcW w:w="500" w:type="dxa"/>
            <w:vAlign w:val="bottom"/>
            <w:gridSpan w:val="2"/>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172</w:t>
            </w:r>
          </w:p>
        </w:tc>
        <w:tc>
          <w:tcPr>
            <w:tcW w:w="42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8,998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-161925</wp:posOffset>
            </wp:positionV>
            <wp:extent cx="857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-144780</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-161925</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-144780</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-161925</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-144780</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-161925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-144780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-161925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-144780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-161925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-144780</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-161925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-144780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-161925</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-144780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9505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13" w:lineRule="exact"/>
        <w:rPr>
          <w:sz w:val="20"/>
          <w:szCs w:val="20"/>
          <w:color w:val="auto"/>
        </w:rPr>
      </w:pPr>
    </w:p>
    <w:p>
      <w:pPr>
        <w:ind w:left="280" w:right="120" w:hanging="272"/>
        <w:spacing w:after="0" w:line="258" w:lineRule="auto"/>
        <w:tabs>
          <w:tab w:leader="none" w:pos="2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consolidated statements of comprehensive income. Amounts included in Corporate revenue may include eliminations, adjustments to reserves and impacts from hedged revenue transactions.</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11"/>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Book-of-business settlements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HWC</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R&amp;B</w:t>
            </w:r>
          </w:p>
        </w:tc>
        <w:tc>
          <w:tcPr>
            <w:tcW w:w="100" w:type="dxa"/>
            <w:vAlign w:val="bottom"/>
          </w:tcPr>
          <w:p>
            <w:pPr>
              <w:spacing w:after="0"/>
              <w:rPr>
                <w:sz w:val="16"/>
                <w:szCs w:val="1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57"/>
        </w:trPr>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Divested businesses</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spacing w:after="0"/>
              <w:rPr>
                <w:sz w:val="16"/>
                <w:szCs w:val="1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43"/>
        </w:trPr>
        <w:tc>
          <w:tcPr>
            <w:tcW w:w="27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-24765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-7620</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-24765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-7620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-24765</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-7620</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As a result of the cessation of the co-broking agreement, (see Note 3 — Acquisitions and Divestitures) interest income associated with fiduciary funds is now allocated more directly to the Risk and Broking segment beginning in the third quarter of 2023. These amounts were previously allocated to the Corporate segment following the disposal of Willis Re.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91" w:name="page92"/>
    <w:bookmarkEnd w:id="91"/>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following table presents revenue from service offerings by the geography where our work was performed for the years ended December 31, 2023, 2022 and 2021. The reconciliation to total revenue on our consolidated statements of comprehensive income and to segment revenue is shown in the table above.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vMerge w:val="restart"/>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revenue by geography</w:t>
            </w:r>
          </w:p>
        </w:tc>
        <w:tc>
          <w:tcPr>
            <w:tcW w:w="0" w:type="dxa"/>
            <w:vAlign w:val="bottom"/>
          </w:tcPr>
          <w:p>
            <w:pPr>
              <w:spacing w:after="0"/>
              <w:rPr>
                <w:sz w:val="1"/>
                <w:szCs w:val="1"/>
                <w:color w:val="auto"/>
              </w:rPr>
            </w:pPr>
          </w:p>
        </w:tc>
      </w:tr>
      <w:tr>
        <w:trPr>
          <w:trHeight w:val="187"/>
        </w:trPr>
        <w:tc>
          <w:tcPr>
            <w:tcW w:w="17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HWC</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3,738</w:t>
            </w:r>
          </w:p>
        </w:tc>
        <w:tc>
          <w:tcPr>
            <w:tcW w:w="6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1,362</w:t>
            </w:r>
          </w:p>
        </w:tc>
        <w:tc>
          <w:tcPr>
            <w:tcW w:w="5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5,552</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3,569</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1,266</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413</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3,456</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1,376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5,231</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R&amp;B</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1,400</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1,668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3,628</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1,328</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1,527</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529</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3,384</w:t>
            </w: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1,295</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1,623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Divested Businesses</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5,146</w:t>
            </w:r>
          </w:p>
        </w:tc>
        <w:tc>
          <w:tcPr>
            <w:tcW w:w="6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3,042</w:t>
            </w:r>
          </w:p>
        </w:tc>
        <w:tc>
          <w:tcPr>
            <w:tcW w:w="5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Borders>
              <w:bottom w:val="single" w:sz="8" w:color="CFF0FC"/>
            </w:tcBorders>
            <w:shd w:val="clear" w:color="auto" w:fill="CFF0FC"/>
          </w:tcPr>
          <w:p>
            <w:pPr>
              <w:jc w:val="right"/>
              <w:ind w:right="1188"/>
              <w:spacing w:after="0" w:line="156"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4,904</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2,802</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943</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8,649</w:t>
            </w:r>
          </w:p>
        </w:tc>
        <w:tc>
          <w:tcPr>
            <w:tcW w:w="0" w:type="dxa"/>
            <w:vAlign w:val="bottom"/>
          </w:tcPr>
          <w:p>
            <w:pPr>
              <w:spacing w:after="0"/>
              <w:rPr>
                <w:sz w:val="1"/>
                <w:szCs w:val="1"/>
                <w:color w:val="auto"/>
              </w:rPr>
            </w:pPr>
          </w:p>
        </w:tc>
      </w:tr>
      <w:tr>
        <w:trPr>
          <w:trHeight w:val="156"/>
        </w:trPr>
        <w:tc>
          <w:tcPr>
            <w:tcW w:w="1740" w:type="dxa"/>
            <w:vAlign w:val="bottom"/>
          </w:tcPr>
          <w:p>
            <w:pPr>
              <w:jc w:val="right"/>
              <w:ind w:right="1188"/>
              <w:spacing w:after="0" w:line="156" w:lineRule="exact"/>
              <w:rPr>
                <w:sz w:val="20"/>
                <w:szCs w:val="20"/>
                <w:color w:val="auto"/>
              </w:rPr>
            </w:pPr>
            <w:r>
              <w:rPr>
                <w:rFonts w:ascii="Times New Roman" w:cs="Times New Roman" w:eastAsia="Times New Roman" w:hAnsi="Times New Roman"/>
                <w:sz w:val="14"/>
                <w:szCs w:val="14"/>
                <w:color w:val="auto"/>
              </w:rPr>
              <w:t>2021</w:t>
            </w:r>
          </w:p>
        </w:tc>
        <w:tc>
          <w:tcPr>
            <w:tcW w:w="540" w:type="dxa"/>
            <w:vAlign w:val="bottom"/>
            <w:gridSpan w:val="2"/>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4,776</w:t>
            </w:r>
          </w:p>
        </w:tc>
        <w:tc>
          <w:tcPr>
            <w:tcW w:w="660" w:type="dxa"/>
            <w:vAlign w:val="bottom"/>
            <w:gridSpan w:val="2"/>
          </w:tcPr>
          <w:p>
            <w:pPr>
              <w:jc w:val="right"/>
              <w:ind w:right="2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3,055</w:t>
            </w:r>
          </w:p>
        </w:tc>
        <w:tc>
          <w:tcPr>
            <w:tcW w:w="560" w:type="dxa"/>
            <w:vAlign w:val="bottom"/>
            <w:gridSpan w:val="2"/>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952</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8,783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-161925</wp:posOffset>
            </wp:positionV>
            <wp:extent cx="1454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-144780</wp:posOffset>
            </wp:positionV>
            <wp:extent cx="1454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-161925</wp:posOffset>
            </wp:positionV>
            <wp:extent cx="1454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-144780</wp:posOffset>
            </wp:positionV>
            <wp:extent cx="1454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-161925</wp:posOffset>
            </wp:positionV>
            <wp:extent cx="137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-144780</wp:posOffset>
            </wp:positionV>
            <wp:extent cx="137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Company reports accounts receivable, net on the consolidated balance sheet, which includes billed and unbilled receivables and current contract assets. In addition to accounts receivable, net, the Company had the following non-current contract assets and deferred revenue balances at December 31, 2023 and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4"/>
        </w:trPr>
        <w:tc>
          <w:tcPr>
            <w:tcW w:w="75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Billed receivables, net of allowance for doubtful accounts of $34 million and $46</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r>
      <w:tr>
        <w:trPr>
          <w:trHeight w:val="248"/>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million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1,464</w:t>
            </w: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tcPr>
          <w:p>
            <w:pPr>
              <w:spacing w:after="0"/>
              <w:rPr>
                <w:sz w:val="20"/>
                <w:szCs w:val="20"/>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contract assets</w:t>
            </w:r>
          </w:p>
        </w:tc>
        <w:tc>
          <w:tcPr>
            <w:tcW w:w="20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466</w:t>
            </w:r>
          </w:p>
        </w:tc>
      </w:tr>
      <w:tr>
        <w:trPr>
          <w:trHeight w:val="23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2,387</w:t>
            </w:r>
          </w:p>
        </w:tc>
      </w:tr>
      <w:tr>
        <w:trPr>
          <w:trHeight w:val="20"/>
        </w:trPr>
        <w:tc>
          <w:tcPr>
            <w:tcW w:w="7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accounts receivable, net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745</w:t>
            </w:r>
          </w:p>
        </w:tc>
      </w:tr>
      <w:tr>
        <w:trPr>
          <w:trHeight w:val="23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-675640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-333375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receives payments from customers based on billing schedules or terms as written in our contracts. Those balances denoted as contract assets relate to situations where we have completed some or all performance under the contract, however our right to consideration is conditional. Contract assets result most materially in our Medicare intermediary businesses. The significant increases in both current and non-current contract assets relate to our direct-to-consumer Medicare broking business. Billed and unbilled receivables are recorded when the right to consideration becomes unconditional. Deferred revenue relates to payments received in advance of performance under the contract and is recognized as revenue as (or when) we perform under the contract.</w:t>
      </w:r>
    </w:p>
    <w:p>
      <w:pPr>
        <w:spacing w:after="0" w:line="18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Accounts receivable are stated at estimated net realizable values. The following table presents the changes in our allowance for doubtful accounts for the years ended December 31, 2023,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80" w:type="dxa"/>
            <w:vAlign w:val="bottom"/>
          </w:tcPr>
          <w:p>
            <w:pPr>
              <w:spacing w:after="0"/>
              <w:rPr>
                <w:sz w:val="20"/>
                <w:szCs w:val="20"/>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Deductions/other movements</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-24765</wp:posOffset>
            </wp:positionV>
            <wp:extent cx="1111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111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1028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1028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3"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 xml:space="preserve">The changes in our allowance for doubtful accounts presented above do not include receivables that were impaired as a result of the divestment of our Russian businesses in March 2022. See Note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Acquisitions and Divestitures.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92" w:name="page93"/>
    <w:bookmarkEnd w:id="92"/>
    <w:p>
      <w:pPr>
        <w:ind w:right="120"/>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2023, revenue of approximately $502 million was recognized that was reflected as deferred revenue at December 31, 2022.</w:t>
      </w:r>
    </w:p>
    <w:p>
      <w:pPr>
        <w:spacing w:after="0" w:line="10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revenue of approximately $32 million related to performance obligations satisfied in a prior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December 31, 2023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8"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In addition, in accordance with ASC 606, the Company has elected not to disclose the remaining performance obligations when one or both of the following circumstances apply:</w:t>
      </w:r>
    </w:p>
    <w:p>
      <w:pPr>
        <w:spacing w:after="0" w:line="55"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 onward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618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Revenue expected to be recognized on contracts as of</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48"/>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490</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460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1,321</w:t>
            </w:r>
          </w:p>
        </w:tc>
      </w:tr>
    </w:tbl>
    <w:p>
      <w:pPr>
        <w:spacing w:after="0" w:line="13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December 31, 2023 have been excluded from the table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or fulfill a contract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incurs costs to obtain or fulfill contracts which it would not incur if a contract with a customer was not executed.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categories of costs that are capitalized and deferred over the expected life of a contract.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Costs to fulfill</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31"/>
        </w:trPr>
        <w:tc>
          <w:tcPr>
            <w:tcW w:w="7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jc w:val="right"/>
              <w:ind w:right="37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40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191</w:t>
            </w:r>
          </w:p>
        </w:tc>
      </w:tr>
      <w:tr>
        <w:trPr>
          <w:trHeight w:val="238"/>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capitalized costs</w:t>
            </w:r>
          </w:p>
        </w:tc>
        <w:tc>
          <w:tcPr>
            <w:tcW w:w="12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454</w:t>
            </w:r>
          </w:p>
        </w:tc>
      </w:tr>
      <w:tr>
        <w:trPr>
          <w:trHeight w:val="247"/>
        </w:trPr>
        <w:tc>
          <w:tcPr>
            <w:tcW w:w="5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(441 )</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(407 )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(451 )</w:t>
            </w:r>
          </w:p>
        </w:tc>
      </w:tr>
      <w:tr>
        <w:trPr>
          <w:trHeight w:val="23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Disposals</w:t>
            </w:r>
          </w:p>
        </w:tc>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5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40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w:t>
            </w:r>
          </w:p>
        </w:tc>
      </w:tr>
      <w:tr>
        <w:trPr>
          <w:trHeight w:val="416"/>
        </w:trPr>
        <w:tc>
          <w:tcPr>
            <w:tcW w:w="58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tc>
        <w:tc>
          <w:tcPr>
            <w:tcW w:w="1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37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Wealth &amp; Career (‘HWC’); and</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&amp; Broking (‘R&amp;B’).</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-949960</wp:posOffset>
            </wp:positionV>
            <wp:extent cx="1200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-932815</wp:posOffset>
            </wp:positionV>
            <wp:extent cx="1200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-949960</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-932815</wp:posOffset>
            </wp:positionV>
            <wp:extent cx="1111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2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Under the segment structure and for internal and segment reporting, WTW segment revenue includes commissions and fees, interest and other income. U.S. GAAP revenue also includes amounts that were directly incurred on behalf of our clients and reimbursed by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93" w:name="page94"/>
    <w:bookmarkEnd w:id="93"/>
    <w:p>
      <w:pPr>
        <w:ind w:right="200"/>
        <w:spacing w:after="0" w:line="260" w:lineRule="auto"/>
        <w:rPr>
          <w:sz w:val="20"/>
          <w:szCs w:val="20"/>
          <w:color w:val="auto"/>
        </w:rPr>
      </w:pPr>
      <w:r>
        <w:rPr>
          <w:rFonts w:ascii="Times New Roman" w:cs="Times New Roman" w:eastAsia="Times New Roman" w:hAnsi="Times New Roman"/>
          <w:sz w:val="18"/>
          <w:szCs w:val="18"/>
          <w:color w:val="auto"/>
        </w:rPr>
        <w:t>them (reimbursable expenses), which are removed from segment revenue. Segment operating income excludes certain costs, including (i) amortization of intangibles; (ii) restructuring costs; (iii) certain transaction and transformation expenses; and (iv) to the extent that the actual expense based upon which allocations are made differs from the forecast/budget amount, a reconciling item will be created between internally-allocated expenses and the actual expenses that we report for U.S. GAAP purposes.</w:t>
      </w:r>
    </w:p>
    <w:p>
      <w:pPr>
        <w:spacing w:after="0" w:line="12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years ended December 31, 2023,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Segment revenue</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940" w:type="dxa"/>
            <w:vAlign w:val="bottom"/>
            <w:tcBorders>
              <w:bottom w:val="single" w:sz="8" w:color="auto"/>
            </w:tcBorders>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9"/>
        </w:trPr>
        <w:tc>
          <w:tcPr>
            <w:tcW w:w="32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HWC</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5,582</w:t>
            </w:r>
          </w:p>
        </w:tc>
        <w:tc>
          <w:tcPr>
            <w:tcW w:w="54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5,287</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5,268</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1,346</w:t>
            </w: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R&amp;B</w:t>
            </w: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3,735</w:t>
            </w: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3,460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3,564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835</w:t>
            </w:r>
          </w:p>
        </w:tc>
      </w:tr>
      <w:tr>
        <w:trPr>
          <w:trHeight w:val="27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9,317</w:t>
            </w:r>
          </w:p>
        </w:tc>
        <w:tc>
          <w:tcPr>
            <w:tcW w:w="12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8,747</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8,832</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2,116</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-24765</wp:posOffset>
            </wp:positionV>
            <wp:extent cx="939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-7620</wp:posOffset>
            </wp:positionV>
            <wp:extent cx="939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-24765</wp:posOffset>
            </wp:positionV>
            <wp:extent cx="857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-7620</wp:posOffset>
            </wp:positionV>
            <wp:extent cx="857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-24765</wp:posOffset>
            </wp:positionV>
            <wp:extent cx="857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857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85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857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857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857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consolidated amounts reported for the years ended December 31, 2023,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revenue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9,317</w:t>
            </w:r>
          </w:p>
        </w:tc>
        <w:tc>
          <w:tcPr>
            <w:tcW w:w="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8,747</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Divested businesses </w:t>
            </w:r>
            <w:r>
              <w:rPr>
                <w:rFonts w:ascii="Times New Roman" w:cs="Times New Roman" w:eastAsia="Times New Roman" w:hAnsi="Times New Roman"/>
                <w:sz w:val="24"/>
                <w:szCs w:val="24"/>
                <w:color w:val="auto"/>
                <w:vertAlign w:val="superscript"/>
              </w:rPr>
              <w:t>(i)</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9,483</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8,866</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8,998</w:t>
            </w:r>
          </w:p>
        </w:tc>
        <w:tc>
          <w:tcPr>
            <w:tcW w:w="0" w:type="dxa"/>
            <w:vAlign w:val="bottom"/>
          </w:tcPr>
          <w:p>
            <w:pPr>
              <w:spacing w:after="0"/>
              <w:rPr>
                <w:sz w:val="1"/>
                <w:szCs w:val="1"/>
                <w:color w:val="auto"/>
              </w:rPr>
            </w:pPr>
          </w:p>
        </w:tc>
      </w:tr>
      <w:tr>
        <w:trPr>
          <w:trHeight w:val="227"/>
        </w:trPr>
        <w:tc>
          <w:tcPr>
            <w:tcW w:w="662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2,378</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2,116</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Divested businesses </w:t>
            </w:r>
            <w:r>
              <w:rPr>
                <w:rFonts w:ascii="Times New Roman" w:cs="Times New Roman" w:eastAsia="Times New Roman" w:hAnsi="Times New Roman"/>
                <w:sz w:val="24"/>
                <w:szCs w:val="24"/>
                <w:color w:val="auto"/>
                <w:vertAlign w:val="superscript"/>
              </w:rPr>
              <w:t>(i)</w:t>
            </w:r>
          </w:p>
        </w:tc>
        <w:tc>
          <w:tcPr>
            <w:tcW w:w="8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4"/>
                <w:szCs w:val="24"/>
                <w:color w:val="auto"/>
                <w:vertAlign w:val="superscript"/>
              </w:rPr>
              <w:t>(ii)</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4"/>
                <w:szCs w:val="24"/>
                <w:color w:val="auto"/>
                <w:vertAlign w:val="superscript"/>
              </w:rPr>
              <w:t>(iii)</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Transaction and transformation, net </w:t>
            </w:r>
            <w:r>
              <w:rPr>
                <w:rFonts w:ascii="Times New Roman" w:cs="Times New Roman" w:eastAsia="Times New Roman" w:hAnsi="Times New Roman"/>
                <w:sz w:val="24"/>
                <w:szCs w:val="24"/>
                <w:color w:val="auto"/>
                <w:vertAlign w:val="superscript"/>
              </w:rPr>
              <w:t>(iv)</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(v)</w:t>
            </w: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0" w:type="dxa"/>
            <w:vAlign w:val="bottom"/>
          </w:tcPr>
          <w:p>
            <w:pPr>
              <w:spacing w:after="0"/>
              <w:rPr>
                <w:sz w:val="1"/>
                <w:szCs w:val="1"/>
                <w:color w:val="auto"/>
              </w:rPr>
            </w:pPr>
          </w:p>
        </w:tc>
      </w:tr>
      <w:tr>
        <w:trPr>
          <w:trHeight w:val="232"/>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860" w:type="dxa"/>
            <w:vAlign w:val="bottom"/>
            <w:vMerge w:val="restart"/>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1,279</w:t>
            </w:r>
          </w:p>
        </w:tc>
        <w:tc>
          <w:tcPr>
            <w:tcW w:w="40" w:type="dxa"/>
            <w:vAlign w:val="bottom"/>
            <w:vMerge w:val="restart"/>
            <w:shd w:val="clear" w:color="auto" w:fill="CFF0FC"/>
          </w:tcPr>
          <w:p>
            <w:pPr>
              <w:spacing w:after="0"/>
              <w:rPr>
                <w:sz w:val="18"/>
                <w:szCs w:val="18"/>
                <w:color w:val="auto"/>
              </w:rPr>
            </w:pPr>
          </w:p>
        </w:tc>
        <w:tc>
          <w:tcPr>
            <w:tcW w:w="160" w:type="dxa"/>
            <w:vAlign w:val="bottom"/>
            <w:vMerge w:val="restart"/>
            <w:shd w:val="clear" w:color="auto" w:fill="CFF0FC"/>
          </w:tcPr>
          <w:p>
            <w:pPr>
              <w:spacing w:after="0"/>
              <w:rPr>
                <w:sz w:val="18"/>
                <w:szCs w:val="18"/>
                <w:color w:val="auto"/>
              </w:rPr>
            </w:pPr>
          </w:p>
        </w:tc>
        <w:tc>
          <w:tcPr>
            <w:tcW w:w="3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TAXES</w:t>
            </w: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4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-2028825</wp:posOffset>
            </wp:positionV>
            <wp:extent cx="1111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-2011680</wp:posOffset>
            </wp:positionV>
            <wp:extent cx="1111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-2028825</wp:posOffset>
            </wp:positionV>
            <wp:extent cx="1028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-2011680</wp:posOffset>
            </wp:positionV>
            <wp:extent cx="1028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-770255</wp:posOffset>
            </wp:positionV>
            <wp:extent cx="1111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-770255</wp:posOffset>
            </wp:positionV>
            <wp:extent cx="1028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1111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111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1028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1028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revenue and income from operations of certain Investment, Risk and Reinsurance businesses which were divested in 2021 and not classified as discontinued operations.</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impairment related to the net assets of our Russian business that are held outside of our Russian entities (see Note 3 — Acquisitions and Divestitures for further information).</w:t>
      </w:r>
    </w:p>
    <w:p>
      <w:pPr>
        <w:spacing w:after="0" w:line="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 Restructuring Costs for the composition of costs for 2023, 2022 and 2021.</w:t>
      </w:r>
    </w:p>
    <w:p>
      <w:pPr>
        <w:spacing w:after="0" w:line="17" w:lineRule="exact"/>
        <w:rPr>
          <w:rFonts w:ascii="Times New Roman" w:cs="Times New Roman" w:eastAsia="Times New Roman" w:hAnsi="Times New Roman"/>
          <w:sz w:val="14"/>
          <w:szCs w:val="14"/>
          <w:color w:val="auto"/>
        </w:rPr>
      </w:pPr>
    </w:p>
    <w:p>
      <w:pPr>
        <w:ind w:left="280" w:right="280" w:hanging="272"/>
        <w:spacing w:after="0" w:line="251" w:lineRule="auto"/>
        <w:tabs>
          <w:tab w:leader="none" w:pos="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and 2022, in addition to legal fees and other transaction costs, includes primarily consulting fees and compensation costs related to the Transformation program (see Note 6 — Restructuring Costs). For the year ended December 31, 2021, includes the $1 billion income receipt related to the termination of, and fees related to, the then-proposed Aon combination.</w:t>
      </w:r>
    </w:p>
    <w:p>
      <w:pPr>
        <w:ind w:left="280" w:right="100" w:hanging="272"/>
        <w:spacing w:after="0" w:line="258" w:lineRule="auto"/>
        <w:tabs>
          <w:tab w:leader="none" w:pos="2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17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None of the Company’s customers individually represented more than 10% of its consolidated revenue for the years ended December 31, 2023, 2022 and 2021.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94" w:name="page95"/>
    <w:bookmarkEnd w:id="94"/>
    <w:p>
      <w:pPr>
        <w:ind w:right="260"/>
        <w:spacing w:after="0" w:line="281" w:lineRule="auto"/>
        <w:rPr>
          <w:sz w:val="20"/>
          <w:szCs w:val="20"/>
          <w:color w:val="auto"/>
        </w:rPr>
      </w:pPr>
      <w:r>
        <w:rPr>
          <w:rFonts w:ascii="Times New Roman" w:cs="Times New Roman" w:eastAsia="Times New Roman" w:hAnsi="Times New Roman"/>
          <w:sz w:val="18"/>
          <w:szCs w:val="18"/>
          <w:color w:val="auto"/>
        </w:rPr>
        <w:t>Below are our revenue and tangible long-lived assets for Ireland, our country of domicile, countries with significant concentrations, and all other foreign countries as of and for the years ended as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9"/>
                <w:szCs w:val="19"/>
                <w:b w:val="1"/>
                <w:bCs w:val="1"/>
                <w:color w:val="auto"/>
                <w:vertAlign w:val="superscript"/>
              </w:rPr>
              <w:t>(i)</w:t>
            </w:r>
          </w:p>
        </w:tc>
      </w:tr>
      <w:tr>
        <w:trPr>
          <w:trHeight w:val="169"/>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0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c>
          <w:tcPr>
            <w:tcW w:w="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5,011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465</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20"/>
                <w:szCs w:val="2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496</w:t>
            </w:r>
          </w:p>
        </w:tc>
      </w:tr>
      <w:tr>
        <w:trPr>
          <w:trHeight w:val="24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332</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Foreign Countries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9,365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8,736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8,801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1,293</w:t>
            </w:r>
          </w:p>
        </w:tc>
      </w:tr>
      <w:tr>
        <w:trPr>
          <w:trHeight w:val="276"/>
        </w:trPr>
        <w:tc>
          <w:tcPr>
            <w:tcW w:w="5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9,483</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8,866</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8,998</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-350520</wp:posOffset>
            </wp:positionV>
            <wp:extent cx="857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-350520</wp:posOffset>
            </wp:positionV>
            <wp:extent cx="76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-350520</wp:posOffset>
            </wp:positionV>
            <wp:extent cx="76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-350520</wp:posOffset>
            </wp:positionV>
            <wp:extent cx="76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-24765</wp:posOffset>
            </wp:positionV>
            <wp:extent cx="857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-7620</wp:posOffset>
            </wp:positionV>
            <wp:extent cx="857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768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-24765</wp:posOffset>
            </wp:positionV>
            <wp:extent cx="76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-7620</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Tangible long-lived assets consist of fixed assets and ROU assets.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Restructuring Costs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now expect the program to generate annual cost savings in excess of $425 million by the end of 2024. The program is expected to incur cumulative costs of approximately $995 million and capital expenditures of approximately $130 million, for a total investment of $1.125 billion. The main categories of charges will be in the following four areas:</w:t>
      </w:r>
    </w:p>
    <w:p>
      <w:pPr>
        <w:spacing w:after="0" w:line="74" w:lineRule="exact"/>
        <w:rPr>
          <w:sz w:val="20"/>
          <w:szCs w:val="20"/>
          <w:color w:val="auto"/>
        </w:rPr>
      </w:pPr>
    </w:p>
    <w:p>
      <w:pPr>
        <w:ind w:left="760" w:right="320" w:hanging="378"/>
        <w:spacing w:after="0" w:line="281"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the new ways of working (hybrid work) and includes breakage fees and the impairment of ROU assets and other related leasehold assets.</w:t>
      </w:r>
    </w:p>
    <w:p>
      <w:pPr>
        <w:spacing w:after="0" w:line="54"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69" w:lineRule="exact"/>
        <w:rPr>
          <w:rFonts w:ascii="Times New Roman" w:cs="Times New Roman" w:eastAsia="Times New Roman" w:hAnsi="Times New Roman"/>
          <w:sz w:val="18"/>
          <w:szCs w:val="18"/>
          <w:color w:val="auto"/>
        </w:rPr>
      </w:pPr>
    </w:p>
    <w:p>
      <w:pPr>
        <w:ind w:left="760" w:right="520" w:hanging="378"/>
        <w:spacing w:after="0" w:line="265"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69"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95" w:name="page96"/>
    <w:bookmarkEnd w:id="95"/>
    <w:p>
      <w:pPr>
        <w:ind w:right="120"/>
        <w:spacing w:after="0" w:line="258" w:lineRule="auto"/>
        <w:rPr>
          <w:sz w:val="20"/>
          <w:szCs w:val="20"/>
          <w:color w:val="auto"/>
        </w:rPr>
      </w:pPr>
      <w:r>
        <w:rPr>
          <w:rFonts w:ascii="Times New Roman" w:cs="Times New Roman" w:eastAsia="Times New Roman" w:hAnsi="Times New Roman"/>
          <w:sz w:val="18"/>
          <w:szCs w:val="18"/>
          <w:color w:val="auto"/>
        </w:rPr>
        <w:t>Certain costs under the Transformation program are accounted for under ASC 420 and are included as restructuring costs in the consolidated statements of comprehensive income. Other costs incurred under the Transformation program are included in transaction and transformation, net and were $347 million and $136 million for the years ended December 31, 2023 and 2022; there were no such costs incurred for the year ended December 31, 2021. An analysis of total restructuring costs incurred under the Transformation program by category and by segment and corporate functions, from commencement to December 31, 2023,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HWC</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R&amp;B</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76"/>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-24765</wp:posOffset>
            </wp:positionV>
            <wp:extent cx="939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939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12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-1129665</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-1129665</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-1129665</wp:posOffset>
            </wp:positionV>
            <wp:extent cx="76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-1129665</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-187960</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-187960</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-187960</wp:posOffset>
            </wp:positionV>
            <wp:extent cx="76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income from continuing operations before income taxes by taxing jurisdiction is shown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42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673</w:t>
            </w: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516</w:t>
            </w: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3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552</w:t>
            </w: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3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951</w:t>
            </w:r>
          </w:p>
        </w:tc>
      </w:tr>
      <w:tr>
        <w:trPr>
          <w:trHeight w:val="27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1,279</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2,692</w:t>
            </w:r>
          </w:p>
        </w:tc>
      </w:tr>
      <w:tr>
        <w:trPr>
          <w:trHeight w:val="632"/>
        </w:trPr>
        <w:tc>
          <w:tcPr>
            <w:tcW w:w="3280" w:type="dxa"/>
            <w:vAlign w:val="bottom"/>
            <w:tcBorders>
              <w:top w:val="single" w:sz="8" w:color="CFF0FC"/>
            </w:tcBorders>
          </w:tcPr>
          <w:p>
            <w:pPr>
              <w:spacing w:after="0"/>
              <w:rPr>
                <w:sz w:val="24"/>
                <w:szCs w:val="24"/>
                <w:color w:val="auto"/>
              </w:rPr>
            </w:pPr>
          </w:p>
        </w:tc>
        <w:tc>
          <w:tcPr>
            <w:tcW w:w="3340" w:type="dxa"/>
            <w:vAlign w:val="bottom"/>
            <w:tcBorders>
              <w:top w:val="single" w:sz="8" w:color="CFF0FC"/>
            </w:tcBorders>
          </w:tcPr>
          <w:p>
            <w:pPr>
              <w:jc w:val="right"/>
              <w:ind w:right="810"/>
              <w:spacing w:after="0"/>
              <w:rPr>
                <w:sz w:val="20"/>
                <w:szCs w:val="20"/>
                <w:color w:val="auto"/>
              </w:rPr>
            </w:pPr>
            <w:r>
              <w:rPr>
                <w:rFonts w:ascii="Times New Roman" w:cs="Times New Roman" w:eastAsia="Times New Roman" w:hAnsi="Times New Roman"/>
                <w:sz w:val="18"/>
                <w:szCs w:val="18"/>
                <w:color w:val="auto"/>
              </w:rPr>
              <w:t>94</w:t>
            </w:r>
          </w:p>
        </w:tc>
        <w:tc>
          <w:tcPr>
            <w:tcW w:w="8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762"/>
        </w:trPr>
        <w:tc>
          <w:tcPr>
            <w:tcW w:w="32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-932815</wp:posOffset>
            </wp:positionV>
            <wp:extent cx="1028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-915670</wp:posOffset>
            </wp:positionV>
            <wp:extent cx="1028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-932815</wp:posOffset>
            </wp:positionV>
            <wp:extent cx="1028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-915670</wp:posOffset>
            </wp:positionV>
            <wp:extent cx="1028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9" w:right="339" w:bottom="384"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from continuing operations include: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 taxes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 and local taxes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U.K. corporation tax</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jurisdictions</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benefit/(expense):</w:t>
            </w: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 taxes</w:t>
            </w:r>
          </w:p>
        </w:tc>
        <w:tc>
          <w:tcPr>
            <w:tcW w:w="9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 and local taxes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U.K. corporation tax</w:t>
            </w:r>
          </w:p>
        </w:tc>
        <w:tc>
          <w:tcPr>
            <w:tcW w:w="9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jurisdictions</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benefit/(expense)</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2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-1292225</wp:posOffset>
            </wp:positionV>
            <wp:extent cx="1028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-1292225</wp:posOffset>
            </wp:positionV>
            <wp:extent cx="1028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-350520</wp:posOffset>
            </wp:positionV>
            <wp:extent cx="1028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-350520</wp:posOffset>
            </wp:positionV>
            <wp:extent cx="1028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1028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1028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1028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1028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w:t>
      </w:r>
    </w:p>
    <w:p>
      <w:pPr>
        <w:spacing w:after="0" w:line="175"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8"/>
          <w:szCs w:val="18"/>
          <w:color w:val="auto"/>
        </w:rPr>
        <w:t>The reported provision for income taxes differs from the amounts that would have resulted had the reported income from continuing operations before income taxes been taxed at the U.S. federal statutory rate. The principal reasons for the differences between the amounts provided and those that would have resulted from the application of the U.S. federal statutory tax rate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4"/>
        </w:trPr>
        <w:tc>
          <w:tcPr>
            <w:tcW w:w="66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INCOME FROM CONTINUING OPERATIONS BEFORE</w:t>
            </w:r>
          </w:p>
        </w:tc>
        <w:tc>
          <w:tcPr>
            <w:tcW w:w="8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6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1,279</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2,692</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8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21 %</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tax rate</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derive effective tax rate:</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 and dividends</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adjustments on acquisition costs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Impact of change in rate on deferred tax balances</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and other differences</w:t>
            </w:r>
          </w:p>
        </w:tc>
        <w:tc>
          <w:tcPr>
            <w:tcW w:w="8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tax effect on intra-group items</w:t>
            </w:r>
          </w:p>
        </w:tc>
        <w:tc>
          <w:tcPr>
            <w:tcW w:w="8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tax effect on disposal of operations</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differentials of non-U.S. jurisdictions</w:t>
            </w:r>
          </w:p>
        </w:tc>
        <w:tc>
          <w:tcPr>
            <w:tcW w:w="8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Impact of U.S. state and local taxes</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Subpart F income</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1"/>
                <w:szCs w:val="2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Erosion Anti-Abuse Tax (BEAT)</w:t>
            </w:r>
          </w:p>
        </w:tc>
        <w:tc>
          <w:tcPr>
            <w:tcW w:w="8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tcPr>
          <w:p>
            <w:pPr>
              <w:spacing w:after="0"/>
              <w:rPr>
                <w:sz w:val="20"/>
                <w:szCs w:val="20"/>
                <w:color w:val="auto"/>
              </w:rPr>
            </w:pPr>
          </w:p>
        </w:tc>
      </w:tr>
      <w:tr>
        <w:trPr>
          <w:trHeight w:val="25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on unremitted earnings</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-24765</wp:posOffset>
            </wp:positionV>
            <wp:extent cx="1111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111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1028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1028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current year effective tax rate includes a $20 million tax benefit related to changes in state apportionment and a $10 million deferred tax benefit related to the remeasurement of deferred tax assets and liabilities associated with the enactment of the Bermuda corporate income tax law. The effective tax rate for the year ended December 31, 2022 includes a $34 million tax benefit associated with amending the Company’s U.S. federal income tax returns for tax years 2019 and 2020, primarily related to a reduction in Base Erosion and Anti Abuse Tax (‘BEAT’), and a $22 million income tax benefit associated with foreign exchange remeasurement on income tax account balances. The effective tax rate for the year ended December 31, 2021 includes a $250 million estimated tax expense related to the income receipt related to the Aon transaction termination and a $40 million tax expense related to the remeasurement of deferred tax assets and liabilities associated with an increase in the U.K. tax rate from 19% to 25%.</w:t>
      </w:r>
    </w:p>
    <w:p>
      <w:pPr>
        <w:spacing w:after="0" w:line="12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Willis Towers Watson plc is a non-trading holding company tax resident in Ireland where it is taxed at the statutory rate of 25%. The provisions for income tax on operations have been reconciled above to the U.S. federal statutory tax rate of 21% due to significant operations in the U.S.</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11" w:right="2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7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Deferred income tax assets and liabilities reflect the effect of temporary differences between the assets and liabilities recognized for financial reporting purposes and the amounts recognized for income tax purposes. We recognize deferred tax assets if it is more likely than not that a benefit will be realized.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assets and liabilities included in the consolidated balance sheets at December 31, 2023 and 2022 are comprised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not currently deductible</w:t>
            </w: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carryforwards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10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0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10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derivative transactions</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4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787</w:t>
            </w: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617</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6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752</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589</w:t>
            </w: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intangible assets, net of related amortization</w:t>
            </w:r>
          </w:p>
        </w:tc>
        <w:tc>
          <w:tcPr>
            <w:tcW w:w="106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604</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679</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tangible assets, net of related depreciation</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retirement benefits</w:t>
            </w:r>
          </w:p>
        </w:tc>
        <w:tc>
          <w:tcPr>
            <w:tcW w:w="10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revenue not currently taxable</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Unremitted earnings</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1,208</w:t>
            </w:r>
          </w:p>
        </w:tc>
        <w:tc>
          <w:tcPr>
            <w:tcW w:w="1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1,269</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680</w:t>
            </w:r>
          </w:p>
        </w:tc>
      </w:tr>
      <w:tr>
        <w:trPr>
          <w:trHeight w:val="20"/>
        </w:trPr>
        <w:tc>
          <w:tcPr>
            <w:tcW w:w="7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-1437640</wp:posOffset>
            </wp:positionV>
            <wp:extent cx="1200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-187960</wp:posOffset>
            </wp:positionV>
            <wp:extent cx="1200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net deferred income tax assets are included in Other non-current assets and the net deferred tax liabilities are included in Deferred tax liabilities in our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sheet classifications:</w:t>
            </w:r>
          </w:p>
        </w:tc>
        <w:tc>
          <w:tcPr>
            <w:tcW w:w="1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748</w:t>
            </w: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456</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680</w:t>
            </w:r>
          </w:p>
        </w:tc>
      </w:tr>
      <w:tr>
        <w:trPr>
          <w:trHeight w:val="20"/>
        </w:trPr>
        <w:tc>
          <w:tcPr>
            <w:tcW w:w="7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12001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At December 31, 2023, we had U.S. federal and non-U.S. net operating loss carryforwards amounting to $116 million of which $72 million can be indefinitely carried forward under local statutes. The remaining $44 million of net operating loss carryforwards will expire, if unused, in varying amounts from 2024 through 2043. In addition, we had U.S. state net operating loss carryforwards of $419 million, of which $21 million can be indefinitely carried forward, while the remaining $398 million will expire in varying amounts from 2024 to 2043.</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believes, based on the evaluation of positive and negative evidence, including the future reversal of existing taxable temporary differences, it is more likely than not that the Company will realize the benefits of net deferred tax assets of $752 million, net of the valuation allowance. During 2023, the Company increased its valuation allowance by $7 million, primarily related to state net operating losses and U.S. foreign tax credits. During 2022, the Company decreased its valuation allowance by $14 million, primarily related to certain state net operating losses. The Company determined the losses and the related valuation allowance would never be realized. During 2021, the Company decreased its valuation allowance by $42 million, primarily related to the disposal of underlying positions which were part of the divestment of Miller. In addition, part of the decrease reflected the utilization of the U.K. capital loss carryforward, the benefit of which was recorded in discontinued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98" w:name="page99"/>
    <w:bookmarkEnd w:id="98"/>
    <w:p>
      <w:pPr>
        <w:ind w:right="20"/>
        <w:spacing w:after="0" w:line="265" w:lineRule="auto"/>
        <w:rPr>
          <w:sz w:val="20"/>
          <w:szCs w:val="20"/>
          <w:color w:val="auto"/>
        </w:rPr>
      </w:pPr>
      <w:r>
        <w:rPr>
          <w:rFonts w:ascii="Times New Roman" w:cs="Times New Roman" w:eastAsia="Times New Roman" w:hAnsi="Times New Roman"/>
          <w:sz w:val="18"/>
          <w:szCs w:val="18"/>
          <w:color w:val="auto"/>
        </w:rPr>
        <w:t>At December 31, 2023 and 2022, the Company had valuation allowances of $35 million and $28 million, respectively, to reduce its deferred tax assets to their estimated realizable values. The valuation allowance at December 31, 2023 primarily relates to deferred taxes on U.S. state and non-U.S. net operating losses of $12 million and $13 million,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our valuation allowance is shown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98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9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6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-187960</wp:posOffset>
            </wp:positionV>
            <wp:extent cx="1028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1028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movement in the 2023 valuation allowance differs from the 2023 rate reconciliation primarily due to the increase in state net operating losses and the related valuation allowance. The movement in the prior-year valuation allowance differs from the 2022 rate reconciliation primarily due to the write-down of state net operating losses and the related valuation allowance. In addition, 2022 and 2021 valuation allowances differ from the 2022 and 2021 rate reconciliations, respectively, as part of the tax benefits were allocated to discontinued operations.</w:t>
      </w:r>
    </w:p>
    <w:p>
      <w:pPr>
        <w:spacing w:after="0" w:line="12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At December 31, 2023 the Company has $17.9 billion of undistributed earnings in subsidiaries where no deferred tax has been recognized. Of this amount $10.3 billion relates to earnings which have been reinvested indefinitely and $7.6 billion relates to earnings identified as being recoverable in an untaxable manner. It is not practicable to calculate the tax cost of repatriating the unremitted earnings which have been reinvested indefinitely. If future events, including material changes in estimates of cash, working capital and long-term investment requirements necessitate that these earnings be distributed, an additional provision for income and foreign withholding taxes, net of credits, may be necessary.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At December 31, 2023, the amount of unrecognized tax benefits associated with uncertain tax positions, determined in accordance with ASC Subtopic 740-10, excluding interest and penalties, was $51 million. A reconciliation of the beginning and ending balances of the liability for unrecognized tax benefits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prior years</w:t>
            </w:r>
          </w:p>
        </w:tc>
        <w:tc>
          <w:tcPr>
            <w:tcW w:w="98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related to tax positions in prior years</w:t>
            </w:r>
          </w:p>
        </w:tc>
        <w:tc>
          <w:tcPr>
            <w:tcW w:w="9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current year</w:t>
            </w:r>
          </w:p>
        </w:tc>
        <w:tc>
          <w:tcPr>
            <w:tcW w:w="98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related to settlements</w:t>
            </w:r>
          </w:p>
        </w:tc>
        <w:tc>
          <w:tcPr>
            <w:tcW w:w="9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lapse in statute of limitations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 and other adjustments</w:t>
            </w:r>
          </w:p>
        </w:tc>
        <w:tc>
          <w:tcPr>
            <w:tcW w:w="9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6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-187960</wp:posOffset>
            </wp:positionV>
            <wp:extent cx="1111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1028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liability for unrecognized tax benefits for each of the years ended December 31, 2023, 2022 and 2021 can be reduced by $3 million using offsetting deferred tax benefits associated with timing differences, foreign tax credits and the federal tax benefit of state income taxes. If these offsetting deferred tax benefits were recognized, there would be a favorable impact on our effective tax rate. There are no material balances that would result in adjustments to other tax accounts.</w:t>
      </w:r>
    </w:p>
    <w:p>
      <w:pPr>
        <w:spacing w:after="0" w:line="12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Interest and penalties related to unrecognized tax benefits are included as a component of income tax expense. At December 31, 2023, and 2022, we had cumulative accrued interest of $6 million and $5 million, respectively. Accrued penalties were immaterial in 2023 and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expense allocated to continuing operations for both the years ended December 31, 2023 and 2022 includes $1 million of interest expense.</w:t>
      </w:r>
    </w:p>
    <w:p>
      <w:pPr>
        <w:spacing w:after="0" w:line="171" w:lineRule="exact"/>
        <w:rPr>
          <w:sz w:val="20"/>
          <w:szCs w:val="20"/>
          <w:color w:val="auto"/>
        </w:rPr>
      </w:pPr>
    </w:p>
    <w:p>
      <w:pPr>
        <w:ind w:right="1000"/>
        <w:spacing w:after="0" w:line="281" w:lineRule="auto"/>
        <w:rPr>
          <w:sz w:val="20"/>
          <w:szCs w:val="20"/>
          <w:color w:val="auto"/>
        </w:rPr>
      </w:pPr>
      <w:r>
        <w:rPr>
          <w:rFonts w:ascii="Times New Roman" w:cs="Times New Roman" w:eastAsia="Times New Roman" w:hAnsi="Times New Roman"/>
          <w:sz w:val="18"/>
          <w:szCs w:val="18"/>
          <w:color w:val="auto"/>
        </w:rPr>
        <w:t>The Company believes that the outcomes which are reasonably possible within the next 12 months may result in a reduction in the liability for unrecognized tax benefits in the range of $1 million to $2 million, excluding interest and penalties.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subsidiaries file income tax returns in various tax jurisdictions in which it operates.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99" w:name="page100"/>
    <w:bookmarkEnd w:id="99"/>
    <w:p>
      <w:pPr>
        <w:ind w:right="500"/>
        <w:spacing w:after="0" w:line="281" w:lineRule="auto"/>
        <w:rPr>
          <w:sz w:val="20"/>
          <w:szCs w:val="20"/>
          <w:color w:val="auto"/>
        </w:rPr>
      </w:pPr>
      <w:r>
        <w:rPr>
          <w:rFonts w:ascii="Times New Roman" w:cs="Times New Roman" w:eastAsia="Times New Roman" w:hAnsi="Times New Roman"/>
          <w:sz w:val="18"/>
          <w:szCs w:val="18"/>
          <w:color w:val="auto"/>
        </w:rPr>
        <w:t>We have ongoing state income tax examinations in certain states for tax years ranging from December 31, 2015 to December 31, 2021. The statute of limitations in certain states remains open back to the tax period ended December 31, 2015.</w:t>
      </w:r>
    </w:p>
    <w:p>
      <w:pPr>
        <w:spacing w:after="0" w:line="109"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All U.K. tax returns have been filed timely and are in the normal process of being reviewed by His Majesty’s Revenue &amp; Customs. The Company is not currently subject to any material examinations in other jurisdictions. A summary of the tax years that remain open to tax examination in our major tax jurisdictions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Open Tax Years</w:t>
            </w:r>
          </w:p>
        </w:tc>
      </w:tr>
      <w:tr>
        <w:trPr>
          <w:trHeight w:val="187"/>
        </w:trPr>
        <w:tc>
          <w:tcPr>
            <w:tcW w:w="90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ending in)</w:t>
            </w:r>
          </w:p>
        </w:tc>
      </w:tr>
      <w:tr>
        <w:trPr>
          <w:trHeight w:val="236"/>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 federal</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 and forward</w:t>
            </w:r>
          </w:p>
        </w:tc>
      </w:tr>
      <w:tr>
        <w:trPr>
          <w:trHeight w:val="238"/>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 various states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 and forward</w:t>
            </w:r>
          </w:p>
        </w:tc>
      </w:tr>
      <w:tr>
        <w:trPr>
          <w:trHeight w:val="247"/>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 and forward</w:t>
            </w:r>
          </w:p>
        </w:tc>
      </w:tr>
      <w:tr>
        <w:trPr>
          <w:trHeight w:val="238"/>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Ireland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 and forward</w:t>
            </w:r>
          </w:p>
        </w:tc>
      </w:tr>
      <w:tr>
        <w:trPr>
          <w:trHeight w:val="247"/>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 and forward</w:t>
            </w:r>
          </w:p>
        </w:tc>
      </w:tr>
      <w:tr>
        <w:trPr>
          <w:trHeight w:val="238"/>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 and forward</w:t>
            </w:r>
          </w:p>
        </w:tc>
      </w:tr>
      <w:tr>
        <w:trPr>
          <w:trHeight w:val="247"/>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 - federal</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 and forward</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Fixed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net carrying amount of the components of fixed assets for the years ended December 31,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equipment and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at January 1, 2022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1,477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527</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8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Disposals </w:t>
            </w:r>
            <w:r>
              <w:rPr>
                <w:rFonts w:ascii="Times New Roman" w:cs="Times New Roman" w:eastAsia="Times New Roman" w:hAnsi="Times New Roman"/>
                <w:sz w:val="24"/>
                <w:szCs w:val="24"/>
                <w:color w:val="auto"/>
                <w:vertAlign w:val="superscript"/>
              </w:rPr>
              <w:t>(i)</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2"/>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at December 31, 2022</w:t>
            </w:r>
          </w:p>
        </w:tc>
        <w:tc>
          <w:tcPr>
            <w:tcW w:w="10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3"/>
        </w:trPr>
        <w:tc>
          <w:tcPr>
            <w:tcW w:w="58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Disposals </w:t>
            </w:r>
            <w:r>
              <w:rPr>
                <w:rFonts w:ascii="Times New Roman" w:cs="Times New Roman" w:eastAsia="Times New Roman" w:hAnsi="Times New Roman"/>
                <w:sz w:val="24"/>
                <w:szCs w:val="24"/>
                <w:color w:val="auto"/>
                <w:vertAlign w:val="superscript"/>
              </w:rPr>
              <w:t>(i)</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at 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459</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at January 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(1,241 )</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7"/>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2"/>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at December 31, 2022</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7"/>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at 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(1,351 )</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book value:</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December 31, 2022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-3184525</wp:posOffset>
            </wp:positionV>
            <wp:extent cx="939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-3184525</wp:posOffset>
            </wp:positionV>
            <wp:extent cx="857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-3184525</wp:posOffset>
            </wp:positionV>
            <wp:extent cx="857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-2559685</wp:posOffset>
            </wp:positionV>
            <wp:extent cx="939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-2559685</wp:posOffset>
            </wp:positionV>
            <wp:extent cx="857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-2559685</wp:posOffset>
            </wp:positionV>
            <wp:extent cx="857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-1617345</wp:posOffset>
            </wp:positionV>
            <wp:extent cx="939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-1617345</wp:posOffset>
            </wp:positionV>
            <wp:extent cx="857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-1617345</wp:posOffset>
            </wp:positionV>
            <wp:extent cx="857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-992505</wp:posOffset>
            </wp:positionV>
            <wp:extent cx="939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-992505</wp:posOffset>
            </wp:positionV>
            <wp:extent cx="857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-992505</wp:posOffset>
            </wp:positionV>
            <wp:extent cx="857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-358775</wp:posOffset>
            </wp:positionV>
            <wp:extent cx="939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-341630</wp:posOffset>
            </wp:positionV>
            <wp:extent cx="939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-358775</wp:posOffset>
            </wp:positionV>
            <wp:extent cx="857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-341630</wp:posOffset>
            </wp:positionV>
            <wp:extent cx="857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-358775</wp:posOffset>
            </wp:positionV>
            <wp:extent cx="857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-341630</wp:posOffset>
            </wp:positionV>
            <wp:extent cx="857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939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939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7" w:lineRule="exact"/>
        <w:rPr>
          <w:sz w:val="20"/>
          <w:szCs w:val="20"/>
          <w:color w:val="auto"/>
        </w:rPr>
      </w:pPr>
    </w:p>
    <w:p>
      <w:pPr>
        <w:ind w:left="280" w:right="200" w:hanging="272"/>
        <w:spacing w:after="0" w:line="258" w:lineRule="auto"/>
        <w:tabs>
          <w:tab w:leader="none" w:pos="2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2023 and 2022, includes $17 million and $12 million, respectively, of furniture, equipment and software costs and $4 million and $18 million, respectively, of leasehold improvements costs which have been written off as part of technology modernization and real estate rationalization, respectively, under the Transformation program (see Note 6 – Restructuring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Included within land and buildings are the following assets held under finance leases: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6"/>
        </w:trPr>
        <w:tc>
          <w:tcPr>
            <w:tcW w:w="77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years ended December 31,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5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34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7,904</w:t>
            </w:r>
          </w:p>
        </w:tc>
        <w:tc>
          <w:tcPr>
            <w:tcW w:w="10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10,675</w:t>
            </w:r>
          </w:p>
        </w:tc>
      </w:tr>
      <w:tr>
        <w:trPr>
          <w:trHeight w:val="243"/>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5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2021</w:t>
            </w:r>
          </w:p>
        </w:tc>
        <w:tc>
          <w:tcPr>
            <w:tcW w:w="2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7,774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10,183</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acquired</w:t>
            </w:r>
          </w:p>
        </w:tc>
        <w:tc>
          <w:tcPr>
            <w:tcW w:w="25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r>
      <w:tr>
        <w:trPr>
          <w:trHeight w:val="238"/>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disposals</w:t>
            </w:r>
          </w:p>
        </w:tc>
        <w:tc>
          <w:tcPr>
            <w:tcW w:w="2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4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25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5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7,870</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10,665</w:t>
            </w: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5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40"/>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2022</w:t>
            </w:r>
          </w:p>
        </w:tc>
        <w:tc>
          <w:tcPr>
            <w:tcW w:w="25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7,740</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10,173</w:t>
            </w:r>
          </w:p>
        </w:tc>
      </w:tr>
      <w:tr>
        <w:trPr>
          <w:trHeight w:val="238"/>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disposals</w:t>
            </w:r>
          </w:p>
        </w:tc>
        <w:tc>
          <w:tcPr>
            <w:tcW w:w="2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3"/>
        </w:trPr>
        <w:tc>
          <w:tcPr>
            <w:tcW w:w="4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25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5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7,866</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10,687</w:t>
            </w: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5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7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2023</w:t>
            </w:r>
          </w:p>
        </w:tc>
        <w:tc>
          <w:tcPr>
            <w:tcW w:w="34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7,736</w:t>
            </w:r>
          </w:p>
        </w:tc>
        <w:tc>
          <w:tcPr>
            <w:tcW w:w="10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2,459</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10,195</w:t>
            </w:r>
          </w:p>
        </w:tc>
      </w:tr>
      <w:tr>
        <w:trPr>
          <w:trHeight w:val="672"/>
        </w:trPr>
        <w:tc>
          <w:tcPr>
            <w:tcW w:w="406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810"/>
              <w:spacing w:after="0"/>
              <w:rPr>
                <w:sz w:val="20"/>
                <w:szCs w:val="20"/>
                <w:color w:val="auto"/>
              </w:rPr>
            </w:pPr>
            <w:r>
              <w:rPr>
                <w:rFonts w:ascii="Times New Roman" w:cs="Times New Roman" w:eastAsia="Times New Roman" w:hAnsi="Times New Roman"/>
                <w:sz w:val="18"/>
                <w:szCs w:val="18"/>
                <w:color w:val="auto"/>
              </w:rPr>
              <w:t>99</w:t>
            </w: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749"/>
        </w:trPr>
        <w:tc>
          <w:tcPr>
            <w:tcW w:w="40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-3150235</wp:posOffset>
            </wp:positionV>
            <wp:extent cx="1111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-3150235</wp:posOffset>
            </wp:positionV>
            <wp:extent cx="1028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-2525395</wp:posOffset>
            </wp:positionV>
            <wp:extent cx="1111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-2525395</wp:posOffset>
            </wp:positionV>
            <wp:extent cx="1028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-1583690</wp:posOffset>
            </wp:positionV>
            <wp:extent cx="1111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-1583690</wp:posOffset>
            </wp:positionV>
            <wp:extent cx="1028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-949960</wp:posOffset>
            </wp:positionV>
            <wp:extent cx="1111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-932815</wp:posOffset>
            </wp:positionV>
            <wp:extent cx="1111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-949960</wp:posOffset>
            </wp:positionV>
            <wp:extent cx="1028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-932815</wp:posOffset>
            </wp:positionV>
            <wp:extent cx="1028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years ended December 31, 2023 and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3,794</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742</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1,039</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(2,118 )</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(3,122 )</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2021</w:t>
            </w:r>
          </w:p>
        </w:tc>
        <w:tc>
          <w:tcPr>
            <w:tcW w:w="12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disposals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3,760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(2,282 )</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(3,348 )</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2022</w:t>
            </w:r>
          </w:p>
        </w:tc>
        <w:tc>
          <w:tcPr>
            <w:tcW w:w="12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disposals</w:t>
            </w:r>
          </w:p>
        </w:tc>
        <w:tc>
          <w:tcPr>
            <w:tcW w:w="12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(2,514 )</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(3,622 )</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1,293</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-2687955</wp:posOffset>
            </wp:positionV>
            <wp:extent cx="19685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-2687955</wp:posOffset>
            </wp:positionV>
            <wp:extent cx="19685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-2687955</wp:posOffset>
            </wp:positionV>
            <wp:extent cx="18859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-2687955</wp:posOffset>
            </wp:positionV>
            <wp:extent cx="18859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-1437640</wp:posOffset>
            </wp:positionV>
            <wp:extent cx="19685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-1437640</wp:posOffset>
            </wp:positionV>
            <wp:extent cx="19685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-1437640</wp:posOffset>
            </wp:positionV>
            <wp:extent cx="18859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-1437640</wp:posOffset>
            </wp:positionV>
            <wp:extent cx="18859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-187960</wp:posOffset>
            </wp:positionV>
            <wp:extent cx="19685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-187960</wp:posOffset>
            </wp:positionV>
            <wp:extent cx="19685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18859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-187960</wp:posOffset>
            </wp:positionV>
            <wp:extent cx="18859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and liabilities at December 31, 2023 was 11.7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next five years and thereafter: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3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w:t>
            </w: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980</w:t>
            </w:r>
          </w:p>
        </w:tc>
      </w:tr>
      <w:tr>
        <w:trPr>
          <w:trHeight w:val="276"/>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7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2,016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Financial Instruments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2 — Basis of Presentation, Significant Accounting Policies and Recent Accounting Pronouncements, Note 12 — Fair Value Measurements and Note 18 — Accumulated Other Comprehensive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73"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7"/>
          <w:szCs w:val="17"/>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consolidated balance sheets. To reduce such variability, we use foreign exchange contracts to hedge against this currency risk.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02" w:name="page103"/>
    <w:bookmarkEnd w:id="102"/>
    <w:p>
      <w:pPr>
        <w:ind w:right="240"/>
        <w:spacing w:after="0" w:line="281"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December 31, 2023 and December 31, 2022 had total notional amounts of $119 million and $134 million, respectively, with a net asset fair value of $2 million and a net liability fair value of $3 million, respectively.</w:t>
      </w:r>
    </w:p>
    <w:p>
      <w:pPr>
        <w:spacing w:after="0" w:line="10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At December 31, 2023, the Company estimates, based on current exchange rates, there will be $1 million of net derivative gains on forward exchange rates reclassified from accumulated other comprehensive loss into earnings within the next twelve months as the forecast transactions affect earnings. At December 31, 2023, our longest outstanding maturity was 1.7 years.</w:t>
      </w:r>
    </w:p>
    <w:p>
      <w:pPr>
        <w:spacing w:after="0" w:line="12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consolidated statements of comprehensive income for the years ended December 31, 2023, 2022 and 2021 are below. Amounts pertaining to the ineffective portion of hedging instruments and those excluded from effectiveness testing were immaterial for the years ended December 31, 2023, 2022 and 2021.</w:t>
      </w:r>
    </w:p>
    <w:p>
      <w:pPr>
        <w:spacing w:after="0" w:line="18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Gain/(loss) recognized in OCL (effective element)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4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22"/>
        </w:trPr>
        <w:tc>
          <w:tcPr>
            <w:tcW w:w="514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color w:val="auto"/>
              </w:rPr>
              <w:t>Foreign exchange contracts</w:t>
            </w:r>
          </w:p>
        </w:tc>
        <w:tc>
          <w:tcPr>
            <w:tcW w:w="1360" w:type="dxa"/>
            <w:vAlign w:val="bottom"/>
            <w:tcBorders>
              <w:bottom w:val="single" w:sz="8" w:color="auto"/>
            </w:tcBorders>
            <w:shd w:val="clear" w:color="auto" w:fill="CFF0FC"/>
          </w:tcPr>
          <w:p>
            <w:pPr>
              <w:jc w:val="right"/>
              <w:ind w:right="121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4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(8 )</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FF0FC"/>
          </w:tcPr>
          <w:p>
            <w:pPr>
              <w:jc w:val="right"/>
              <w:ind w:right="50"/>
              <w:spacing w:after="0" w:line="169" w:lineRule="exact"/>
              <w:rPr>
                <w:sz w:val="20"/>
                <w:szCs w:val="20"/>
                <w:color w:val="auto"/>
              </w:rPr>
            </w:pPr>
            <w:r>
              <w:rPr>
                <w:rFonts w:ascii="Times New Roman" w:cs="Times New Roman" w:eastAsia="Times New Roman" w:hAnsi="Times New Roman"/>
                <w:sz w:val="15"/>
                <w:szCs w:val="15"/>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-24765</wp:posOffset>
            </wp:positionV>
            <wp:extent cx="1371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1371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-24765</wp:posOffset>
            </wp:positionV>
            <wp:extent cx="1371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137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p>
      <w:pPr>
        <w:spacing w:after="0" w:line="196" w:lineRule="exact"/>
        <w:rPr>
          <w:sz w:val="20"/>
          <w:szCs w:val="20"/>
          <w:color w:val="auto"/>
        </w:rPr>
      </w:pPr>
    </w:p>
    <w:p>
      <w:pPr>
        <w:ind w:left="20" w:right="1160"/>
        <w:spacing w:after="0" w:line="243" w:lineRule="auto"/>
        <w:rPr>
          <w:sz w:val="20"/>
          <w:szCs w:val="20"/>
          <w:color w:val="auto"/>
        </w:rPr>
      </w:pPr>
      <w:r>
        <w:rPr>
          <w:rFonts w:ascii="Times New Roman" w:cs="Times New Roman" w:eastAsia="Times New Roman" w:hAnsi="Times New Roman"/>
          <w:sz w:val="13"/>
          <w:szCs w:val="13"/>
          <w:b w:val="1"/>
          <w:bCs w:val="1"/>
          <w:color w:val="auto"/>
        </w:rPr>
        <w:t>Location of 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116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16510</wp:posOffset>
            </wp:positionV>
            <wp:extent cx="387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878580" cy="8255"/>
                    </a:xfrm>
                    <a:prstGeom prst="rect">
                      <a:avLst/>
                    </a:prstGeom>
                    <a:noFill/>
                  </pic:spPr>
                </pic:pic>
              </a:graphicData>
            </a:graphic>
          </wp:anchor>
        </w:drawing>
      </w:r>
    </w:p>
    <w:p>
      <w:pPr>
        <w:spacing w:after="0" w:line="12" w:lineRule="exact"/>
        <w:rPr>
          <w:sz w:val="20"/>
          <w:szCs w:val="20"/>
          <w:color w:val="auto"/>
        </w:rPr>
      </w:pPr>
    </w:p>
    <w:p>
      <w:pPr>
        <w:ind w:left="180"/>
        <w:spacing w:after="0"/>
        <w:tabs>
          <w:tab w:leader="none" w:pos="2300" w:val="left"/>
          <w:tab w:leader="none" w:pos="4380" w:val="left"/>
        </w:tabs>
        <w:rPr>
          <w:sz w:val="20"/>
          <w:szCs w:val="20"/>
          <w:color w:val="auto"/>
        </w:rPr>
      </w:pPr>
      <w:r>
        <w:rPr>
          <w:rFonts w:ascii="Times New Roman" w:cs="Times New Roman" w:eastAsia="Times New Roman" w:hAnsi="Times New Roman"/>
          <w:sz w:val="13"/>
          <w:szCs w:val="13"/>
          <w:b w:val="1"/>
          <w:bCs w:val="1"/>
          <w:color w:val="auto"/>
        </w:rPr>
        <w:t>2023</w:t>
      </w:r>
      <w:r>
        <w:rPr>
          <w:sz w:val="20"/>
          <w:szCs w:val="20"/>
          <w:color w:val="auto"/>
        </w:rPr>
        <w:tab/>
      </w:r>
      <w:r>
        <w:rPr>
          <w:rFonts w:ascii="Times New Roman" w:cs="Times New Roman" w:eastAsia="Times New Roman" w:hAnsi="Times New Roman"/>
          <w:sz w:val="13"/>
          <w:szCs w:val="13"/>
          <w:b w:val="1"/>
          <w:bCs w:val="1"/>
          <w:color w:val="auto"/>
        </w:rPr>
        <w:t>2022</w:t>
      </w:r>
      <w:r>
        <w:rPr>
          <w:sz w:val="20"/>
          <w:szCs w:val="20"/>
          <w:color w:val="auto"/>
        </w:rPr>
        <w:tab/>
      </w:r>
      <w:r>
        <w:rPr>
          <w:rFonts w:ascii="Times New Roman" w:cs="Times New Roman" w:eastAsia="Times New Roman" w:hAnsi="Times New Roman"/>
          <w:sz w:val="13"/>
          <w:szCs w:val="13"/>
          <w:b w:val="1"/>
          <w:bCs w:val="1"/>
          <w:color w:val="auto"/>
        </w:rPr>
        <w:t>2021</w:t>
      </w:r>
    </w:p>
    <w:p>
      <w:pPr>
        <w:spacing w:after="0" w:line="17" w:lineRule="exact"/>
        <w:rPr>
          <w:sz w:val="20"/>
          <w:szCs w:val="20"/>
          <w:color w:val="auto"/>
        </w:rPr>
      </w:pPr>
    </w:p>
    <w:p>
      <w:pPr>
        <w:sectPr>
          <w:pgSz w:w="11900" w:h="16838" w:orient="portrait"/>
          <w:cols w:equalWidth="0" w:num="2">
            <w:col w:w="5000" w:space="720"/>
            <w:col w:w="5520"/>
          </w:cols>
          <w:pgMar w:left="320" w:top="1173" w:right="3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23"/>
                <w:szCs w:val="23"/>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23"/>
                <w:szCs w:val="23"/>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6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8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4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60"/>
        </w:trPr>
        <w:tc>
          <w:tcPr>
            <w:tcW w:w="5140" w:type="dxa"/>
            <w:vAlign w:val="bottom"/>
          </w:tcPr>
          <w:p>
            <w:pPr>
              <w:spacing w:after="0"/>
              <w:rPr>
                <w:sz w:val="22"/>
                <w:szCs w:val="22"/>
                <w:color w:val="auto"/>
              </w:rPr>
            </w:pP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6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6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5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-205105</wp:posOffset>
            </wp:positionV>
            <wp:extent cx="1371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-205105</wp:posOffset>
            </wp:positionV>
            <wp:extent cx="1282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6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2023 and December 31, 2022, we had notional amounts of $1.2 billion and $1.7 billion, respectively, with net asset fair values of $3 million and $24 million, respectively. Such derivatives typically mature within three months.</w:t>
      </w:r>
    </w:p>
    <w:p>
      <w:pPr>
        <w:spacing w:after="0" w:line="128"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consolidated statements of comprehensive income for the years ended December 31, 2023, 2022 and 2021 are as follows (see Note 17 — Other Income, Net for the net foreign currency impact on the Company’s consolidated statements of comprehensive income which includes the results of the offset of underlying exposures):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8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Gain/(loss) recognized in income</w:t>
            </w:r>
          </w:p>
        </w:tc>
        <w:tc>
          <w:tcPr>
            <w:tcW w:w="960" w:type="dxa"/>
            <w:vAlign w:val="bottom"/>
            <w:tcBorders>
              <w:bottom w:val="single" w:sz="8" w:color="auto"/>
            </w:tcBorders>
          </w:tcPr>
          <w:p>
            <w:pPr>
              <w:spacing w:after="0"/>
              <w:rPr>
                <w:sz w:val="16"/>
                <w:szCs w:val="16"/>
                <w:color w:val="auto"/>
              </w:rPr>
            </w:pPr>
          </w:p>
        </w:tc>
      </w:tr>
      <w:tr>
        <w:trPr>
          <w:trHeight w:val="169"/>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40" w:type="dxa"/>
            <w:vAlign w:val="bottom"/>
          </w:tcPr>
          <w:p>
            <w:pPr>
              <w:spacing w:after="0"/>
              <w:rPr>
                <w:sz w:val="14"/>
                <w:szCs w:val="1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7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shd w:val="clear" w:color="auto" w:fill="CFF0FC"/>
          </w:tcPr>
          <w:p>
            <w:pPr>
              <w:spacing w:after="0"/>
              <w:rPr>
                <w:sz w:val="24"/>
                <w:szCs w:val="24"/>
                <w:color w:val="auto"/>
              </w:rPr>
            </w:pPr>
          </w:p>
        </w:tc>
        <w:tc>
          <w:tcPr>
            <w:tcW w:w="30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(147 )  $</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628"/>
        </w:trPr>
        <w:tc>
          <w:tcPr>
            <w:tcW w:w="4060" w:type="dxa"/>
            <w:vAlign w:val="bottom"/>
            <w:tcBorders>
              <w:top w:val="single" w:sz="8" w:color="CFF0FC"/>
            </w:tcBorders>
          </w:tcPr>
          <w:p>
            <w:pPr>
              <w:spacing w:after="0"/>
              <w:rPr>
                <w:sz w:val="24"/>
                <w:szCs w:val="24"/>
                <w:color w:val="auto"/>
              </w:rPr>
            </w:pPr>
          </w:p>
        </w:tc>
        <w:tc>
          <w:tcPr>
            <w:tcW w:w="2980" w:type="dxa"/>
            <w:vAlign w:val="bottom"/>
            <w:tcBorders>
              <w:top w:val="single" w:sz="8" w:color="CFF0FC"/>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762"/>
        </w:trPr>
        <w:tc>
          <w:tcPr>
            <w:tcW w:w="4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-932815</wp:posOffset>
            </wp:positionV>
            <wp:extent cx="857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-915670</wp:posOffset>
            </wp:positionV>
            <wp:extent cx="857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-932815</wp:posOffset>
            </wp:positionV>
            <wp:extent cx="857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-915670</wp:posOffset>
            </wp:positionV>
            <wp:extent cx="857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4.625% senior notes due 2023</w:t>
            </w: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3.600% senior notes due 2024</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650</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r>
      <w:tr>
        <w:trPr>
          <w:trHeight w:val="403"/>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0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377"/>
        </w:trPr>
        <w:tc>
          <w:tcPr>
            <w:tcW w:w="77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r>
      <w:tr>
        <w:trPr>
          <w:trHeight w:val="169"/>
        </w:trPr>
        <w:tc>
          <w:tcPr>
            <w:tcW w:w="7700" w:type="dxa"/>
            <w:vAlign w:val="bottom"/>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3.600% senior notes due 2024</w:t>
            </w:r>
          </w:p>
        </w:tc>
        <w:tc>
          <w:tcPr>
            <w:tcW w:w="10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649</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547</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10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744</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597</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10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5.350% senior notes due 2033</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10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395</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542</w:t>
            </w:r>
          </w:p>
        </w:tc>
      </w:tr>
      <w:tr>
        <w:trPr>
          <w:trHeight w:val="276"/>
        </w:trPr>
        <w:tc>
          <w:tcPr>
            <w:tcW w:w="77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4,567</w:t>
            </w:r>
          </w:p>
        </w:tc>
        <w:tc>
          <w:tcPr>
            <w:tcW w:w="1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-2388235</wp:posOffset>
            </wp:positionV>
            <wp:extent cx="12001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-2371090</wp:posOffset>
            </wp:positionV>
            <wp:extent cx="12001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75"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issued each note or entered into the revolving credit facility and those wholly-owned and consolidated subsidiaries of the Company that guarantee each respective note and the revolving credit facility on a joint and several basis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3.600% due 2024</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4.650% due 2027</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4.500% due 2028</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2.950% due 2029</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5.350% due 2033</w:t>
            </w:r>
          </w:p>
        </w:tc>
        <w:tc>
          <w:tcPr>
            <w:tcW w:w="0" w:type="dxa"/>
            <w:vAlign w:val="bottom"/>
          </w:tcPr>
          <w:p>
            <w:pPr>
              <w:spacing w:after="0"/>
              <w:rPr>
                <w:sz w:val="1"/>
                <w:szCs w:val="1"/>
                <w:color w:val="auto"/>
              </w:rPr>
            </w:pPr>
          </w:p>
        </w:tc>
      </w:tr>
      <w:tr>
        <w:trPr>
          <w:trHeight w:val="148"/>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4.400% due 2026</w:t>
            </w: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5.050% due 2048</w:t>
            </w:r>
          </w:p>
        </w:tc>
        <w:tc>
          <w:tcPr>
            <w:tcW w:w="0" w:type="dxa"/>
            <w:vAlign w:val="bottom"/>
          </w:tcPr>
          <w:p>
            <w:pPr>
              <w:spacing w:after="0"/>
              <w:rPr>
                <w:sz w:val="1"/>
                <w:szCs w:val="1"/>
                <w:color w:val="auto"/>
              </w:rPr>
            </w:pPr>
          </w:p>
        </w:tc>
      </w:tr>
      <w:tr>
        <w:trPr>
          <w:trHeight w:val="187"/>
        </w:trPr>
        <w:tc>
          <w:tcPr>
            <w:tcW w:w="65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6.125% due 2043</w:t>
            </w:r>
          </w:p>
        </w:tc>
        <w:tc>
          <w:tcPr>
            <w:tcW w:w="24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3.875% due 2049</w:t>
            </w:r>
          </w:p>
        </w:tc>
        <w:tc>
          <w:tcPr>
            <w:tcW w:w="0" w:type="dxa"/>
            <w:vAlign w:val="bottom"/>
          </w:tcPr>
          <w:p>
            <w:pPr>
              <w:spacing w:after="0"/>
              <w:rPr>
                <w:sz w:val="1"/>
                <w:szCs w:val="1"/>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60" w:type="dxa"/>
            <w:vAlign w:val="bottom"/>
            <w:shd w:val="clear" w:color="auto" w:fill="CFF0FC"/>
          </w:tcPr>
          <w:p>
            <w:pPr>
              <w:spacing w:after="0"/>
              <w:rPr>
                <w:sz w:val="20"/>
                <w:szCs w:val="20"/>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0"/>
                <w:szCs w:val="20"/>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2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6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2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6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 I Limited</w:t>
            </w:r>
          </w:p>
        </w:tc>
        <w:tc>
          <w:tcPr>
            <w:tcW w:w="2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6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26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$1.5 billion revolving credit facility</w:t>
      </w:r>
    </w:p>
    <w:p>
      <w:pPr>
        <w:spacing w:after="0" w:line="17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On October 6, 2021, Trinity Acquisition plc entered into a second amended and restated revolving credit facility (the ‘new RCF’) for $1.5 billion that will mature on October 6, 2026. This new RCF replaced the previous $1.25 billion revolving credit facility which was due to expire in March of 2022.</w:t>
      </w:r>
    </w:p>
    <w:p>
      <w:pPr>
        <w:spacing w:after="0" w:line="109"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On June 29, 2023, Trinity Acquisition plc amended its revolving credit facility to replace the use of London Interbank Offered Rate (‘LIBOR’) with the Secured Overnight Financing Rate (‘SOFR’) in connection with its base-rate borrowings. This amendment was done in connection with the cessation of LIBOR and all other terms remain the same. Borrowing costs under the $1.5 billion facility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104" w:name="page105"/>
    <w:bookmarkEnd w:id="104"/>
    <w:p>
      <w:pPr>
        <w:ind w:right="620"/>
        <w:spacing w:after="0" w:line="281" w:lineRule="auto"/>
        <w:rPr>
          <w:sz w:val="20"/>
          <w:szCs w:val="20"/>
          <w:color w:val="auto"/>
        </w:rPr>
      </w:pPr>
      <w:r>
        <w:rPr>
          <w:rFonts w:ascii="Times New Roman" w:cs="Times New Roman" w:eastAsia="Times New Roman" w:hAnsi="Times New Roman"/>
          <w:sz w:val="18"/>
          <w:szCs w:val="18"/>
          <w:color w:val="auto"/>
        </w:rPr>
        <w:t>differ if the borrowing is a ‘base rate’ borrowing or a ‘Eurocurrency’ borrowing, both as defined by the new RCF, and equal the sum of the relevant benchmark plus a margin based on the Company’s senior unsecured long-term debt rating:</w:t>
      </w:r>
    </w:p>
    <w:p>
      <w:pPr>
        <w:spacing w:after="0" w:line="109" w:lineRule="exact"/>
        <w:rPr>
          <w:sz w:val="20"/>
          <w:szCs w:val="20"/>
          <w:color w:val="auto"/>
        </w:rPr>
      </w:pPr>
    </w:p>
    <w:p>
      <w:pPr>
        <w:ind w:left="760" w:right="40" w:hanging="378"/>
        <w:spacing w:after="0" w:line="265"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base rate borrowings, the benchmark rate will be the greatest of (a) the Prime Rate in effect on such day, (b) the Federal Funds Effective Rate in effect on such day plus 0.50%, and (c) the one-month Term SOFR rate plus 1.0%. The margin on the base rate benchmark is 0.00% to 0.75% depending on the Company’s senior unsecured long-term debt rating.</w:t>
      </w:r>
    </w:p>
    <w:p>
      <w:pPr>
        <w:spacing w:after="0" w:line="69" w:lineRule="exact"/>
        <w:rPr>
          <w:rFonts w:ascii="Times New Roman" w:cs="Times New Roman" w:eastAsia="Times New Roman" w:hAnsi="Times New Roman"/>
          <w:sz w:val="18"/>
          <w:szCs w:val="18"/>
          <w:color w:val="auto"/>
        </w:rPr>
      </w:pPr>
    </w:p>
    <w:p>
      <w:pPr>
        <w:ind w:left="760" w:right="200" w:hanging="378"/>
        <w:spacing w:after="0" w:line="265"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 Benchmark or Sterling Overnight Interbank Average Rate (‘SONIA’) borrowings, the rate will be the applicable Term SOFR rate or SONIA (as applicable based on the currency of the borrower) plus the Applicable SOFR Adjustment of 0.10% plus a margin of 1.0% to 1.75% depending on the Company’s guaranteed unsecured long-term debt rating.</w:t>
      </w:r>
    </w:p>
    <w:p>
      <w:pPr>
        <w:spacing w:after="0" w:line="12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new RCF also carries a commitment fee, applicable to the unused portion, of 0.09% to 0.25%, which is also based on the Company’s senior unsecured long-term debt rating.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$1.25 billion revolving credit facility</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Amounts outstanding under the previous $1.25 billion revolving credit facility bore interest at LIBOR plus a margin of 1.00% to 1.75%, or alternatively, the base rate plus a margin of 0.00% to 0.75%, based upon the Company’s guaranteed senior unsecured long-term debt rating.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5.350% senior notes due 2033</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17, 2023, the Company, together with its wholly-owned subsidiary, Willis North America Inc. as issuer, completed an offering of $750 million aggregate principal amount of 5.350% senior notes due 2033 (‘2033 senior notes’). The effective interest rate of the 2033 senior notes is 5.47%, which includes the impact of the discount upon issuance. The 2033 senior notes will mature on May 15, 2033. Interest on the 2033 senior notes accrues from May 17, 2023 and will be paid in cash on May 15 and November 15 of each year, commencing on November 15, 2023. The net proceeds from this offering, after deducting the underwriting discount and offering expenses, were $741 million, of which $256 million was used to fully repay the $250 million aggregate principal amount and related accrued interest of the 4.625% senior notes at maturity during the third quarter of 2023. The Company used the remaining net proceeds for general corporate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4.650% senior notes due 2027</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19, 2022, the Company, together with its wholly-owned subsidiary, Willis North America Inc. as issuer, completed an offering of $750 million aggregate principal amount of 4.650% senior notes due 2027 (‘2027 senior notes’). The effective interest rate of the 2027 senior notes is 4.79%, which includes the impact of the discount upon issuance. The 2027 senior notes will mature on June 15, 2027. Interest on the 2027 senior notes accrues from May 19, 2022 and will be paid in cash on June 15 and December 15 of each year, commencing on December 15, 2022. The net proceeds from this offering, after deducting the underwriting discount and estimated offering expenses, were approximately $744 million and were used to fully repay the €540 million ($582 million on the date of repayment) aggregate principal amount of the 2.125% Senior Notes due 2022 and related accrued interest, and for general corporate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2.950% senior notes due 2029 and 3.875% senior notes due 2049</w:t>
      </w:r>
    </w:p>
    <w:p>
      <w:pPr>
        <w:spacing w:after="0" w:line="1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September 10, 2019, the Company, together with its wholly-owned subsidiary, Willis North America Inc., as issuer, completed an offering of $450 million aggregate principal amount of 2.950% senior notes due 2029 (the ‘initial 2029 senior notes’) and $550 million aggregate principal amount of 3.875% senior notes due 2049 (‘2049 senior notes’; collectively, the ‘2019 senior notes offering’). On May 29, 2020, the Company, together with its wholly-owned subsidiary, Willis North America Inc., as issuer, completed an offering of an additional $275 million aggregate principal amount of 2.950% senior notes due 2029 (the ‘additional 2029 senior notes’). The additional 2029 senior notes will be treated as a single class with, and otherwise identical to, the initial 2029 senior notes other than with respect to the date of issuance, the issue price and the amounts paid to holders for each class of note on the first interest payment date. The effective interest rates of the initial 2029 senior notes and 2049 senior notes are 2.971% and 3.898%, respectively, which include the impact of the discount upon issuance. The effective interest rate of the additional 2029 senior notes is 2.697%, which includes the impact of the premium upon issuance. Both 2029 senior notes offerings will mature on September 15, 2029, and the 2049 senior notes will mature on September 15, 2049. Interest on the 2019 senior notes offering has accrued from September 10, 2019 and is paid in cash on March 15 and September 15 of each year. Interest on the additional 2029 senior notes has accrued from March 15, 2020 and is paid in cash on March 15 and September 15 of each year. The net proceeds from the 2019 senior notes offering, after deducting underwriter discounts and commissions and estimated offering expenses, were approximately $988 million and were used to prepay a portion of the amount outstanding under the Company’s one-year term loan commitment (described below) and to repay borrowings under the Company’s $1.25 billion revolving credit facility. The net proceeds from the additional</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05" w:name="page106"/>
    <w:bookmarkEnd w:id="105"/>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2029 senior notes offering were used to repay $175 million of the full principal amount and related accrued interest under the term loan facility, which was set to expire in July 2020, as well as repay $105 million of borrowings outstanding under the Company’s $1.25 billion revolving credit facility and related accrued interest.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4.500% senior notes due 2028 and 5.050% senior notes due 2048</w:t>
      </w:r>
    </w:p>
    <w:p>
      <w:pPr>
        <w:spacing w:after="0" w:line="17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On September 10, 2018, the Company, together with its wholly-owned subsidiary, Willis North America Inc. as issuer, completed an offering of $600 million of 4.500% senior notes due 2028 (‘2028 senior notes’) and $400 million of 5.050% senior notes due 2048 (‘2048 senior notes’). The effective interest rates of the 2028 senior notes and 2048 senior notes are 4.504% and 5.073%, respectively, which include the impact of the discount upon issuance. The 2028 senior notes will mature on September 15, 2028 and the 2048 senior notes will mature on September 15, 2048. Interest has accrued on both the 2028 senior notes and 2048 senior notes from September 10, 2018 and is paid in cash on March 15 and September 15 of each year. The net proceeds from this offering, after deducting underwriter discounts and commissions and estimated offering expenses, were $989 million and were used to prepay in full $127 million outstanding under the Company’s term loan due December 2019 and to repay a portion of the amount outstanding under the Company’s RCF.</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3.600% senior notes due 2024</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16, 2017, Willis North America Inc. issued $650 million of 3.600% senior notes due 2024 (‘2024 senior notes’). The effective interest rate of the 2024 senior notes is 3.614%, which includes the impact of the discount upon issuance. The 2024 senior notes will mature on May 15, 2024, and interest has accrued on the 2024 senior notes from May 16, 2017 and is paid in cash on May 15 and November 15 of each year. The net proceeds from this offering, after deducting underwriter discounts and commissions and estimated offering expenses, were $644 million and were used to pay down amounts outstanding under the RCF and for general corporate purposes.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3.500% senior notes due 2021 (repaid in August 2021) and 4.400% senior notes due 2026</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March 22, 2016, Trinity Acquisition plc issued $450 million of 3.500% senior notes due 2021 (‘2021 senior notes’) and $550 million of 4.400% senior notes due 2026 (‘2026 senior notes’). The effective interest rate of the 2021 senior notes was 3.707% and the effective interest rate on the 2026 senior notes is 4.572%, which includes the impact of the discount upon issuance. The 2021 senior notes were to mature on September 15, 2021; the 2026 senior notes will mature on March 15, 2026. Interest on the 2026 senior notes has accrued from March 22, 2016 and will be paid in cash on March 15 and September 15 of each year. The net proceeds from these offerings, after deducting underwriter discounts and commissions and estimated offering expenses, were $988 million. We used the net proceeds of these offerings to: (i) repay $300 million principal under the prior $800 million revolving credit facility and related accrued interest, which was drawn to repay our previously-issued 4.125% senior notes on March 15, 2016; (ii) repay $400 million principal on another portion of the previous 1-year term loan facility and related accrued interest; and (iii) pay down a portion of the remaining principal amount outstanding under the previous revolving credit facility and related accrued interest. In August 2021, the Company called the 2021 senior notes due to mature in September 2021 and repaid the principal and interest at that time using cash on-hand.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4.625% senior notes due 2023 (repaid in August 2023) and 6.125% senior notes due 2043</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15, 2013, Trinity Acquisition plc issued $250 million of 4.625% senior notes due 2023 (‘2023 senior notes’) and $275 million of 6.125% senior notes due 2043 (‘2043 senior notes’). The effective interest rate of the 2023 senior notes was 4.696% and the effective interest rate of the 2043 senior notes is 6.154%, which includes the impact of the discount upon issuance. The proceeds were used to repurchase other previously-issued senior notes. The 2023 senior notes matured on August 15, 2023; the 2043 senior notes will mature on August 15, 2043. In August 2023, the Company repaid in full the principal and related accrued interest associated with the 2023 senior notes using, in part, the proceeds from the issuance of the 2033 senior notes discussed above.</w:t>
      </w:r>
    </w:p>
    <w:p>
      <w:pPr>
        <w:spacing w:after="0" w:line="124" w:lineRule="exact"/>
        <w:rPr>
          <w:sz w:val="20"/>
          <w:szCs w:val="20"/>
          <w:color w:val="auto"/>
        </w:rPr>
      </w:pPr>
    </w:p>
    <w:p>
      <w:pPr>
        <w:ind w:right="44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Additional Information Regarding Fully Repaid Senior Notes and Collateralized Facility </w:t>
      </w:r>
      <w:r>
        <w:rPr>
          <w:rFonts w:ascii="Times New Roman" w:cs="Times New Roman" w:eastAsia="Times New Roman" w:hAnsi="Times New Roman"/>
          <w:sz w:val="18"/>
          <w:szCs w:val="18"/>
          <w:i w:val="1"/>
          <w:iCs w:val="1"/>
          <w:color w:val="auto"/>
        </w:rPr>
        <w:t>2.125% senior notes due 2022</w:t>
      </w: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26, 2016, Trinity Acquisition plc issued €540 million ($609 million) of 2.125% senior notes due 2022 (‘2022 senior notes’). The effective interest rate of these senior notes was 2.154%, which included the impact of the discount upon issuance. The 2022 senior notes matured on May 26, 2022. Interest had accrued on the notes from May 26, 2016 and was paid in cash on May 26 of each year. The net proceeds from this offering, after deducting underwriter discounts and commissions and estimated offering expenses, were €535 million ($600 million). We used the net proceeds of this offering to repay a portion of the previous 1-year term loan facility, which matured in 2016, and related accrued interest. In May 2022, the 2022 senior notes were repaid in full using the net proceeds from the 2027 senior notes offering discussed above.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5.750% senior notes due 2021</w:t>
      </w:r>
    </w:p>
    <w:p>
      <w:pPr>
        <w:spacing w:after="0" w:line="17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March 2011, the Company issued $500 million of 5.750% senior notes due 2021. The effective interest rate of these senior notes was 5.871%, which included the impact of the discount upon issuance. The proceeds were used to repurchase and redeem other previously-issued senior notes. In March 2021, the senior notes matured, and the Company repaid the principal and interest using cash on-hand.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Collateralized Facility</w:t>
      </w:r>
    </w:p>
    <w:p>
      <w:pPr>
        <w:spacing w:after="0" w:line="17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As part of the acquisition of TRANZACT, the Company assumed debt of $91 million related to borrowings by TRANZACT whereby certain renewal commissions receivables were pledged as collateral. The Company was required to remit cash received from these pledged renewal commissions receivables on a quarterly basis to the lenders until the borrowings and related interest were repaid, after the payment of certain fees and other permitted distributions. No additional borrowings were made against this collateralized facility since the acquisition. Per the terms of the collateralized facility and specific approvals having been obtained, in November 2021 the Company repaid in full $32 million of principal and interest outstanding using cash on-hand, and the facility was subsequently closed. Prior to this repayment, cash received for the renewal commissions receivables had been classified as restricted cash on our consolidated balance sheet.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terms of our current financings also include certain limitations. For example, the agreements relating to the debt arrangements and credit facilities generally contain numerous operating and financial covenants, including requirements to maintain minimum ratios of consolidated EBITDA to consolidated cash interest expense and maximum levels of consolidated funded indebtedness in relation to consolidated EBITDA, in each case subject to certain adjustments. The operating restrictions and financial covenants in our current credit facilities do, and any future financing agreements may, limit our ability to finance future operations or capital needs or to engage in other business activities. At December 31, 2023 and 2022, we were in compliance with all financial covenants.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maturity of our debt and interest on senior notes and excludes any reduction for debt issuance costs: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9"/>
              </w:rPr>
              <w:t>2028</w:t>
            </w:r>
          </w:p>
        </w:tc>
        <w:tc>
          <w:tcPr>
            <w:tcW w:w="100" w:type="dxa"/>
            <w:vAlign w:val="bottom"/>
          </w:tcPr>
          <w:p>
            <w:pPr>
              <w:spacing w:after="0"/>
              <w:rPr>
                <w:sz w:val="16"/>
                <w:szCs w:val="16"/>
                <w:color w:val="auto"/>
              </w:rPr>
            </w:pPr>
          </w:p>
        </w:tc>
        <w:tc>
          <w:tcPr>
            <w:tcW w:w="9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600</w:t>
            </w:r>
          </w:p>
        </w:tc>
        <w:tc>
          <w:tcPr>
            <w:tcW w:w="4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2,700</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senior notes</w:t>
            </w:r>
          </w:p>
        </w:tc>
        <w:tc>
          <w:tcPr>
            <w:tcW w:w="180" w:type="dxa"/>
            <w:vAlign w:val="bottom"/>
          </w:tcPr>
          <w:p>
            <w:pPr>
              <w:spacing w:after="0"/>
              <w:rPr>
                <w:sz w:val="20"/>
                <w:szCs w:val="20"/>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8"/>
              </w:rPr>
              <w:t>1,276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864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4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739</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8"/>
              </w:rPr>
              <w:t>3,976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7,435</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The following table shows an analysis of the interest expense for the years ended December 31, 2023, 2022 and 2021: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227</w:t>
            </w:r>
          </w:p>
        </w:tc>
        <w:tc>
          <w:tcPr>
            <w:tcW w:w="460" w:type="dxa"/>
            <w:vAlign w:val="bottom"/>
            <w:gridSpan w:val="5"/>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Collateralized facility</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(i)</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2"/>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1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gridSpan w:val="2"/>
            <w:shd w:val="clear" w:color="auto" w:fill="CFF0FC"/>
          </w:tcPr>
          <w:p>
            <w:pPr>
              <w:spacing w:after="0"/>
              <w:rPr>
                <w:sz w:val="23"/>
                <w:szCs w:val="23"/>
                <w:color w:val="auto"/>
              </w:rPr>
            </w:pPr>
          </w:p>
        </w:tc>
        <w:tc>
          <w:tcPr>
            <w:tcW w:w="28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spacing w:after="0"/>
              <w:rPr>
                <w:sz w:val="23"/>
                <w:szCs w:val="23"/>
                <w:color w:val="auto"/>
              </w:rPr>
            </w:pPr>
          </w:p>
        </w:tc>
        <w:tc>
          <w:tcPr>
            <w:tcW w:w="4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-1857375</wp:posOffset>
            </wp:positionV>
            <wp:extent cx="768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-1857375</wp:posOffset>
            </wp:positionV>
            <wp:extent cx="768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-1857375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-1857375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-1857375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-1857375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1111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111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1028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1028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Other primarily includes interest expense on finance leases and accretion on deferred and contingent consideration.</w:t>
      </w:r>
    </w:p>
    <w:p>
      <w:pPr>
        <w:spacing w:after="0" w:line="2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Note 12 — Fair Value Measurements</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5"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140" w:hanging="378"/>
        <w:spacing w:after="0" w:line="281"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exchange-traded funds are classified as Level 1 because we use quoted market prices in active markets in determining the fair value of these securities.</w:t>
      </w:r>
    </w:p>
    <w:p>
      <w:pPr>
        <w:spacing w:after="0" w:line="54" w:lineRule="exact"/>
        <w:rPr>
          <w:rFonts w:ascii="Times New Roman" w:cs="Times New Roman" w:eastAsia="Times New Roman" w:hAnsi="Times New Roman"/>
          <w:sz w:val="18"/>
          <w:szCs w:val="18"/>
          <w:color w:val="auto"/>
        </w:rPr>
      </w:pPr>
    </w:p>
    <w:p>
      <w:pPr>
        <w:ind w:left="760" w:right="580" w:hanging="378"/>
        <w:spacing w:after="0" w:line="281"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54" w:lineRule="exact"/>
        <w:rPr>
          <w:rFonts w:ascii="Times New Roman" w:cs="Times New Roman" w:eastAsia="Times New Roman" w:hAnsi="Times New Roman"/>
          <w:sz w:val="18"/>
          <w:szCs w:val="18"/>
          <w:color w:val="auto"/>
        </w:rPr>
      </w:pPr>
    </w:p>
    <w:p>
      <w:pPr>
        <w:ind w:left="760" w:right="320" w:hanging="378"/>
        <w:spacing w:after="0" w:line="265"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9" w:lineRule="exact"/>
        <w:rPr>
          <w:rFonts w:ascii="Times New Roman" w:cs="Times New Roman" w:eastAsia="Times New Roman" w:hAnsi="Times New Roman"/>
          <w:sz w:val="18"/>
          <w:szCs w:val="18"/>
          <w:color w:val="auto"/>
        </w:rPr>
      </w:pPr>
    </w:p>
    <w:p>
      <w:pPr>
        <w:jc w:val="both"/>
        <w:ind w:left="760" w:right="60" w:hanging="378"/>
        <w:spacing w:after="0" w:line="265"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69" w:lineRule="exact"/>
        <w:rPr>
          <w:rFonts w:ascii="Times New Roman" w:cs="Times New Roman" w:eastAsia="Times New Roman" w:hAnsi="Times New Roman"/>
          <w:sz w:val="18"/>
          <w:szCs w:val="18"/>
          <w:color w:val="auto"/>
        </w:rPr>
      </w:pPr>
    </w:p>
    <w:p>
      <w:pPr>
        <w:ind w:left="760" w:right="60" w:hanging="378"/>
        <w:spacing w:after="0" w:line="260"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measured at fair value on a recurring basis at December 31, 2023 and December 31, 2022:</w:t>
      </w:r>
    </w:p>
    <w:p>
      <w:pPr>
        <w:spacing w:after="0" w:line="218"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at</w:t>
      </w:r>
    </w:p>
    <w:p>
      <w:pPr>
        <w:spacing w:after="0" w:line="5"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317690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176905" cy="825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 (vi)</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16510</wp:posOffset>
            </wp:positionV>
            <wp:extent cx="7132320" cy="1543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-213360</wp:posOffset>
            </wp:positionV>
            <wp:extent cx="7132320" cy="2057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15240</wp:posOffset>
            </wp:positionV>
            <wp:extent cx="7132320" cy="1543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15240</wp:posOffset>
            </wp:positionV>
            <wp:extent cx="7132320" cy="1454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-7620</wp:posOffset>
            </wp:positionV>
            <wp:extent cx="7132320" cy="1454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-95885</wp:posOffset>
            </wp:positionV>
            <wp:extent cx="7132320" cy="2057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Other non-current liabilities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-95885</wp:posOffset>
            </wp:positionV>
            <wp:extent cx="7132320" cy="2057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Other non-current liabilities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762"/>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r>
      <w:tr>
        <w:trPr>
          <w:trHeight w:val="553"/>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r>
      <w:tr>
        <w:trPr>
          <w:trHeight w:val="782"/>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r>
      <w:tr>
        <w:trPr>
          <w:trHeight w:val="553"/>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bl>
    <w:p>
      <w:pPr>
        <w:spacing w:after="0" w:line="205" w:lineRule="exact"/>
        <w:rPr>
          <w:sz w:val="20"/>
          <w:szCs w:val="20"/>
          <w:color w:val="auto"/>
        </w:rPr>
      </w:pPr>
    </w:p>
    <w:p>
      <w:pPr>
        <w:sectPr>
          <w:pgSz w:w="11900" w:h="16838" w:orient="portrait"/>
          <w:cols w:equalWidth="0" w:num="3">
            <w:col w:w="2720" w:space="560"/>
            <w:col w:w="2240" w:space="720"/>
            <w:col w:w="5000"/>
          </w:cols>
          <w:pgMar w:left="320" w:top="1223" w:right="339"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type w:val="continuous"/>
        </w:sectPr>
      </w:pPr>
    </w:p>
    <w:bookmarkStart w:id="108" w:name="page109"/>
    <w:bookmarkEnd w:id="108"/>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 (vi)</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95059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16510</wp:posOffset>
            </wp:positionV>
            <wp:extent cx="7132320" cy="1543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-213360</wp:posOffset>
            </wp:positionV>
            <wp:extent cx="7132320" cy="2057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15240</wp:posOffset>
            </wp:positionV>
            <wp:extent cx="7132320" cy="1454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-7620</wp:posOffset>
            </wp:positionV>
            <wp:extent cx="7132320" cy="1454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-95885</wp:posOffset>
            </wp:positionV>
            <wp:extent cx="7132320" cy="2057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Other non-current liabilities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-95885</wp:posOffset>
            </wp:positionV>
            <wp:extent cx="7132320" cy="2057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Other non-current liabilities</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at</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17690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17690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762"/>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20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w:t>
            </w:r>
          </w:p>
        </w:tc>
      </w:tr>
      <w:tr>
        <w:trPr>
          <w:trHeight w:val="553"/>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r>
      <w:tr>
        <w:trPr>
          <w:trHeight w:val="782"/>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r>
      <w:tr>
        <w:trPr>
          <w:trHeight w:val="553"/>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bl>
    <w:p>
      <w:pPr>
        <w:spacing w:after="0" w:line="205" w:lineRule="exact"/>
        <w:rPr>
          <w:sz w:val="20"/>
          <w:szCs w:val="20"/>
          <w:color w:val="auto"/>
        </w:rPr>
      </w:pPr>
    </w:p>
    <w:p>
      <w:pPr>
        <w:sectPr>
          <w:pgSz w:w="11900" w:h="16838" w:orient="portrait"/>
          <w:cols w:equalWidth="0" w:num="3">
            <w:col w:w="2720" w:space="560"/>
            <w:col w:w="2240" w:space="720"/>
            <w:col w:w="5000"/>
          </w:cols>
          <w:pgMar w:left="320" w:top="1221" w:right="339" w:bottom="1440" w:gutter="0" w:footer="0" w:header="0"/>
        </w:sectPr>
      </w:pPr>
    </w:p>
    <w:p>
      <w:pPr>
        <w:spacing w:after="0" w:line="55" w:lineRule="exact"/>
        <w:rPr>
          <w:sz w:val="20"/>
          <w:szCs w:val="20"/>
          <w:color w:val="auto"/>
        </w:rPr>
      </w:pPr>
    </w:p>
    <w:p>
      <w:pPr>
        <w:ind w:left="280" w:right="220" w:hanging="272"/>
        <w:spacing w:after="0" w:line="251" w:lineRule="auto"/>
        <w:tabs>
          <w:tab w:leader="none" w:pos="2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consolidated balance sheets.</w:t>
      </w:r>
    </w:p>
    <w:p>
      <w:pPr>
        <w:ind w:left="280" w:hanging="272"/>
        <w:spacing w:after="0"/>
        <w:tabs>
          <w:tab w:leader="none" w:pos="2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Global Equity Focus Fund, for which redemptions can occur on any business day, and require a minimum of one business day’s notice.</w:t>
      </w:r>
    </w:p>
    <w:p>
      <w:pPr>
        <w:spacing w:after="0" w:line="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Alternative Credit Fund, for which the redemption period is generally quarterly, however requires a 50-day notice.</w:t>
      </w:r>
    </w:p>
    <w:p>
      <w:pPr>
        <w:spacing w:after="0" w:line="1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 Derivative Financial Instruments for further information on our derivative investments.</w:t>
      </w:r>
    </w:p>
    <w:p>
      <w:pPr>
        <w:spacing w:after="0" w:line="27" w:lineRule="exact"/>
        <w:rPr>
          <w:rFonts w:ascii="Times New Roman" w:cs="Times New Roman" w:eastAsia="Times New Roman" w:hAnsi="Times New Roman"/>
          <w:sz w:val="14"/>
          <w:szCs w:val="14"/>
          <w:color w:val="auto"/>
        </w:rPr>
      </w:pPr>
    </w:p>
    <w:p>
      <w:pPr>
        <w:ind w:left="280" w:right="40" w:hanging="272"/>
        <w:spacing w:after="0" w:line="239" w:lineRule="auto"/>
        <w:tabs>
          <w:tab w:leader="none" w:pos="2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13.28% and 10.26% at December 31, 2023 and December 31, 2022, respectively. The range of these discount rates was 11.61% - 13.80% at December 31, 2023. Using different probability weightings and discount rates could result in an increase or decrease of the contingent consideration payable.</w:t>
      </w:r>
    </w:p>
    <w:p>
      <w:pPr>
        <w:spacing w:after="0" w:line="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due to be paid across multiple years until 2027.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9"/>
        </w:trPr>
        <w:tc>
          <w:tcPr>
            <w:tcW w:w="8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r>
      <w:tr>
        <w:trPr>
          <w:trHeight w:val="238"/>
        </w:trPr>
        <w:tc>
          <w:tcPr>
            <w:tcW w:w="8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assumed</w:t>
            </w:r>
          </w:p>
        </w:tc>
        <w:tc>
          <w:tcPr>
            <w:tcW w:w="300" w:type="dxa"/>
            <w:vAlign w:val="bottom"/>
          </w:tcPr>
          <w:p>
            <w:pPr>
              <w:spacing w:after="0"/>
              <w:rPr>
                <w:sz w:val="20"/>
                <w:szCs w:val="20"/>
                <w:color w:val="auto"/>
              </w:rPr>
            </w:pPr>
          </w:p>
        </w:tc>
        <w:tc>
          <w:tcPr>
            <w:tcW w:w="2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88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tc>
        <w:tc>
          <w:tcPr>
            <w:tcW w:w="300" w:type="dxa"/>
            <w:vAlign w:val="bottom"/>
          </w:tcPr>
          <w:p>
            <w:pPr>
              <w:spacing w:after="0"/>
              <w:rPr>
                <w:sz w:val="21"/>
                <w:szCs w:val="21"/>
                <w:color w:val="auto"/>
              </w:rPr>
            </w:pPr>
          </w:p>
        </w:tc>
        <w:tc>
          <w:tcPr>
            <w:tcW w:w="2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8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tcBorders>
              <w:bottom w:val="single" w:sz="8" w:color="auto"/>
            </w:tcBorders>
            <w:shd w:val="clear" w:color="auto" w:fill="CFF0FC"/>
          </w:tcPr>
          <w:p>
            <w:pPr>
              <w:spacing w:after="0"/>
              <w:rPr>
                <w:sz w:val="20"/>
                <w:szCs w:val="20"/>
                <w:color w:val="auto"/>
              </w:rPr>
            </w:pPr>
          </w:p>
        </w:tc>
        <w:tc>
          <w:tcPr>
            <w:tcW w:w="2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8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740" w:hanging="272"/>
        <w:spacing w:after="0" w:line="258" w:lineRule="auto"/>
        <w:tabs>
          <w:tab w:leader="none" w:pos="2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consolidated statements of comprehensive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to or from Level 3 during the years ended December 31, 2023 and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December 31, 2023 and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0"/>
        </w:trPr>
        <w:tc>
          <w:tcPr>
            <w:tcW w:w="5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25"/>
        </w:trPr>
        <w:tc>
          <w:tcPr>
            <w:tcW w:w="5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650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248</w:t>
            </w: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4,567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4,359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4,471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4,069</w:t>
            </w:r>
          </w:p>
        </w:tc>
      </w:tr>
    </w:tbl>
    <w:p>
      <w:pPr>
        <w:spacing w:after="0" w:line="18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Note 13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7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presented herein.</w:t>
      </w:r>
    </w:p>
    <w:p>
      <w:pPr>
        <w:spacing w:after="0" w:line="12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As part of these obligations, in the U.S., the U.K. and Canada, we have non-qualified plans that provide for the additional pension benefits that would be covered under the qualified plan in the respective country were it not for statutory maximums. The non-qualified plans are unfunded.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plans within each grouping are described below:</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3" w:lineRule="exact"/>
        <w:rPr>
          <w:sz w:val="20"/>
          <w:szCs w:val="20"/>
          <w:color w:val="auto"/>
        </w:rPr>
      </w:pPr>
    </w:p>
    <w:p>
      <w:pPr>
        <w:ind w:left="760" w:right="20"/>
        <w:spacing w:after="0" w:line="281"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was frozen in 2009. Approximately 600 WTW employees in the United States have a frozen accrued benefit under this plan.</w:t>
      </w:r>
    </w:p>
    <w:p>
      <w:pPr>
        <w:spacing w:after="0" w:line="109"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WTW Plan</w:t>
      </w:r>
      <w:r>
        <w:rPr>
          <w:rFonts w:ascii="Times New Roman" w:cs="Times New Roman" w:eastAsia="Times New Roman" w:hAnsi="Times New Roman"/>
          <w:sz w:val="18"/>
          <w:szCs w:val="18"/>
          <w:color w:val="auto"/>
        </w:rPr>
        <w:t xml:space="preserve">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were required to contribute 2% of pay on an after-tax basis to participate in the plan. Effective January 1, 2024, stable value benefits are earned under the same contributory formula for all eligible colleagues. To participate, plan participants are required to contribute 2% of eligible earnings (base salary only) on an after-tax basis.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3" w:lineRule="exact"/>
        <w:rPr>
          <w:sz w:val="20"/>
          <w:szCs w:val="20"/>
          <w:color w:val="auto"/>
        </w:rPr>
      </w:pPr>
    </w:p>
    <w:p>
      <w:pPr>
        <w:ind w:left="760"/>
        <w:spacing w:after="0" w:line="281"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covers approximately 400 WTW employees in the U.K. The plan is now closed to new entrants. New employees in the U.K. are offered the opportunity to join a defined contribution plan.</w:t>
      </w:r>
    </w:p>
    <w:p>
      <w:pPr>
        <w:spacing w:after="0" w:line="109" w:lineRule="exact"/>
        <w:rPr>
          <w:sz w:val="20"/>
          <w:szCs w:val="20"/>
          <w:color w:val="auto"/>
        </w:rPr>
      </w:pPr>
    </w:p>
    <w:p>
      <w:pPr>
        <w:ind w:left="760" w:right="140"/>
        <w:spacing w:after="0" w:line="260" w:lineRule="auto"/>
        <w:rPr>
          <w:sz w:val="20"/>
          <w:szCs w:val="20"/>
          <w:color w:val="auto"/>
        </w:rPr>
      </w:pPr>
      <w:r>
        <w:rPr>
          <w:rFonts w:ascii="Times New Roman" w:cs="Times New Roman" w:eastAsia="Times New Roman" w:hAnsi="Times New Roman"/>
          <w:sz w:val="18"/>
          <w:szCs w:val="18"/>
          <w:u w:val="single" w:color="auto"/>
          <w:color w:val="auto"/>
        </w:rPr>
        <w:t>Legacy Towers Watson</w:t>
      </w:r>
      <w:r>
        <w:rPr>
          <w:rFonts w:ascii="Times New Roman" w:cs="Times New Roman" w:eastAsia="Times New Roman" w:hAnsi="Times New Roman"/>
          <w:sz w:val="18"/>
          <w:szCs w:val="18"/>
          <w:color w:val="auto"/>
        </w:rPr>
        <w:t xml:space="preserve">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 All participants now accrue defined contribution benefits.</w:t>
      </w:r>
    </w:p>
    <w:p>
      <w:pPr>
        <w:spacing w:after="0" w:line="128" w:lineRule="exact"/>
        <w:rPr>
          <w:sz w:val="20"/>
          <w:szCs w:val="20"/>
          <w:color w:val="auto"/>
        </w:rPr>
      </w:pPr>
    </w:p>
    <w:p>
      <w:pPr>
        <w:ind w:left="760" w:right="20"/>
        <w:spacing w:after="0" w:line="265" w:lineRule="auto"/>
        <w:rPr>
          <w:sz w:val="20"/>
          <w:szCs w:val="20"/>
          <w:color w:val="auto"/>
        </w:rPr>
      </w:pPr>
      <w:r>
        <w:rPr>
          <w:rFonts w:ascii="Times New Roman" w:cs="Times New Roman" w:eastAsia="Times New Roman" w:hAnsi="Times New Roman"/>
          <w:sz w:val="18"/>
          <w:szCs w:val="18"/>
          <w:u w:val="single" w:color="auto"/>
          <w:color w:val="auto"/>
        </w:rPr>
        <w:t>Legacy Miller</w:t>
      </w:r>
      <w:r>
        <w:rPr>
          <w:rFonts w:ascii="Times New Roman" w:cs="Times New Roman" w:eastAsia="Times New Roman" w:hAnsi="Times New Roman"/>
          <w:sz w:val="18"/>
          <w:szCs w:val="18"/>
          <w:color w:val="auto"/>
        </w:rPr>
        <w:t xml:space="preserve"> – This plan is no longer with WTW following the divestiture of its Miller business in March 2021 (see Note 3 — Acquisitions and Divestitures for further information). The plan provided retirement benefits based on members’ salaries at the point at which they ceased to accrue benefits under the scheme.</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left="760" w:right="180"/>
        <w:spacing w:after="0" w:line="281" w:lineRule="auto"/>
        <w:rPr>
          <w:sz w:val="20"/>
          <w:szCs w:val="20"/>
          <w:color w:val="auto"/>
        </w:rPr>
      </w:pPr>
      <w:r>
        <w:rPr>
          <w:rFonts w:ascii="Times New Roman" w:cs="Times New Roman" w:eastAsia="Times New Roman" w:hAnsi="Times New Roman"/>
          <w:sz w:val="18"/>
          <w:szCs w:val="18"/>
          <w:u w:val="single" w:color="auto"/>
          <w:color w:val="auto"/>
        </w:rPr>
        <w:t>Canada (WTW)</w:t>
      </w:r>
      <w:r>
        <w:rPr>
          <w:rFonts w:ascii="Times New Roman" w:cs="Times New Roman" w:eastAsia="Times New Roman" w:hAnsi="Times New Roman"/>
          <w:sz w:val="18"/>
          <w:szCs w:val="18"/>
          <w:color w:val="auto"/>
        </w:rPr>
        <w:t xml:space="preserve"> – Participants accrue qualified and non-qualified benefits based on a career-average benefit formula. Additionally, participants can choose to make voluntary contributions to purchase enhancements to their pension.</w:t>
      </w:r>
    </w:p>
    <w:p>
      <w:pPr>
        <w:spacing w:after="0" w:line="109" w:lineRule="exact"/>
        <w:rPr>
          <w:sz w:val="20"/>
          <w:szCs w:val="20"/>
          <w:color w:val="auto"/>
        </w:rPr>
      </w:pPr>
    </w:p>
    <w:p>
      <w:pPr>
        <w:ind w:left="760" w:right="60"/>
        <w:spacing w:after="0" w:line="265" w:lineRule="auto"/>
        <w:rPr>
          <w:sz w:val="20"/>
          <w:szCs w:val="20"/>
          <w:color w:val="auto"/>
        </w:rPr>
      </w:pPr>
      <w:r>
        <w:rPr>
          <w:rFonts w:ascii="Times New Roman" w:cs="Times New Roman" w:eastAsia="Times New Roman" w:hAnsi="Times New Roman"/>
          <w:sz w:val="18"/>
          <w:szCs w:val="18"/>
          <w:u w:val="single" w:color="auto"/>
          <w:color w:val="auto"/>
        </w:rPr>
        <w:t>France (legacy broking business)</w:t>
      </w:r>
      <w:r>
        <w:rPr>
          <w:rFonts w:ascii="Times New Roman" w:cs="Times New Roman" w:eastAsia="Times New Roman" w:hAnsi="Times New Roman"/>
          <w:sz w:val="18"/>
          <w:szCs w:val="18"/>
          <w:color w:val="auto"/>
        </w:rPr>
        <w:t xml:space="preserve"> – The mandatory retirement indemnity plan is a termination benefit which provides lump sum benefits at retirement. There is no vesting before the retirement date, and the benefit formula is determined through the collective bargaining agreement and the labor code. All employees with permanent employment contracts are eligible.</w:t>
      </w:r>
    </w:p>
    <w:p>
      <w:pPr>
        <w:spacing w:after="0" w:line="123" w:lineRule="exact"/>
        <w:rPr>
          <w:sz w:val="20"/>
          <w:szCs w:val="20"/>
          <w:color w:val="auto"/>
        </w:rPr>
      </w:pPr>
    </w:p>
    <w:p>
      <w:pPr>
        <w:ind w:left="760" w:right="40"/>
        <w:spacing w:after="0" w:line="265" w:lineRule="auto"/>
        <w:rPr>
          <w:sz w:val="20"/>
          <w:szCs w:val="20"/>
          <w:color w:val="auto"/>
        </w:rPr>
      </w:pPr>
      <w:r>
        <w:rPr>
          <w:rFonts w:ascii="Times New Roman" w:cs="Times New Roman" w:eastAsia="Times New Roman" w:hAnsi="Times New Roman"/>
          <w:sz w:val="18"/>
          <w:szCs w:val="18"/>
          <w:u w:val="single" w:color="auto"/>
          <w:color w:val="auto"/>
        </w:rPr>
        <w:t>Germany</w:t>
      </w:r>
      <w:r>
        <w:rPr>
          <w:rFonts w:ascii="Times New Roman" w:cs="Times New Roman" w:eastAsia="Times New Roman" w:hAnsi="Times New Roman"/>
          <w:sz w:val="18"/>
          <w:szCs w:val="18"/>
          <w:color w:val="auto"/>
        </w:rPr>
        <w:t xml:space="preserve"> – The defined benefit plans are closed to new entrants and include certain legacy employee populations hired before 2011. These benefits are primarily account-based, with some long-service participants continuing to accrue benefits according to grandfathered final-average-pay formulas.</w:t>
      </w:r>
    </w:p>
    <w:p>
      <w:pPr>
        <w:spacing w:after="0" w:line="123" w:lineRule="exact"/>
        <w:rPr>
          <w:sz w:val="20"/>
          <w:szCs w:val="20"/>
          <w:color w:val="auto"/>
        </w:rPr>
      </w:pPr>
    </w:p>
    <w:p>
      <w:pPr>
        <w:ind w:left="760" w:right="40"/>
        <w:spacing w:after="0" w:line="265" w:lineRule="auto"/>
        <w:rPr>
          <w:sz w:val="20"/>
          <w:szCs w:val="20"/>
          <w:color w:val="auto"/>
        </w:rPr>
      </w:pPr>
      <w:r>
        <w:rPr>
          <w:rFonts w:ascii="Times New Roman" w:cs="Times New Roman" w:eastAsia="Times New Roman" w:hAnsi="Times New Roman"/>
          <w:sz w:val="18"/>
          <w:szCs w:val="18"/>
          <w:u w:val="single" w:color="auto"/>
          <w:color w:val="auto"/>
        </w:rPr>
        <w:t>Ireland (Legacy Willis)</w:t>
      </w:r>
      <w:r>
        <w:rPr>
          <w:rFonts w:ascii="Times New Roman" w:cs="Times New Roman" w:eastAsia="Times New Roman" w:hAnsi="Times New Roman"/>
          <w:sz w:val="18"/>
          <w:szCs w:val="18"/>
          <w:color w:val="auto"/>
        </w:rPr>
        <w:t xml:space="preserve"> – Benefit accruals ceased effective from December 31, 2019; however accrued benefits for active employees are indexed to salary increases (to a maximum annual salary of €150,000) until the member leaves the Company. A future service retirement provision is being provided on a defined contribution basis.</w:t>
      </w:r>
    </w:p>
    <w:p>
      <w:pPr>
        <w:spacing w:after="0" w:line="123" w:lineRule="exact"/>
        <w:rPr>
          <w:sz w:val="20"/>
          <w:szCs w:val="20"/>
          <w:color w:val="auto"/>
        </w:rPr>
      </w:pPr>
    </w:p>
    <w:p>
      <w:pPr>
        <w:ind w:left="760" w:right="480"/>
        <w:spacing w:after="0" w:line="265" w:lineRule="auto"/>
        <w:rPr>
          <w:sz w:val="20"/>
          <w:szCs w:val="20"/>
          <w:color w:val="auto"/>
        </w:rPr>
      </w:pPr>
      <w:r>
        <w:rPr>
          <w:rFonts w:ascii="Times New Roman" w:cs="Times New Roman" w:eastAsia="Times New Roman" w:hAnsi="Times New Roman"/>
          <w:sz w:val="18"/>
          <w:szCs w:val="18"/>
          <w:u w:val="single" w:color="auto"/>
          <w:color w:val="auto"/>
        </w:rPr>
        <w:t>Ireland (Legacy Towers Watson)</w:t>
      </w:r>
      <w:r>
        <w:rPr>
          <w:rFonts w:ascii="Times New Roman" w:cs="Times New Roman" w:eastAsia="Times New Roman" w:hAnsi="Times New Roman"/>
          <w:sz w:val="18"/>
          <w:szCs w:val="18"/>
          <w:color w:val="auto"/>
        </w:rPr>
        <w:t xml:space="preserve"> – Benefit accruals ceased effective from May 1, 2015; however accrued benefits for active employees are indexed to salary increases (to a maximum annual salary of €160,000) until the member leaves the Company. A future service retirement provision is being provided on a defined contribution basis.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3" w:right="359" w:bottom="1440" w:gutter="0" w:footer="0" w:header="0"/>
        </w:sectPr>
      </w:pPr>
    </w:p>
    <w:bookmarkStart w:id="110" w:name="page111"/>
    <w:bookmarkEnd w:id="110"/>
    <w:p>
      <w:pPr>
        <w:ind w:left="760" w:right="240"/>
        <w:spacing w:after="0" w:line="265" w:lineRule="auto"/>
        <w:rPr>
          <w:sz w:val="20"/>
          <w:szCs w:val="20"/>
          <w:color w:val="auto"/>
        </w:rPr>
      </w:pPr>
      <w:r>
        <w:rPr>
          <w:rFonts w:ascii="Times New Roman" w:cs="Times New Roman" w:eastAsia="Times New Roman" w:hAnsi="Times New Roman"/>
          <w:sz w:val="18"/>
          <w:szCs w:val="18"/>
          <w:u w:val="single" w:color="auto"/>
          <w:color w:val="auto"/>
        </w:rPr>
        <w:t>Switzerland (WTW)</w:t>
      </w:r>
      <w:r>
        <w:rPr>
          <w:rFonts w:ascii="Times New Roman" w:cs="Times New Roman" w:eastAsia="Times New Roman" w:hAnsi="Times New Roman"/>
          <w:sz w:val="18"/>
          <w:szCs w:val="18"/>
          <w:color w:val="auto"/>
        </w:rPr>
        <w:t xml:space="preserve"> – The defined benefit plans require all employees with local employment contracts to participate. The Company provides benefits in excess of the mandatory minimum required under Swiss occupational pension law. Participants continue to accrue benefits until retirement or upon leaving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Recognized in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schedules provide information concerning the defined benefit pension plans as of and for the years ended December 31, 2023 and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U.S.</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U.K.</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U.K.</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6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6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 obligation, beginning of year</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3,871</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2,435</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655</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5,096</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4,369</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922</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Service cost</w:t>
            </w:r>
          </w:p>
        </w:tc>
        <w:tc>
          <w:tcPr>
            <w:tcW w:w="64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5"/>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cost</w:t>
            </w:r>
          </w:p>
        </w:tc>
        <w:tc>
          <w:tcPr>
            <w:tcW w:w="64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Employee contributions</w:t>
            </w:r>
          </w:p>
        </w:tc>
        <w:tc>
          <w:tcPr>
            <w:tcW w:w="64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Actuarial losses/(gains)</w:t>
            </w:r>
          </w:p>
        </w:tc>
        <w:tc>
          <w:tcPr>
            <w:tcW w:w="64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Settlements</w:t>
            </w:r>
          </w:p>
        </w:tc>
        <w:tc>
          <w:tcPr>
            <w:tcW w:w="6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5"/>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Benefits paid</w:t>
            </w:r>
          </w:p>
        </w:tc>
        <w:tc>
          <w:tcPr>
            <w:tcW w:w="6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Foreign currency changes</w:t>
            </w: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69"/>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Benefit obligation, end of year</w:t>
            </w:r>
          </w:p>
        </w:tc>
        <w:tc>
          <w:tcPr>
            <w:tcW w:w="640" w:type="dxa"/>
            <w:vAlign w:val="bottom"/>
            <w:shd w:val="clear" w:color="auto" w:fill="CFF0FC"/>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4,098</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2,558</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762</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3,871</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2,435</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69"/>
        </w:trPr>
        <w:tc>
          <w:tcPr>
            <w:tcW w:w="4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6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2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Fair value of plan assets, beginning of</w:t>
            </w:r>
          </w:p>
        </w:tc>
        <w:tc>
          <w:tcPr>
            <w:tcW w:w="640" w:type="dxa"/>
            <w:vAlign w:val="bottom"/>
            <w:vMerge w:val="restart"/>
            <w:shd w:val="clear" w:color="auto" w:fill="CFF0FC"/>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3,823</w:t>
            </w:r>
          </w:p>
        </w:tc>
        <w:tc>
          <w:tcPr>
            <w:tcW w:w="3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2,999</w:t>
            </w:r>
          </w:p>
        </w:tc>
        <w:tc>
          <w:tcPr>
            <w:tcW w:w="3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580</w:t>
            </w:r>
          </w:p>
        </w:tc>
        <w:tc>
          <w:tcPr>
            <w:tcW w:w="3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4,710</w:t>
            </w:r>
          </w:p>
        </w:tc>
        <w:tc>
          <w:tcPr>
            <w:tcW w:w="3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5,266</w:t>
            </w:r>
          </w:p>
        </w:tc>
        <w:tc>
          <w:tcPr>
            <w:tcW w:w="3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year</w:t>
            </w:r>
          </w:p>
        </w:tc>
        <w:tc>
          <w:tcPr>
            <w:tcW w:w="640" w:type="dxa"/>
            <w:vAlign w:val="bottom"/>
            <w:vMerge w:val="continue"/>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64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Employer contributions</w:t>
            </w:r>
          </w:p>
        </w:tc>
        <w:tc>
          <w:tcPr>
            <w:tcW w:w="64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5"/>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Employee contributions</w:t>
            </w:r>
          </w:p>
        </w:tc>
        <w:tc>
          <w:tcPr>
            <w:tcW w:w="64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Settlements</w:t>
            </w:r>
          </w:p>
        </w:tc>
        <w:tc>
          <w:tcPr>
            <w:tcW w:w="6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5"/>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Benefits paid</w:t>
            </w:r>
          </w:p>
        </w:tc>
        <w:tc>
          <w:tcPr>
            <w:tcW w:w="6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Foreign currency changes</w:t>
            </w: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Fair value of plan assets, end of year</w:t>
            </w:r>
          </w:p>
        </w:tc>
        <w:tc>
          <w:tcPr>
            <w:tcW w:w="640" w:type="dxa"/>
            <w:vAlign w:val="bottom"/>
            <w:tcBorders>
              <w:bottom w:val="single" w:sz="8" w:color="auto"/>
            </w:tcBorders>
            <w:shd w:val="clear" w:color="auto" w:fill="CFF0FC"/>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3,803</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3,069</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673</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3,823</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2,999</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6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 at end of year</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511</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564</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 Benefit Obligation</w:t>
            </w:r>
          </w:p>
        </w:tc>
        <w:tc>
          <w:tcPr>
            <w:tcW w:w="640" w:type="dxa"/>
            <w:vAlign w:val="bottom"/>
            <w:shd w:val="clear" w:color="auto" w:fill="CFF0FC"/>
          </w:tcPr>
          <w:p>
            <w:pPr>
              <w:jc w:val="right"/>
              <w:ind w:right="48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4,098</w:t>
            </w:r>
          </w:p>
        </w:tc>
        <w:tc>
          <w:tcPr>
            <w:tcW w:w="360" w:type="dxa"/>
            <w:vAlign w:val="bottom"/>
            <w:gridSpan w:val="2"/>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2,558</w:t>
            </w:r>
          </w:p>
        </w:tc>
        <w:tc>
          <w:tcPr>
            <w:tcW w:w="340" w:type="dxa"/>
            <w:vAlign w:val="bottom"/>
            <w:gridSpan w:val="2"/>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733</w:t>
            </w:r>
          </w:p>
        </w:tc>
        <w:tc>
          <w:tcPr>
            <w:tcW w:w="360" w:type="dxa"/>
            <w:vAlign w:val="bottom"/>
            <w:gridSpan w:val="2"/>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3,871</w:t>
            </w:r>
          </w:p>
        </w:tc>
        <w:tc>
          <w:tcPr>
            <w:tcW w:w="340" w:type="dxa"/>
            <w:vAlign w:val="bottom"/>
            <w:gridSpan w:val="2"/>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2,435</w:t>
            </w:r>
          </w:p>
        </w:tc>
        <w:tc>
          <w:tcPr>
            <w:tcW w:w="340" w:type="dxa"/>
            <w:vAlign w:val="bottom"/>
            <w:gridSpan w:val="2"/>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37"/>
        </w:trPr>
        <w:tc>
          <w:tcPr>
            <w:tcW w:w="40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Components on the Consolidated</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Pension benefits assets</w:t>
            </w:r>
          </w:p>
        </w:tc>
        <w:tc>
          <w:tcPr>
            <w:tcW w:w="640" w:type="dxa"/>
            <w:vAlign w:val="bottom"/>
            <w:shd w:val="clear" w:color="auto" w:fill="CFF0FC"/>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569</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5"/>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Current liability for pension benefits</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39"/>
        </w:trPr>
        <w:tc>
          <w:tcPr>
            <w:tcW w:w="402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Non-current liability for pension</w:t>
            </w:r>
          </w:p>
        </w:tc>
        <w:tc>
          <w:tcPr>
            <w:tcW w:w="640" w:type="dxa"/>
            <w:vAlign w:val="bottom"/>
            <w:vMerge w:val="restart"/>
            <w:shd w:val="clear" w:color="auto" w:fill="CFF0FC"/>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14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0" w:type="dxa"/>
            <w:vAlign w:val="bottom"/>
            <w:vMerge w:val="restart"/>
            <w:shd w:val="clear" w:color="auto" w:fill="CFF0FC"/>
          </w:tcPr>
          <w:p>
            <w:pPr>
              <w:spacing w:after="0"/>
              <w:rPr>
                <w:sz w:val="12"/>
                <w:szCs w:val="12"/>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4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2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40" w:type="dxa"/>
            <w:vAlign w:val="bottom"/>
            <w:vMerge w:val="restart"/>
            <w:shd w:val="clear" w:color="auto" w:fill="CFF0FC"/>
          </w:tcPr>
          <w:p>
            <w:pPr>
              <w:spacing w:after="0"/>
              <w:rPr>
                <w:sz w:val="12"/>
                <w:szCs w:val="12"/>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benefits</w:t>
            </w: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4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511</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564</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-2251075</wp:posOffset>
            </wp:positionV>
            <wp:extent cx="939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-2251075</wp:posOffset>
            </wp:positionV>
            <wp:extent cx="857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-2251075</wp:posOffset>
            </wp:positionV>
            <wp:extent cx="857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-2251075</wp:posOffset>
            </wp:positionV>
            <wp:extent cx="857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-2251075</wp:posOffset>
            </wp:positionV>
            <wp:extent cx="857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-1026795</wp:posOffset>
            </wp:positionV>
            <wp:extent cx="939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-1026795</wp:posOffset>
            </wp:positionV>
            <wp:extent cx="857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-1026795</wp:posOffset>
            </wp:positionV>
            <wp:extent cx="8572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-1026795</wp:posOffset>
            </wp:positionV>
            <wp:extent cx="8572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-1026795</wp:posOffset>
            </wp:positionV>
            <wp:extent cx="857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-144780</wp:posOffset>
            </wp:positionV>
            <wp:extent cx="939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-144780</wp:posOffset>
            </wp:positionV>
            <wp:extent cx="857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-144780</wp:posOffset>
            </wp:positionV>
            <wp:extent cx="857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-144780</wp:posOffset>
            </wp:positionV>
            <wp:extent cx="8572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-144780</wp:posOffset>
            </wp:positionV>
            <wp:extent cx="857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2023, bond yields decreased, driving decreases in the discount rates and increasing the benefit obligation for all plans although certain U.K. plans benefited from favorable changes in demographic assumptions and plan experience. The U.K. and Other plans also had unfavorable effects from foreign exchange, and the U.S. plan had a change in mortality assumptions, all of which increased their respective benefit obligations.</w:t>
      </w:r>
    </w:p>
    <w:p>
      <w:pPr>
        <w:spacing w:after="0" w:line="12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bond yields increased, driving an increase in the discount rates and actuarial gains for all plans. The U.K. and Other plans also had favorable effects from foreign exchange on their benefit obligations.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 as of December 31, 2023 and 2022 consist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actuarial loss</w:t>
            </w:r>
          </w:p>
        </w:tc>
        <w:tc>
          <w:tcPr>
            <w:tcW w:w="2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915</w:t>
            </w:r>
          </w:p>
        </w:tc>
        <w:tc>
          <w:tcPr>
            <w:tcW w:w="3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1,674</w:t>
            </w:r>
          </w:p>
        </w:tc>
        <w:tc>
          <w:tcPr>
            <w:tcW w:w="32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340" w:type="dxa"/>
            <w:vAlign w:val="bottom"/>
            <w:tcBorders>
              <w:bottom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597</w:t>
            </w:r>
          </w:p>
        </w:tc>
        <w:tc>
          <w:tcPr>
            <w:tcW w:w="3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1,497</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prior service loss/(gain)</w:t>
            </w:r>
          </w:p>
        </w:tc>
        <w:tc>
          <w:tcPr>
            <w:tcW w:w="240" w:type="dxa"/>
            <w:vAlign w:val="bottom"/>
          </w:tcPr>
          <w:p>
            <w:pPr>
              <w:spacing w:after="0"/>
              <w:rPr>
                <w:sz w:val="16"/>
                <w:szCs w:val="16"/>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43"/>
        </w:trPr>
        <w:tc>
          <w:tcPr>
            <w:tcW w:w="4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915</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1,693</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1,503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-24765</wp:posOffset>
            </wp:positionV>
            <wp:extent cx="8572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-7620</wp:posOffset>
            </wp:positionV>
            <wp:extent cx="8572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-24765</wp:posOffset>
            </wp:positionV>
            <wp:extent cx="8572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-7620</wp:posOffset>
            </wp:positionV>
            <wp:extent cx="857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-24765</wp:posOffset>
            </wp:positionV>
            <wp:extent cx="768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-7620</wp:posOffset>
            </wp:positionV>
            <wp:extent cx="768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768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768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-24765</wp:posOffset>
            </wp:positionV>
            <wp:extent cx="768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-7620</wp:posOffset>
            </wp:positionV>
            <wp:extent cx="768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3"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projected benefit obligation and fair value of plan assets for our plans that have a projected benefit obligation in excess of plan assets as of December 31, 2023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939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278</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145</w:t>
            </w:r>
          </w:p>
        </w:tc>
      </w:tr>
      <w:tr>
        <w:trPr>
          <w:trHeight w:val="656"/>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749"/>
        </w:trPr>
        <w:tc>
          <w:tcPr>
            <w:tcW w:w="4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11" w:name="page112"/>
    <w:bookmarkEnd w:id="111"/>
    <w:p>
      <w:pPr>
        <w:ind w:right="64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projected benefit obligation, accumulated benefit obligation and fair value of plan assets for our plans that have an accumulated benefit obligation in excess of plan assets as of December 31, 2023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U.K.</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4,098</w:t>
            </w:r>
          </w:p>
        </w:tc>
        <w:tc>
          <w:tcPr>
            <w:tcW w:w="78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939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238</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4,098</w:t>
            </w:r>
          </w:p>
        </w:tc>
        <w:tc>
          <w:tcPr>
            <w:tcW w:w="78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939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228</w:t>
            </w:r>
          </w:p>
        </w:tc>
      </w:tr>
      <w:tr>
        <w:trPr>
          <w:trHeight w:val="24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3,803</w:t>
            </w:r>
          </w:p>
        </w:tc>
        <w:tc>
          <w:tcPr>
            <w:tcW w:w="78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43"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8"/>
          <w:szCs w:val="18"/>
          <w:color w:val="auto"/>
        </w:rPr>
        <w:t>The components of the net periodic benefit income and other amounts recognized in other comprehensive (income)/loss for the years ended December 31, 2023, 2022 and 2021 for the defined benefit pension plans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U.K.</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24"/>
        </w:trPr>
        <w:tc>
          <w:tcPr>
            <w:tcW w:w="31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Components of net periodic</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benefit (income)/cost: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Service cost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5"/>
        </w:trPr>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Interest cost</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30"/>
        </w:trPr>
        <w:tc>
          <w:tcPr>
            <w:tcW w:w="31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Expected return on plan</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67"/>
        </w:trPr>
        <w:tc>
          <w:tcPr>
            <w:tcW w:w="3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4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prior service (credit)/cost</w:t>
            </w: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160" w:type="dxa"/>
            <w:vAlign w:val="bottom"/>
          </w:tcPr>
          <w:p>
            <w:pPr>
              <w:spacing w:after="0"/>
              <w:rPr>
                <w:sz w:val="11"/>
                <w:szCs w:val="11"/>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7"/>
        </w:trPr>
        <w:tc>
          <w:tcPr>
            <w:tcW w:w="3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actuarial loss</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Settlement</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Curtailment gain</w:t>
            </w:r>
          </w:p>
        </w:tc>
        <w:tc>
          <w:tcPr>
            <w:tcW w:w="16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1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periodic benefit (income)/cost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24"/>
        </w:trPr>
        <w:tc>
          <w:tcPr>
            <w:tcW w:w="3140" w:type="dxa"/>
            <w:vAlign w:val="bottom"/>
            <w:shd w:val="clear" w:color="auto" w:fill="CFF0FC"/>
          </w:tcPr>
          <w:p>
            <w:pPr>
              <w:ind w:left="160"/>
              <w:spacing w:after="0" w:line="124" w:lineRule="exact"/>
              <w:rPr>
                <w:sz w:val="20"/>
                <w:szCs w:val="20"/>
                <w:color w:val="auto"/>
              </w:rPr>
            </w:pPr>
            <w:r>
              <w:rPr>
                <w:rFonts w:ascii="Times New Roman" w:cs="Times New Roman" w:eastAsia="Times New Roman" w:hAnsi="Times New Roman"/>
                <w:sz w:val="13"/>
                <w:szCs w:val="13"/>
                <w:color w:val="auto"/>
              </w:rPr>
              <w:t>Other changes in plan assets</w:t>
            </w: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and benefit obligations</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recognized in other</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comprehensive (income)/loss:</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actuarial (gain)/loss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130"/>
        </w:trPr>
        <w:tc>
          <w:tcPr>
            <w:tcW w:w="314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actuarial loss</w:t>
            </w: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Prior service cost</w:t>
            </w:r>
          </w:p>
        </w:tc>
        <w:tc>
          <w:tcPr>
            <w:tcW w:w="16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30"/>
        </w:trPr>
        <w:tc>
          <w:tcPr>
            <w:tcW w:w="314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prior service credit/(cost)</w:t>
            </w: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Settlement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5"/>
        </w:trPr>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Curtailment gain</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Plan (disposal)/addition</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24"/>
        </w:trPr>
        <w:tc>
          <w:tcPr>
            <w:tcW w:w="31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Total recognized in other</w:t>
            </w: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53"/>
        </w:trPr>
        <w:tc>
          <w:tcPr>
            <w:tcW w:w="3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comprehensive (income)/loss</w:t>
            </w: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140" w:type="dxa"/>
            <w:vAlign w:val="bottom"/>
          </w:tcPr>
          <w:p>
            <w:pPr>
              <w:ind w:left="20"/>
              <w:spacing w:after="0" w:line="124" w:lineRule="exact"/>
              <w:rPr>
                <w:sz w:val="20"/>
                <w:szCs w:val="20"/>
                <w:color w:val="auto"/>
              </w:rPr>
            </w:pPr>
            <w:r>
              <w:rPr>
                <w:rFonts w:ascii="Times New Roman" w:cs="Times New Roman" w:eastAsia="Times New Roman" w:hAnsi="Times New Roman"/>
                <w:sz w:val="13"/>
                <w:szCs w:val="13"/>
                <w:color w:val="auto"/>
              </w:rPr>
              <w:t>Total recognized in net periodic</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benefit (income)/cost and other</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279</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270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26"/>
        </w:trPr>
        <w:tc>
          <w:tcPr>
            <w:tcW w:w="3140" w:type="dxa"/>
            <w:vAlign w:val="bottom"/>
          </w:tcPr>
          <w:p>
            <w:pPr>
              <w:ind w:left="140"/>
              <w:spacing w:after="0" w:line="106" w:lineRule="exact"/>
              <w:rPr>
                <w:sz w:val="20"/>
                <w:szCs w:val="20"/>
                <w:color w:val="auto"/>
              </w:rPr>
            </w:pPr>
            <w:r>
              <w:rPr>
                <w:rFonts w:ascii="Times New Roman" w:cs="Times New Roman" w:eastAsia="Times New Roman" w:hAnsi="Times New Roman"/>
                <w:sz w:val="12"/>
                <w:szCs w:val="12"/>
                <w:color w:val="auto"/>
              </w:rPr>
              <w:t>comprehensive (income)/loss</w:t>
            </w:r>
          </w:p>
        </w:tc>
        <w:tc>
          <w:tcPr>
            <w:tcW w:w="1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-1891665</wp:posOffset>
            </wp:positionV>
            <wp:extent cx="768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-1891665</wp:posOffset>
            </wp:positionV>
            <wp:extent cx="768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-1891665</wp:posOffset>
            </wp:positionV>
            <wp:extent cx="768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-1891665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-1891665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-1891665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-1891665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-1891665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-281940</wp:posOffset>
            </wp:positionV>
            <wp:extent cx="7683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-281940</wp:posOffset>
            </wp:positionV>
            <wp:extent cx="768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-281940</wp:posOffset>
            </wp:positionV>
            <wp:extent cx="7683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-281940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-281940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-281940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-281940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-281940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Used in the Valuations of the Defined Benefit Pension Plans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 and actuarial assumptions, are not recognized immediately in net income, but are instead recorded in other comprehensive income. The accumulated gains and losses not yet recognized in net income are amortized into net income as a component of the net periodic benefit cost/(income) generally based on the average working life expectancy or remaining life expectancy, where appropriate, of each of the plan’s active participants to the extent that the net gains or losses as of the beginning of the year exceed 10% of the greater of the market-related value of plan assets or the projected benefit obligation.</w:t>
      </w:r>
    </w:p>
    <w:p>
      <w:pPr>
        <w:spacing w:after="0" w:line="1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and interest costs. The expected rate of return assumptions for all plans are supported by an analysis of the weighted-average yield expected to be achieved based upon the anticipated makeup of the plans’ investments. Other material assumptions include rates of participant mortality, and the expected long-term rate of compensation and pension increases.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12" w:name="page113"/>
    <w:bookmarkEnd w:id="112"/>
    <w:p>
      <w:pPr>
        <w:ind w:right="160"/>
        <w:spacing w:after="0" w:line="265" w:lineRule="auto"/>
        <w:rPr>
          <w:sz w:val="20"/>
          <w:szCs w:val="20"/>
          <w:color w:val="auto"/>
        </w:rPr>
      </w:pPr>
      <w:r>
        <w:rPr>
          <w:rFonts w:ascii="Times New Roman" w:cs="Times New Roman" w:eastAsia="Times New Roman" w:hAnsi="Times New Roman"/>
          <w:sz w:val="18"/>
          <w:szCs w:val="18"/>
          <w:color w:val="auto"/>
        </w:rPr>
        <w:t>The following assumptions were used in the valuations of WTW’s defined benefit pension plans. The assumptions presented in each column represent the weighted-average of rates for all plans included in the U.S., U.K., and Other groups. The assumptions used to determine net periodic benefit cost for the fiscal years ended December 31, 2023, 2022 and 2021 were as follows:</w:t>
      </w:r>
    </w:p>
    <w:p>
      <w:pPr>
        <w:sectPr>
          <w:pgSz w:w="11900" w:h="16838" w:orient="portrait"/>
          <w:cols w:equalWidth="0" w:num="1">
            <w:col w:w="11240"/>
          </w:cols>
          <w:pgMar w:left="320" w:top="11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Discount rate - PBO</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Discount rate - service cost</w:t>
      </w:r>
    </w:p>
    <w:p>
      <w:pPr>
        <w:spacing w:after="0" w:line="26" w:lineRule="exact"/>
        <w:rPr>
          <w:sz w:val="20"/>
          <w:szCs w:val="20"/>
          <w:color w:val="auto"/>
        </w:rPr>
      </w:pPr>
    </w:p>
    <w:p>
      <w:pPr>
        <w:ind w:left="120" w:right="760" w:hanging="93"/>
        <w:spacing w:after="0" w:line="239" w:lineRule="auto"/>
        <w:rPr>
          <w:sz w:val="20"/>
          <w:szCs w:val="20"/>
          <w:color w:val="auto"/>
        </w:rPr>
      </w:pPr>
      <w:r>
        <w:rPr>
          <w:rFonts w:ascii="Times New Roman" w:cs="Times New Roman" w:eastAsia="Times New Roman" w:hAnsi="Times New Roman"/>
          <w:sz w:val="13"/>
          <w:szCs w:val="13"/>
          <w:color w:val="auto"/>
        </w:rPr>
        <w:t>Discount rate - interest cost on service cost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Discount rate - interest cost on PBO</w:t>
      </w:r>
    </w:p>
    <w:p>
      <w:pPr>
        <w:spacing w:after="0" w:line="35" w:lineRule="exact"/>
        <w:rPr>
          <w:sz w:val="20"/>
          <w:szCs w:val="20"/>
          <w:color w:val="auto"/>
        </w:rPr>
      </w:pPr>
    </w:p>
    <w:p>
      <w:pPr>
        <w:ind w:left="120" w:right="620" w:hanging="93"/>
        <w:spacing w:after="0" w:line="239" w:lineRule="auto"/>
        <w:rPr>
          <w:sz w:val="20"/>
          <w:szCs w:val="20"/>
          <w:color w:val="auto"/>
        </w:rPr>
      </w:pPr>
      <w:r>
        <w:rPr>
          <w:rFonts w:ascii="Times New Roman" w:cs="Times New Roman" w:eastAsia="Times New Roman" w:hAnsi="Times New Roman"/>
          <w:sz w:val="13"/>
          <w:szCs w:val="13"/>
          <w:color w:val="auto"/>
        </w:rPr>
        <w:t>Expected long-term rate of return on assets</w:t>
      </w:r>
    </w:p>
    <w:p>
      <w:pPr>
        <w:spacing w:after="0" w:line="1" w:lineRule="exact"/>
        <w:rPr>
          <w:sz w:val="20"/>
          <w:szCs w:val="20"/>
          <w:color w:val="auto"/>
        </w:rPr>
      </w:pPr>
    </w:p>
    <w:p>
      <w:pPr>
        <w:ind w:left="140" w:right="620" w:hanging="125"/>
        <w:spacing w:after="0" w:line="238" w:lineRule="auto"/>
        <w:rPr>
          <w:sz w:val="20"/>
          <w:szCs w:val="20"/>
          <w:color w:val="auto"/>
        </w:rPr>
      </w:pPr>
      <w:r>
        <w:rPr>
          <w:rFonts w:ascii="Times New Roman" w:cs="Times New Roman" w:eastAsia="Times New Roman" w:hAnsi="Times New Roman"/>
          <w:sz w:val="13"/>
          <w:szCs w:val="13"/>
          <w:color w:val="auto"/>
        </w:rPr>
        <w:t>Rate of increase in compensation levels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b w:val="1"/>
          <w:bCs w:val="1"/>
          <w:color w:val="auto"/>
        </w:rPr>
        <w:t>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r>
      <w:tr>
        <w:trPr>
          <w:trHeight w:val="169"/>
        </w:trPr>
        <w:tc>
          <w:tcPr>
            <w:tcW w:w="8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U.K.</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0"/>
        </w:trPr>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1.7%</w:t>
            </w:r>
          </w:p>
        </w:tc>
      </w:tr>
      <w:tr>
        <w:trPr>
          <w:trHeight w:val="186"/>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86"/>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6"/>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97"/>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97"/>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-899160</wp:posOffset>
            </wp:positionV>
            <wp:extent cx="7132320" cy="11112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-676910</wp:posOffset>
            </wp:positionV>
            <wp:extent cx="7132320" cy="1885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-377190</wp:posOffset>
            </wp:positionV>
            <wp:extent cx="7132320" cy="1885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2320" w:space="720"/>
            <w:col w:w="8200"/>
          </w:cols>
          <w:pgMar w:left="320" w:top="1173" w:right="339" w:bottom="1440" w:gutter="0" w:footer="0" w:header="0"/>
          <w:type w:val="continuous"/>
        </w:sect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following tables present the assumptions used in the valuation to determine the projected benefit obligation for the fiscal years ended December 31,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0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9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5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expected return on plan assets was determined on the basis of the weighted-average of the expected future returns of the various asset classes, using the target allocations shown below. The Company’s pension plan asset target allocations as of December 31, 2023 were as follows (note the French plan is unfunded):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U.K.</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Switzerland</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Germany</w:t>
            </w:r>
          </w:p>
        </w:tc>
        <w:tc>
          <w:tcPr>
            <w:tcW w:w="100" w:type="dxa"/>
            <w:vAlign w:val="bottom"/>
          </w:tcPr>
          <w:p>
            <w:pPr>
              <w:spacing w:after="0"/>
              <w:rPr>
                <w:sz w:val="16"/>
                <w:szCs w:val="16"/>
                <w:color w:val="auto"/>
              </w:rPr>
            </w:pPr>
          </w:p>
        </w:tc>
        <w:tc>
          <w:tcPr>
            <w:tcW w:w="11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9"/>
              </w:rPr>
              <w:t>Ireland</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20" w:type="dxa"/>
            <w:vAlign w:val="bottom"/>
            <w:vMerge w:val="restart"/>
          </w:tcPr>
          <w:p>
            <w:pPr>
              <w:spacing w:after="0"/>
              <w:rPr>
                <w:sz w:val="11"/>
                <w:szCs w:val="11"/>
                <w:color w:val="auto"/>
              </w:rPr>
            </w:pPr>
          </w:p>
        </w:tc>
        <w:tc>
          <w:tcPr>
            <w:tcW w:w="8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6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Willis</w:t>
            </w:r>
          </w:p>
        </w:tc>
        <w:tc>
          <w:tcPr>
            <w:tcW w:w="120" w:type="dxa"/>
            <w:vAlign w:val="bottom"/>
          </w:tcPr>
          <w:p>
            <w:pPr>
              <w:spacing w:after="0"/>
              <w:rPr>
                <w:sz w:val="11"/>
                <w:szCs w:val="11"/>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Willis</w:t>
            </w:r>
          </w:p>
        </w:tc>
        <w:tc>
          <w:tcPr>
            <w:tcW w:w="1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680" w:type="dxa"/>
            <w:vAlign w:val="bottom"/>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Towers</w:t>
            </w:r>
          </w:p>
        </w:tc>
        <w:tc>
          <w:tcPr>
            <w:tcW w:w="120" w:type="dxa"/>
            <w:vAlign w:val="bottom"/>
          </w:tcPr>
          <w:p>
            <w:pPr>
              <w:spacing w:after="0"/>
              <w:rPr>
                <w:sz w:val="11"/>
                <w:szCs w:val="11"/>
                <w:color w:val="auto"/>
              </w:rPr>
            </w:pPr>
          </w:p>
        </w:tc>
        <w:tc>
          <w:tcPr>
            <w:tcW w:w="9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1"/>
                <w:szCs w:val="11"/>
                <w:color w:val="auto"/>
              </w:rPr>
            </w:pPr>
          </w:p>
        </w:tc>
        <w:tc>
          <w:tcPr>
            <w:tcW w:w="8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1"/>
                <w:szCs w:val="11"/>
                <w:color w:val="auto"/>
              </w:rPr>
            </w:pPr>
          </w:p>
        </w:tc>
        <w:tc>
          <w:tcPr>
            <w:tcW w:w="8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WTW</w:t>
            </w:r>
          </w:p>
        </w:tc>
        <w:tc>
          <w:tcPr>
            <w:tcW w:w="100" w:type="dxa"/>
            <w:vAlign w:val="bottom"/>
          </w:tcPr>
          <w:p>
            <w:pPr>
              <w:spacing w:after="0"/>
              <w:rPr>
                <w:sz w:val="11"/>
                <w:szCs w:val="11"/>
                <w:color w:val="auto"/>
              </w:rPr>
            </w:pPr>
          </w:p>
        </w:tc>
        <w:tc>
          <w:tcPr>
            <w:tcW w:w="8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Willis</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64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Towers</w:t>
            </w:r>
          </w:p>
        </w:tc>
        <w:tc>
          <w:tcPr>
            <w:tcW w:w="0" w:type="dxa"/>
            <w:vAlign w:val="bottom"/>
          </w:tcPr>
          <w:p>
            <w:pPr>
              <w:spacing w:after="0"/>
              <w:rPr>
                <w:sz w:val="1"/>
                <w:szCs w:val="1"/>
                <w:color w:val="auto"/>
              </w:rPr>
            </w:pPr>
          </w:p>
        </w:tc>
      </w:tr>
      <w:tr>
        <w:trPr>
          <w:trHeight w:val="187"/>
        </w:trPr>
        <w:tc>
          <w:tcPr>
            <w:tcW w:w="2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Watson</w:t>
            </w:r>
          </w:p>
        </w:tc>
        <w:tc>
          <w:tcPr>
            <w:tcW w:w="1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Watson</w:t>
            </w:r>
          </w:p>
        </w:tc>
        <w:tc>
          <w:tcPr>
            <w:tcW w:w="0" w:type="dxa"/>
            <w:vAlign w:val="bottom"/>
          </w:tcPr>
          <w:p>
            <w:pPr>
              <w:spacing w:after="0"/>
              <w:rPr>
                <w:sz w:val="1"/>
                <w:szCs w:val="1"/>
                <w:color w:val="auto"/>
              </w:rPr>
            </w:pPr>
          </w:p>
        </w:tc>
      </w:tr>
      <w:tr>
        <w:trPr>
          <w:trHeight w:val="236"/>
        </w:trPr>
        <w:tc>
          <w:tcPr>
            <w:tcW w:w="2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7"/>
        </w:trPr>
        <w:tc>
          <w:tcPr>
            <w:tcW w:w="2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6"/>
        </w:trPr>
        <w:tc>
          <w:tcPr>
            <w:tcW w:w="28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-24765</wp:posOffset>
            </wp:positionV>
            <wp:extent cx="768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-7620</wp:posOffset>
            </wp:positionV>
            <wp:extent cx="768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-24765</wp:posOffset>
            </wp:positionV>
            <wp:extent cx="768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-7620</wp:posOffset>
            </wp:positionV>
            <wp:extent cx="768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-24765</wp:posOffset>
            </wp:positionV>
            <wp:extent cx="768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-7620</wp:posOffset>
            </wp:positionV>
            <wp:extent cx="768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-24765</wp:posOffset>
            </wp:positionV>
            <wp:extent cx="7683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-7620</wp:posOffset>
            </wp:positionV>
            <wp:extent cx="7683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-24765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-7620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Our investment strategy is designed to generate returns that will reduce the interest rate risk inherent in each of the plan’s benefit obligations and enable the plans to meet their future obligations. The precise amount for which these obligations will be settled depends on future events, including the life expectancy of the plan participants and salary inflation. The obligations are estimated using actuarial assumptions based on the current economic environment.</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pension plan seeks to achieve total returns sufficient to meet expected future obligations when considered in conjunction with expected future contributions and prudent levels of investment risk and diversification. Each plan’s targeted asset allocation is generally determined through a plan-specific asset-liability modeling study. These comprehensive studies provide an evaluation of the projected status of asset and benefit obligation measures for each plan under a range of both positive and negative factors. The studies include a number of different asset mixes, spanning a range of diversification and potential equity exposures.</w:t>
      </w:r>
    </w:p>
    <w:p>
      <w:pPr>
        <w:spacing w:after="0" w:line="128"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In evaluating the strategic asset allocation choices, an emphasis is placed on the long-term characteristics of each individual asset class, such as expected return, volatility of returns and correlations with other asset classes within the portfolios. Consideration is also given to the proper long-term level of risk for each plan, the impact of the volatility and magnitude of plan contributions and costs, and the impact that certain actuarial techniques may have on the plan’s recognition of investment experience.</w:t>
      </w:r>
    </w:p>
    <w:p>
      <w:pPr>
        <w:spacing w:after="0" w:line="12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We monitor investment performance and portfolio characteristics on a quarterly basis to ensure that managers are meeting expectations with respect to their investment approach. There are also various restrictions and controls placed on managers, including prohibition from investing in our stock.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Fair Value of Plan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has three levels based on the reliability of the inputs used to determine fair value:</w:t>
      </w:r>
    </w:p>
    <w:p>
      <w:pPr>
        <w:spacing w:after="0" w:line="171"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U.S. plan assets by asset category at December 31, 2023 and 2022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69"/>
        </w:trPr>
        <w:tc>
          <w:tcPr>
            <w:tcW w:w="28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29</w:t>
            </w:r>
          </w:p>
        </w:tc>
        <w:tc>
          <w:tcPr>
            <w:tcW w:w="76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securities</w:t>
            </w:r>
          </w:p>
        </w:tc>
        <w:tc>
          <w:tcPr>
            <w:tcW w:w="66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r>
      <w:tr>
        <w:trPr>
          <w:trHeight w:val="247"/>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Pooled/commingled funds</w:t>
            </w: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1,945</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66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612</w:t>
            </w:r>
          </w:p>
        </w:tc>
      </w:tr>
      <w:tr>
        <w:trPr>
          <w:trHeight w:val="24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Hedge funds</w:t>
            </w:r>
          </w:p>
        </w:tc>
        <w:tc>
          <w:tcPr>
            <w:tcW w:w="6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1,160</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29</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78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3,803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3,821</w:t>
            </w:r>
          </w:p>
        </w:tc>
      </w:tr>
      <w:tr>
        <w:trPr>
          <w:trHeight w:val="20"/>
        </w:trPr>
        <w:tc>
          <w:tcPr>
            <w:tcW w:w="2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-187960</wp:posOffset>
            </wp:positionV>
            <wp:extent cx="7683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-187960</wp:posOffset>
            </wp:positionV>
            <wp:extent cx="7683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-187960</wp:posOffset>
            </wp:positionV>
            <wp:extent cx="7683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-187960</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-187960</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-187960</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U.K. plan assets by asset category at December 31, 2023 and 2022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69"/>
        </w:trPr>
        <w:tc>
          <w:tcPr>
            <w:tcW w:w="2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1,267</w:t>
            </w:r>
          </w:p>
        </w:tc>
      </w:tr>
      <w:tr>
        <w:trPr>
          <w:trHeight w:val="247"/>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fixed income</w:t>
            </w:r>
          </w:p>
        </w:tc>
        <w:tc>
          <w:tcPr>
            <w:tcW w:w="16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r>
      <w:tr>
        <w:trPr>
          <w:trHeight w:val="247"/>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Pooled/commingled funds</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1,255</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16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229</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913</w:t>
            </w:r>
          </w:p>
        </w:tc>
        <w:tc>
          <w:tcPr>
            <w:tcW w:w="7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3,581</w:t>
            </w:r>
          </w:p>
        </w:tc>
      </w:tr>
      <w:tr>
        <w:trPr>
          <w:trHeight w:val="20"/>
        </w:trPr>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2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4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category:</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r>
      <w:tr>
        <w:trPr>
          <w:trHeight w:val="278"/>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3,069</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-992505</wp:posOffset>
            </wp:positionV>
            <wp:extent cx="7683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-992505</wp:posOffset>
            </wp:positionV>
            <wp:extent cx="7683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-992505</wp:posOffset>
            </wp:positionV>
            <wp:extent cx="7683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-992505</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-992505</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-992505</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-992505</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-24765</wp:posOffset>
            </wp:positionV>
            <wp:extent cx="7683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-7620</wp:posOffset>
            </wp:positionV>
            <wp:extent cx="7683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7683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7683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-24765</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-7620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-24765</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-7620</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-24765</wp:posOffset>
            </wp:positionV>
            <wp:extent cx="685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-7620</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Other plan assets by asset category at December 31, 2023 and 2022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Pooled/commingled funds</w:t>
            </w:r>
          </w:p>
        </w:tc>
        <w:tc>
          <w:tcPr>
            <w:tcW w:w="66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47"/>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Hedge funds</w:t>
            </w: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66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multiple-</w:t>
            </w:r>
          </w:p>
        </w:tc>
        <w:tc>
          <w:tcPr>
            <w:tcW w:w="66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2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employer pension plan</w:t>
            </w:r>
          </w:p>
        </w:tc>
        <w:tc>
          <w:tcPr>
            <w:tcW w:w="66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-187960</wp:posOffset>
            </wp:positionV>
            <wp:extent cx="768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-187960</wp:posOffset>
            </wp:positionV>
            <wp:extent cx="768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-187960</wp:posOffset>
            </wp:positionV>
            <wp:extent cx="7683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-187960</wp:posOffset>
            </wp:positionV>
            <wp:extent cx="685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-187960</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-187960</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We evaluate the need to transfer between levels based upon the nature of the financial instrument and size of the transfer relative to the total net assets of the plans. There were no significant transfers between Levels 1, 2 or 3 in the fiscal years ended December 31, 2023 and 2022.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14" w:name="page115"/>
    <w:bookmarkEnd w:id="114"/>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Subtopic 820-10,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certain investments that are measured at fair value using the net asset value per share practical expedient have not been classified in the fair value hierarchy. The fair value amounts presented in these tables are intended to permit reconciliation of the fair value hierarchy to the total fair value of plan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investments at fair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securities</w:t>
      </w:r>
      <w:r>
        <w:rPr>
          <w:rFonts w:ascii="Times New Roman" w:cs="Times New Roman" w:eastAsia="Times New Roman" w:hAnsi="Times New Roman"/>
          <w:sz w:val="18"/>
          <w:szCs w:val="18"/>
          <w:color w:val="auto"/>
        </w:rPr>
        <w:t>: Valued at the net value of shares held by the Company at year end as reported by the sponsor of the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bonds</w:t>
      </w:r>
      <w:r>
        <w:rPr>
          <w:rFonts w:ascii="Times New Roman" w:cs="Times New Roman" w:eastAsia="Times New Roman" w:hAnsi="Times New Roman"/>
          <w:sz w:val="18"/>
          <w:szCs w:val="18"/>
          <w:color w:val="auto"/>
        </w:rPr>
        <w:t>: Valued at the closing price reported in the active market in which the bond is traded.</w:t>
      </w:r>
    </w:p>
    <w:p>
      <w:pPr>
        <w:spacing w:after="0" w:line="171"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Corporate bonds: </w:t>
      </w:r>
      <w:r>
        <w:rPr>
          <w:rFonts w:ascii="Times New Roman" w:cs="Times New Roman" w:eastAsia="Times New Roman" w:hAnsi="Times New Roman"/>
          <w:sz w:val="18"/>
          <w:szCs w:val="18"/>
          <w:color w:val="auto"/>
        </w:rPr>
        <w:t>Valued using pricing models maximizing the use of observable inputs for similar securities. This includes basing values on yields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available on comparable securities of issuers with similar credit ratings.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fixed income</w:t>
      </w:r>
      <w:r>
        <w:rPr>
          <w:rFonts w:ascii="Times New Roman" w:cs="Times New Roman" w:eastAsia="Times New Roman" w:hAnsi="Times New Roman"/>
          <w:sz w:val="18"/>
          <w:szCs w:val="18"/>
          <w:color w:val="auto"/>
        </w:rPr>
        <w:t>: Foreign and municipal bonds are valued using pricing models maximizing the use of observable inputs for similar securities.</w:t>
      </w:r>
    </w:p>
    <w:p>
      <w:pPr>
        <w:spacing w:after="0" w:line="17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i w:val="1"/>
          <w:iCs w:val="1"/>
          <w:color w:val="auto"/>
        </w:rPr>
        <w:t>Pooled / commingled funds</w:t>
      </w:r>
      <w:r>
        <w:rPr>
          <w:rFonts w:ascii="Times New Roman" w:cs="Times New Roman" w:eastAsia="Times New Roman" w:hAnsi="Times New Roman"/>
          <w:sz w:val="18"/>
          <w:szCs w:val="18"/>
          <w:color w:val="auto"/>
        </w:rPr>
        <w:t>: Valued at the net value of shares held by the Company at year end as reported by the manager of the funds. These funds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exchange-traded and are not reported by level in the tables above.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investments</w:t>
      </w:r>
      <w:r>
        <w:rPr>
          <w:rFonts w:ascii="Times New Roman" w:cs="Times New Roman" w:eastAsia="Times New Roman" w:hAnsi="Times New Roman"/>
          <w:sz w:val="18"/>
          <w:szCs w:val="18"/>
          <w:color w:val="auto"/>
        </w:rPr>
        <w:t>: Valued at the closing level of the relevant index or security and interest accrual through the valuation date.</w:t>
      </w:r>
    </w:p>
    <w:p>
      <w:pPr>
        <w:spacing w:after="0" w:line="17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Private equity funds, real estate funds, hedge funds: </w:t>
      </w:r>
      <w:r>
        <w:rPr>
          <w:rFonts w:ascii="Times New Roman" w:cs="Times New Roman" w:eastAsia="Times New Roman" w:hAnsi="Times New Roman"/>
          <w:sz w:val="18"/>
          <w:szCs w:val="18"/>
          <w:color w:val="auto"/>
        </w:rPr>
        <w:t>The fair values for these investments are estimated based on the net asset values derived from the latest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audited financial statements or most recent capital account statements provided by the private equity fund’s investment manager or third-party administrator.</w:t>
      </w:r>
    </w:p>
    <w:p>
      <w:pPr>
        <w:spacing w:after="0" w:line="118"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Insurance contracts: </w:t>
      </w:r>
      <w:r>
        <w:rPr>
          <w:rFonts w:ascii="Times New Roman" w:cs="Times New Roman" w:eastAsia="Times New Roman" w:hAnsi="Times New Roman"/>
          <w:sz w:val="18"/>
          <w:szCs w:val="18"/>
          <w:color w:val="auto"/>
        </w:rPr>
        <w:t>The fair values are determined using model-based techniques that include option-pricing models, discounted cash flow models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techniques.</w:t>
      </w:r>
    </w:p>
    <w:p>
      <w:pPr>
        <w:spacing w:after="0" w:line="105"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 multiple-employer pension plan: </w:t>
      </w:r>
      <w:r>
        <w:rPr>
          <w:rFonts w:ascii="Times New Roman" w:cs="Times New Roman" w:eastAsia="Times New Roman" w:hAnsi="Times New Roman"/>
          <w:sz w:val="18"/>
          <w:szCs w:val="18"/>
          <w:color w:val="auto"/>
        </w:rPr>
        <w:t>The Company sponsors a pension plan for its Swiss employees in which assets of the plan are invested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 fund with multiple employers through a Swiss insurance company. WTW does not have rights to, nor does it have investment authority over, the individual assets of the plan. The fair value of the plan assets is estimated based on information provided by the collective fund.</w:t>
      </w:r>
    </w:p>
    <w:p>
      <w:pPr>
        <w:spacing w:after="0" w:line="118" w:lineRule="exact"/>
        <w:rPr>
          <w:sz w:val="20"/>
          <w:szCs w:val="20"/>
          <w:color w:val="auto"/>
        </w:rPr>
      </w:pPr>
    </w:p>
    <w:p>
      <w:pPr>
        <w:jc w:val="both"/>
        <w:ind w:right="100"/>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Repurchase agreements: </w:t>
      </w:r>
      <w:r>
        <w:rPr>
          <w:rFonts w:ascii="Times New Roman" w:cs="Times New Roman" w:eastAsia="Times New Roman" w:hAnsi="Times New Roman"/>
          <w:sz w:val="17"/>
          <w:szCs w:val="17"/>
          <w:color w:val="auto"/>
        </w:rPr>
        <w:t>Valued at the repurchase obligation which includes an interest rate linked to the underlying fixed interest government bond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portfolio. These agreements are short-term in nature (less than one year) and were entered into for the purpose of purchasing additional government bonds.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net plan investments to the total fair value of the plan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held in investments</w:t>
            </w: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7,545</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7,400</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receivable for investments purchased</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r>
      <w:tr>
        <w:trPr>
          <w:trHeight w:val="27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7,545</w:t>
            </w:r>
          </w:p>
        </w:tc>
        <w:tc>
          <w:tcPr>
            <w:tcW w:w="1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investments</w:t>
      </w:r>
    </w:p>
    <w:p>
      <w:pPr>
        <w:spacing w:after="0" w:line="173"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As a result of the inherent limitations related to the valuations of the Level 3 investments, due to the unobservable inputs of the underlying funds, the estimated fair values may differ significantly from the values that would have been used had a market for those investments existed.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plans’ Level 3 assets for the fiscal year ended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7"/>
        </w:trPr>
        <w:tc>
          <w:tcPr>
            <w:tcW w:w="42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Roll Forward</w:t>
            </w: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2022</w:t>
            </w:r>
          </w:p>
        </w:tc>
        <w:tc>
          <w:tcPr>
            <w:tcW w:w="5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84</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w:t>
            </w:r>
          </w:p>
        </w:tc>
        <w:tc>
          <w:tcPr>
            <w:tcW w:w="5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5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r>
      <w:tr>
        <w:trPr>
          <w:trHeight w:val="27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 2023</w:t>
            </w:r>
          </w:p>
        </w:tc>
        <w:tc>
          <w:tcPr>
            <w:tcW w:w="5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97</w:t>
            </w:r>
          </w:p>
        </w:tc>
      </w:tr>
      <w:tr>
        <w:trPr>
          <w:trHeight w:val="632"/>
        </w:trPr>
        <w:tc>
          <w:tcPr>
            <w:tcW w:w="4240" w:type="dxa"/>
            <w:vAlign w:val="bottom"/>
            <w:tcBorders>
              <w:top w:val="single" w:sz="8" w:color="CFF0FC"/>
            </w:tcBorders>
          </w:tcPr>
          <w:p>
            <w:pPr>
              <w:spacing w:after="0"/>
              <w:rPr>
                <w:sz w:val="24"/>
                <w:szCs w:val="24"/>
                <w:color w:val="auto"/>
              </w:rPr>
            </w:pPr>
          </w:p>
        </w:tc>
        <w:tc>
          <w:tcPr>
            <w:tcW w:w="5000" w:type="dxa"/>
            <w:vAlign w:val="bottom"/>
            <w:tcBorders>
              <w:top w:val="single" w:sz="8" w:color="CFF0FC"/>
            </w:tcBorders>
          </w:tcPr>
          <w:p>
            <w:pPr>
              <w:jc w:val="right"/>
              <w:ind w:right="339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749"/>
        </w:trPr>
        <w:tc>
          <w:tcPr>
            <w:tcW w:w="42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Contributions and Benefit Payments</w:t>
      </w:r>
    </w:p>
    <w:p>
      <w:pPr>
        <w:spacing w:after="0" w:line="173"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Funding is based on actuarially-determined contributions and is limited to amounts that are currently deductible for tax purposes. Since funding calculations are based on different measurements than those used for accounting purposes, pension contributions are not equal to net periodic pension costs.</w:t>
      </w:r>
    </w:p>
    <w:p>
      <w:pPr>
        <w:spacing w:after="0" w:line="8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following table sets forth our projected pension contributions to our qualified plans for fiscal year 2023, as well as the pension contributions to our qualified plans in fiscal years 2023 and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66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3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w:t>
            </w:r>
          </w:p>
        </w:tc>
      </w:tr>
    </w:tbl>
    <w:p>
      <w:pPr>
        <w:spacing w:after="0" w:line="14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Expected benefit payments from our defined benefit pension plans to current plan participants, including the effects of their expected future service, as appropriate,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Benefit Payments</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9"/>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U.K.</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9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442</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459</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462</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2029 – 2033</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1,380</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2,334</w:t>
            </w:r>
          </w:p>
        </w:tc>
      </w:tr>
      <w:tr>
        <w:trPr>
          <w:trHeight w:val="276"/>
        </w:trPr>
        <w:tc>
          <w:tcPr>
            <w:tcW w:w="58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2,826</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1,386</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-24765</wp:posOffset>
            </wp:positionV>
            <wp:extent cx="939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939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have defined contribution plans covering eligible employees in many countries. The most significant plans are in the U.S. and U.K. and are described here.</w:t>
      </w:r>
    </w:p>
    <w:p>
      <w:pPr>
        <w:spacing w:after="0" w:line="109"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We have a U.S. defined contribution plan covering all eligible employees of WTW. The plan allowed participants to make pre-tax and Roth after-tax contributions, and the Company provided a 100% match on the first 1% of employee contributions and a 50% match on the next 5% of employee contributions. Effective January 2024, the Company provides to non-Benefits Delivery &amp; Administration (‘BDA’) participants a non-elective company contribution of 3.5% of eligible earnings, regardless of the contributions they make to the plan. Participants employed in BDA business entities will continue under the prior formula. Employees vest in the Company match upon two years of service. All investment assets of the plan are held in a trust account administered by independent trustees.</w:t>
      </w:r>
    </w:p>
    <w:p>
      <w:pPr>
        <w:spacing w:after="0" w:line="13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Our U.K. pension plans provide for a defined contribution component as part of a master trust. We make contributions to the plan, a portion of which represents matching contributions made by the participants up to a maximum rate.</w:t>
      </w:r>
    </w:p>
    <w:p>
      <w:pPr>
        <w:spacing w:after="0" w:line="10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We had defined contribution plan expense for the years ended December 31, 2023, 2022 and 2021 amounting to $158 million, $148 million and $155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following tables present amounts recorded on our consolidated balance sheets at December 31, 2023 and 2022, classified as either operating or finance leases. Operating leases are presented separately on our consolidated balance sheets. For the finance leases, the ROU assets are included in fixed assets, net, and the liabilities are classified within Other current liabilities and Other non-current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1"/>
                <w:szCs w:val="11"/>
                <w:color w:val="auto"/>
              </w:rPr>
            </w:pPr>
          </w:p>
        </w:tc>
        <w:tc>
          <w:tcPr>
            <w:tcW w:w="11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39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37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3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565</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586</w:t>
            </w:r>
          </w:p>
        </w:tc>
        <w:tc>
          <w:tcPr>
            <w:tcW w:w="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592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647"/>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16" w:name="page117"/>
    <w:bookmarkEnd w:id="116"/>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tables present amounts recorded on our consolidated statements of comprehensive income for the years ended December 31, 2023, 2022 and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23"/>
        </w:trPr>
        <w:tc>
          <w:tcPr>
            <w:tcW w:w="70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w:t>
            </w:r>
          </w:p>
        </w:tc>
      </w:tr>
      <w:tr>
        <w:trPr>
          <w:trHeight w:val="247"/>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 net</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7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-187960</wp:posOffset>
            </wp:positionV>
            <wp:extent cx="939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-187960</wp:posOffset>
            </wp:positionV>
            <wp:extent cx="939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$38 million, $57 million and $19 million incurred during the years ended December 31, 2023, 2022 and 2021, respectively, that were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acceleration of amortization or impairment of certain abandoned ROU assets and the payment of early termination fees. There are no significant lease costs that have been included as discontinued operations in the consolidated statements of comprehensive income during the years ended December 31, 2023, 2022 and 2021.</w:t>
      </w:r>
    </w:p>
    <w:p>
      <w:pPr>
        <w:spacing w:after="0" w:line="13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the years ended December 31, 2023, 2022 and 2021, as well as its location in the consolidated statements of cash flows,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23"/>
        </w:trPr>
        <w:tc>
          <w:tcPr>
            <w:tcW w:w="70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186</w:t>
            </w: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7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8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7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-187960</wp:posOffset>
            </wp:positionV>
            <wp:extent cx="939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-187960</wp:posOffset>
            </wp:positionV>
            <wp:extent cx="939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3"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Non-cash additions to our operating lease ROU assets, net of modifications, were $85 million, $65 million and $37 million during the years ended December 31, 2023, 2022 and 2021,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and finance leases have the following weighted-average terms and discount rates as of December 31, 2023 and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44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31"/>
        </w:trPr>
        <w:tc>
          <w:tcPr>
            <w:tcW w:w="5340" w:type="dxa"/>
            <w:vAlign w:val="bottom"/>
          </w:tcPr>
          <w:p>
            <w:pPr>
              <w:spacing w:after="0"/>
              <w:rPr>
                <w:sz w:val="11"/>
                <w:szCs w:val="11"/>
                <w:color w:val="auto"/>
              </w:rPr>
            </w:pPr>
          </w:p>
        </w:tc>
        <w:tc>
          <w:tcPr>
            <w:tcW w:w="1000" w:type="dxa"/>
            <w:vAlign w:val="bottom"/>
            <w:tcBorders>
              <w:top w:val="single" w:sz="8" w:color="auto"/>
            </w:tcBorders>
          </w:tcPr>
          <w:p>
            <w:pPr>
              <w:jc w:val="center"/>
              <w:ind w:left="208"/>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left="288"/>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380" w:type="dxa"/>
            <w:vAlign w:val="bottom"/>
            <w:tcBorders>
              <w:top w:val="single" w:sz="8" w:color="auto"/>
            </w:tcBorders>
          </w:tcPr>
          <w:p>
            <w:pPr>
              <w:jc w:val="right"/>
              <w:ind w:right="419"/>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60" w:type="dxa"/>
            <w:vAlign w:val="bottom"/>
          </w:tcPr>
          <w:p>
            <w:pPr>
              <w:spacing w:after="0"/>
              <w:rPr>
                <w:sz w:val="11"/>
                <w:szCs w:val="11"/>
                <w:color w:val="auto"/>
              </w:rPr>
            </w:pPr>
          </w:p>
        </w:tc>
      </w:tr>
      <w:tr>
        <w:trPr>
          <w:trHeight w:val="187"/>
        </w:trPr>
        <w:tc>
          <w:tcPr>
            <w:tcW w:w="5340" w:type="dxa"/>
            <w:vAlign w:val="bottom"/>
          </w:tcPr>
          <w:p>
            <w:pPr>
              <w:spacing w:after="0"/>
              <w:rPr>
                <w:sz w:val="16"/>
                <w:szCs w:val="16"/>
                <w:color w:val="auto"/>
              </w:rPr>
            </w:pPr>
          </w:p>
        </w:tc>
        <w:tc>
          <w:tcPr>
            <w:tcW w:w="10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6"/>
                <w:szCs w:val="16"/>
                <w:color w:val="auto"/>
              </w:rPr>
            </w:pPr>
          </w:p>
        </w:tc>
      </w:tr>
      <w:tr>
        <w:trPr>
          <w:trHeight w:val="236"/>
        </w:trPr>
        <w:tc>
          <w:tcPr>
            <w:tcW w:w="6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term (in years)</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0"/>
                <w:szCs w:val="20"/>
                <w:color w:val="auto"/>
              </w:rPr>
            </w:pP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3.7 %</w:t>
            </w:r>
          </w:p>
        </w:tc>
        <w:tc>
          <w:tcPr>
            <w:tcW w:w="9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15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3.4 %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15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 maturity of our lease liabilities on an undiscounted basis, including a reconciliation to the total lease liabilities reported on the consolidated balance sheet as of December 31, 2023,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 Leases</w:t>
            </w:r>
          </w:p>
        </w:tc>
      </w:tr>
      <w:tr>
        <w:trPr>
          <w:trHeight w:val="23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84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w:t>
            </w: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227</w:t>
            </w:r>
          </w:p>
        </w:tc>
      </w:tr>
      <w:tr>
        <w:trPr>
          <w:trHeight w:val="24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5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826</w:t>
            </w: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7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60" w:type="dxa"/>
            <w:vAlign w:val="bottom"/>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184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729</w:t>
            </w:r>
          </w:p>
        </w:tc>
      </w:tr>
      <w:tr>
        <w:trPr>
          <w:trHeight w:val="632"/>
        </w:trPr>
        <w:tc>
          <w:tcPr>
            <w:tcW w:w="468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762"/>
        </w:trPr>
        <w:tc>
          <w:tcPr>
            <w:tcW w:w="46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-932815</wp:posOffset>
            </wp:positionV>
            <wp:extent cx="17145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-915670</wp:posOffset>
            </wp:positionV>
            <wp:extent cx="17145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-932815</wp:posOffset>
            </wp:positionV>
            <wp:extent cx="16256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-915670</wp:posOffset>
            </wp:positionV>
            <wp:extent cx="16256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73" w:right="2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issued by certain of WTW’s subsidiaries with respect to the senior notes and credit facilities are discussed in Note 11 — Debt.</w:t>
      </w:r>
    </w:p>
    <w:p>
      <w:pPr>
        <w:spacing w:after="0" w:line="17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Certain of WTW’s subsidiaries in the U.S. and the U.K. have given the landlords of some leased properties occupied by the Company guarantees with respect to the repayment of the lease obligations. The operating lease obligations subject to such guarantees amounted to $350 million and $399 million at December 31, 2023 and 2022, respectively. There were no finance lease obligations subject to such guarantees at December 31, 2023. The finance lease obligations subject to such guarantees amounted to $3 million at December 31,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liabilities</w:t>
      </w:r>
    </w:p>
    <w:p>
      <w:pPr>
        <w:spacing w:after="0" w:line="175"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In addition to the contingent consideration that may be payable related to our acquisitions (see Note 12 — Fair Value Measurements), we have deferred consideration of $3 million at December 31, 2023, which is payable until 2026. The Company had deferred consideration of $6 million at December 31,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certain subsidiaries and associates, the Company has the right to purchase shares (a call option) from co-shareholders at various dates in the future. In addition, the co-shareholders of certain subsidiaries and associates have the right to sell their shares (a put option) to the Company at various dates in the future. Generally, the exercise prices of such put options and call options are formula-based (using revenue and earnings) and are designed to reflect fair value. Based on current projections of profitability and exchange rates, and assuming the put options are exercised, the potential amount payable from these put options is not expected to exceed $3 million.</w:t>
      </w:r>
    </w:p>
    <w:p>
      <w:pPr>
        <w:spacing w:after="0" w:line="128"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Additionally, the Company has capital commitments with Trident V Parallel Fund, LP, an investment fund managed by Stone Point Capital, Dowling Capital Partners I, LP., and PruVen Capital Partners Fund II, LP. At December 31, 2023, the Company is obligated to make capital contributions of approximately $27 million, collectively, to these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16 — Supplementary Information for Certain Balance Sheet Accounts for the amounts accrued at December 31, 2023 and 2022 in the consolidated balance sheets.</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118" w:name="page119"/>
    <w:bookmarkEnd w:id="118"/>
    <w:p>
      <w:pPr>
        <w:ind w:right="200"/>
        <w:spacing w:after="0" w:line="289"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168" w:lineRule="exact"/>
        <w:rPr>
          <w:sz w:val="20"/>
          <w:szCs w:val="20"/>
          <w:color w:val="auto"/>
        </w:rPr>
      </w:pPr>
    </w:p>
    <w:p>
      <w:pPr>
        <w:ind w:right="5440"/>
        <w:spacing w:after="0" w:line="421" w:lineRule="auto"/>
        <w:rPr>
          <w:sz w:val="20"/>
          <w:szCs w:val="20"/>
          <w:color w:val="auto"/>
        </w:rPr>
      </w:pPr>
      <w:r>
        <w:rPr>
          <w:rFonts w:ascii="Times New Roman" w:cs="Times New Roman" w:eastAsia="Times New Roman" w:hAnsi="Times New Roman"/>
          <w:sz w:val="18"/>
          <w:szCs w:val="18"/>
          <w:b w:val="1"/>
          <w:bCs w:val="1"/>
          <w:color w:val="auto"/>
        </w:rPr>
        <w:t xml:space="preserve">Note 16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Prepaid and other current assets consist of the following:</w:t>
      </w: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2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2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08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note receivable</w:t>
            </w:r>
          </w:p>
        </w:tc>
        <w:tc>
          <w:tcPr>
            <w:tcW w:w="2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recovery receivables</w:t>
            </w:r>
          </w:p>
        </w:tc>
        <w:tc>
          <w:tcPr>
            <w:tcW w:w="2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revenue and accrued expenses consist of the following:</w:t>
            </w: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08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accrued liabilities and deferred income</w:t>
            </w: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2,104</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628"/>
        </w:trPr>
        <w:tc>
          <w:tcPr>
            <w:tcW w:w="5080" w:type="dxa"/>
            <w:vAlign w:val="bottom"/>
            <w:tcBorders>
              <w:top w:val="single" w:sz="8" w:color="CFF0FC"/>
            </w:tcBorders>
          </w:tcPr>
          <w:p>
            <w:pPr>
              <w:spacing w:after="0"/>
              <w:rPr>
                <w:sz w:val="24"/>
                <w:szCs w:val="24"/>
                <w:color w:val="auto"/>
              </w:rPr>
            </w:pPr>
          </w:p>
        </w:tc>
        <w:tc>
          <w:tcPr>
            <w:tcW w:w="2620" w:type="dxa"/>
            <w:vAlign w:val="bottom"/>
            <w:tcBorders>
              <w:top w:val="single" w:sz="8" w:color="CFF0FC"/>
            </w:tcBorders>
          </w:tcPr>
          <w:p>
            <w:pPr>
              <w:jc w:val="right"/>
              <w:ind w:right="185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0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-4879975</wp:posOffset>
            </wp:positionV>
            <wp:extent cx="12001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-2447925</wp:posOffset>
            </wp:positionV>
            <wp:extent cx="12001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-932815</wp:posOffset>
            </wp:positionV>
            <wp:extent cx="12001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-915670</wp:posOffset>
            </wp:positionV>
            <wp:extent cx="12001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5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9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r>
      <w:tr>
        <w:trPr>
          <w:trHeight w:val="24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r>
      <w:tr>
        <w:trPr>
          <w:trHeight w:val="247"/>
        </w:trPr>
        <w:tc>
          <w:tcPr>
            <w:tcW w:w="6620" w:type="dxa"/>
            <w:vAlign w:val="bottom"/>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Payroll and other benefits-related liabilities </w:t>
            </w:r>
            <w:r>
              <w:rPr>
                <w:rFonts w:ascii="Times New Roman" w:cs="Times New Roman" w:eastAsia="Times New Roman" w:hAnsi="Times New Roman"/>
                <w:sz w:val="24"/>
                <w:szCs w:val="24"/>
                <w:color w:val="auto"/>
                <w:vertAlign w:val="superscript"/>
              </w:rPr>
              <w:t>(i)</w:t>
            </w: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66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taxes payable </w:t>
            </w:r>
            <w:r>
              <w:rPr>
                <w:rFonts w:ascii="Times New Roman" w:cs="Times New Roman" w:eastAsia="Times New Roman" w:hAnsi="Times New Roman"/>
                <w:sz w:val="24"/>
                <w:szCs w:val="24"/>
                <w:color w:val="auto"/>
                <w:vertAlign w:val="superscript"/>
              </w:rPr>
              <w:t>(i)</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Third-party commissions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w:t>
            </w:r>
          </w:p>
        </w:tc>
      </w:tr>
      <w:tr>
        <w:trPr>
          <w:trHeight w:val="247"/>
        </w:trPr>
        <w:tc>
          <w:tcPr>
            <w:tcW w:w="6620" w:type="dxa"/>
            <w:vAlign w:val="bottom"/>
            <w:tcBorders>
              <w:bottom w:val="single" w:sz="8" w:color="CFF0FC"/>
            </w:tcBorders>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Other current liabilities </w:t>
            </w:r>
            <w:r>
              <w:rPr>
                <w:rFonts w:ascii="Times New Roman" w:cs="Times New Roman" w:eastAsia="Times New Roman" w:hAnsi="Times New Roman"/>
                <w:sz w:val="24"/>
                <w:szCs w:val="24"/>
                <w:color w:val="auto"/>
                <w:vertAlign w:val="superscript"/>
              </w:rPr>
              <w:t>(i)</w:t>
            </w:r>
          </w:p>
        </w:tc>
        <w:tc>
          <w:tcPr>
            <w:tcW w:w="9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r>
      <w:tr>
        <w:trPr>
          <w:trHeight w:val="23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94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716</w:t>
            </w:r>
          </w:p>
        </w:tc>
      </w:tr>
      <w:tr>
        <w:trPr>
          <w:trHeight w:val="20"/>
        </w:trPr>
        <w:tc>
          <w:tcPr>
            <w:tcW w:w="15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1500" w:type="dxa"/>
            <w:vAlign w:val="bottom"/>
            <w:tcBorders>
              <w:bottom w:val="single" w:sz="8" w:color="auto"/>
            </w:tcBorders>
          </w:tcPr>
          <w:p>
            <w:pPr>
              <w:spacing w:after="0"/>
              <w:rPr>
                <w:sz w:val="17"/>
                <w:szCs w:val="17"/>
                <w:color w:val="auto"/>
              </w:rPr>
            </w:pPr>
          </w:p>
        </w:tc>
        <w:tc>
          <w:tcPr>
            <w:tcW w:w="5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  Certain amounts have been reclassified from the prior year to conform to the current year presentation.</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9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150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5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9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54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provisions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r>
      <w:tr>
        <w:trPr>
          <w:trHeight w:val="27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940" w:type="dxa"/>
            <w:vAlign w:val="bottom"/>
            <w:shd w:val="clear" w:color="auto" w:fill="CFF0FC"/>
          </w:tcPr>
          <w:p>
            <w:pPr>
              <w:spacing w:after="0"/>
              <w:rPr>
                <w:sz w:val="24"/>
                <w:szCs w:val="24"/>
                <w:color w:val="auto"/>
              </w:rPr>
            </w:pPr>
          </w:p>
        </w:tc>
        <w:tc>
          <w:tcPr>
            <w:tcW w:w="5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54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357</w:t>
            </w:r>
          </w:p>
        </w:tc>
      </w:tr>
      <w:tr>
        <w:trPr>
          <w:trHeight w:val="403"/>
        </w:trPr>
        <w:tc>
          <w:tcPr>
            <w:tcW w:w="66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9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5"/>
        </w:trPr>
        <w:tc>
          <w:tcPr>
            <w:tcW w:w="150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5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662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Deferred and long-term compensation plan liabilities </w:t>
            </w:r>
            <w:r>
              <w:rPr>
                <w:rFonts w:ascii="Times New Roman" w:cs="Times New Roman" w:eastAsia="Times New Roman" w:hAnsi="Times New Roman"/>
                <w:sz w:val="24"/>
                <w:szCs w:val="24"/>
                <w:color w:val="auto"/>
                <w:vertAlign w:val="superscript"/>
              </w:rPr>
              <w:t>(i)</w:t>
            </w:r>
          </w:p>
        </w:tc>
        <w:tc>
          <w:tcPr>
            <w:tcW w:w="9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113</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r>
      <w:tr>
        <w:trPr>
          <w:trHeight w:val="24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for uncertain tax positions</w:t>
            </w: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6620" w:type="dxa"/>
            <w:vAlign w:val="bottom"/>
            <w:tcBorders>
              <w:bottom w:val="single" w:sz="8" w:color="CFF0FC"/>
            </w:tcBorders>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Other non-current liabilities </w:t>
            </w:r>
            <w:r>
              <w:rPr>
                <w:rFonts w:ascii="Times New Roman" w:cs="Times New Roman" w:eastAsia="Times New Roman" w:hAnsi="Times New Roman"/>
                <w:sz w:val="24"/>
                <w:szCs w:val="24"/>
                <w:color w:val="auto"/>
                <w:vertAlign w:val="superscript"/>
              </w:rPr>
              <w:t>(i)</w:t>
            </w:r>
          </w:p>
        </w:tc>
        <w:tc>
          <w:tcPr>
            <w:tcW w:w="9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r>
      <w:tr>
        <w:trPr>
          <w:trHeight w:val="23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94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6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1500" w:type="dxa"/>
            <w:vAlign w:val="bottom"/>
            <w:tcBorders>
              <w:bottom w:val="single" w:sz="8" w:color="auto"/>
            </w:tcBorders>
          </w:tcPr>
          <w:p>
            <w:pPr>
              <w:spacing w:after="0"/>
              <w:rPr>
                <w:sz w:val="17"/>
                <w:szCs w:val="17"/>
                <w:color w:val="auto"/>
              </w:rPr>
            </w:pPr>
          </w:p>
        </w:tc>
        <w:tc>
          <w:tcPr>
            <w:tcW w:w="5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  Certain amounts have been reclassified from the prior year to conform to the current year presentation.</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51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17 — Other Income, Net</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7"/>
        </w:trPr>
        <w:tc>
          <w:tcPr>
            <w:tcW w:w="15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Gain on disposal of operations </w:t>
            </w:r>
            <w:r>
              <w:rPr>
                <w:rFonts w:ascii="Times New Roman" w:cs="Times New Roman" w:eastAsia="Times New Roman" w:hAnsi="Times New Roman"/>
                <w:sz w:val="24"/>
                <w:szCs w:val="24"/>
                <w:color w:val="auto"/>
                <w:vertAlign w:val="superscript"/>
              </w:rPr>
              <w:t>(i)</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gridSpan w:val="3"/>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379</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pension and postretirement benefit credits</w:t>
            </w:r>
          </w:p>
        </w:tc>
        <w:tc>
          <w:tcPr>
            <w:tcW w:w="9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303</w:t>
            </w:r>
          </w:p>
        </w:tc>
      </w:tr>
      <w:tr>
        <w:trPr>
          <w:trHeight w:val="24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 earnings of associates and other investments</w:t>
            </w:r>
          </w:p>
        </w:tc>
        <w:tc>
          <w:tcPr>
            <w:tcW w:w="9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6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Foreign exchange (loss)/gain </w:t>
            </w:r>
            <w:r>
              <w:rPr>
                <w:rFonts w:ascii="Times New Roman" w:cs="Times New Roman" w:eastAsia="Times New Roman" w:hAnsi="Times New Roman"/>
                <w:sz w:val="24"/>
                <w:szCs w:val="24"/>
                <w:color w:val="auto"/>
                <w:vertAlign w:val="superscript"/>
              </w:rPr>
              <w:t>(ii)</w:t>
            </w:r>
          </w:p>
        </w:tc>
        <w:tc>
          <w:tcPr>
            <w:tcW w:w="940" w:type="dxa"/>
            <w:vAlign w:val="bottom"/>
          </w:tcPr>
          <w:p>
            <w:pPr>
              <w:spacing w:after="0"/>
              <w:rPr>
                <w:sz w:val="21"/>
                <w:szCs w:val="21"/>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2"/>
              </w:rPr>
              <w:t>(11 )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r>
      <w:tr>
        <w:trPr>
          <w:trHeight w:val="238"/>
        </w:trPr>
        <w:tc>
          <w:tcPr>
            <w:tcW w:w="6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1220" w:type="dxa"/>
            <w:vAlign w:val="bottom"/>
            <w:gridSpan w:val="3"/>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701</w:t>
            </w:r>
          </w:p>
        </w:tc>
      </w:tr>
      <w:tr>
        <w:trPr>
          <w:trHeight w:val="20"/>
        </w:trPr>
        <w:tc>
          <w:tcPr>
            <w:tcW w:w="15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-5170805</wp:posOffset>
            </wp:positionV>
            <wp:extent cx="12001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-3707130</wp:posOffset>
            </wp:positionV>
            <wp:extent cx="12001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-3689985</wp:posOffset>
            </wp:positionV>
            <wp:extent cx="12001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-2362835</wp:posOffset>
            </wp:positionV>
            <wp:extent cx="12001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10287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939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includes a $24 million non-cash revaluation gain related to an acquisition completed in stages.</w:t>
      </w:r>
    </w:p>
    <w:p>
      <w:pPr>
        <w:spacing w:after="0" w:line="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offsetting effects of the Company's foreign currency hedging program. See Note 10 — Derivative Financial Instruments.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Note 18 — Accumulated Other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comprehensive (loss)/income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Net of</w:t>
            </w:r>
          </w:p>
        </w:tc>
        <w:tc>
          <w:tcPr>
            <w:tcW w:w="12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Net of</w:t>
            </w:r>
          </w:p>
        </w:tc>
        <w:tc>
          <w:tcPr>
            <w:tcW w:w="100" w:type="dxa"/>
            <w:vAlign w:val="bottom"/>
          </w:tcPr>
          <w:p>
            <w:pPr>
              <w:spacing w:after="0"/>
              <w:rPr>
                <w:sz w:val="11"/>
                <w:szCs w:val="11"/>
                <w:color w:val="auto"/>
              </w:rPr>
            </w:pPr>
          </w:p>
        </w:tc>
        <w:tc>
          <w:tcPr>
            <w:tcW w:w="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Before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Net of</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20" w:type="dxa"/>
            <w:vAlign w:val="bottom"/>
            <w:vMerge w:val="restart"/>
          </w:tcPr>
          <w:p>
            <w:pPr>
              <w:spacing w:after="0"/>
              <w:rPr>
                <w:sz w:val="12"/>
                <w:szCs w:val="12"/>
                <w:color w:val="auto"/>
              </w:rPr>
            </w:pPr>
          </w:p>
        </w:tc>
        <w:tc>
          <w:tcPr>
            <w:tcW w:w="7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6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8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3580" w:type="dxa"/>
            <w:vAlign w:val="bottom"/>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18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8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60" w:type="dxa"/>
            <w:vAlign w:val="bottom"/>
            <w:shd w:val="clear" w:color="auto" w:fill="CFF0FC"/>
          </w:tcPr>
          <w:p>
            <w:pPr>
              <w:spacing w:after="0"/>
              <w:rPr>
                <w:sz w:val="4"/>
                <w:szCs w:val="4"/>
                <w:color w:val="auto"/>
              </w:rPr>
            </w:pPr>
          </w:p>
        </w:tc>
        <w:tc>
          <w:tcPr>
            <w:tcW w:w="18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1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47"/>
        </w:trPr>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Defined pension and post-retirement benefits</w:t>
            </w: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8"/>
        </w:trPr>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instruments</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0"/>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39"/>
        </w:trPr>
        <w:tc>
          <w:tcPr>
            <w:tcW w:w="3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Less: Other comprehensive (income)/loss</w:t>
            </w:r>
          </w:p>
        </w:tc>
        <w:tc>
          <w:tcPr>
            <w:tcW w:w="2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71"/>
        </w:trPr>
        <w:tc>
          <w:tcPr>
            <w:tcW w:w="3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attributable to non-controlling interests</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 attributable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07"/>
        </w:trPr>
        <w:tc>
          <w:tcPr>
            <w:tcW w:w="3580" w:type="dxa"/>
            <w:vAlign w:val="bottom"/>
            <w:tcBorders>
              <w:bottom w:val="single" w:sz="8" w:color="CFF0FC"/>
            </w:tcBorders>
            <w:shd w:val="clear" w:color="auto" w:fill="CFF0FC"/>
          </w:tcPr>
          <w:p>
            <w:pPr>
              <w:ind w:left="120"/>
              <w:spacing w:after="0" w:line="48" w:lineRule="exact"/>
              <w:rPr>
                <w:sz w:val="20"/>
                <w:szCs w:val="20"/>
                <w:color w:val="auto"/>
              </w:rPr>
            </w:pPr>
            <w:r>
              <w:rPr>
                <w:rFonts w:ascii="Times New Roman" w:cs="Times New Roman" w:eastAsia="Times New Roman" w:hAnsi="Times New Roman"/>
                <w:sz w:val="5"/>
                <w:szCs w:val="5"/>
                <w:color w:val="auto"/>
              </w:rPr>
              <w:t>to WTW</w:t>
            </w:r>
          </w:p>
        </w:tc>
        <w:tc>
          <w:tcPr>
            <w:tcW w:w="22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50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50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50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-24765</wp:posOffset>
            </wp:positionV>
            <wp:extent cx="7683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-7620</wp:posOffset>
            </wp:positionV>
            <wp:extent cx="7683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-24765</wp:posOffset>
            </wp:positionV>
            <wp:extent cx="7683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-7620</wp:posOffset>
            </wp:positionV>
            <wp:extent cx="7683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-24765</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-7620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-24765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-7620</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Changes in accumulated other comprehensive loss, net of non-controlling interests and net of tax are provided in the following table. This table excludes amounts attributable to non-controlling interests, which are not material for further disclosure.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Defined pension</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280" w:type="dxa"/>
            <w:vAlign w:val="bottom"/>
            <w:gridSpan w:val="2"/>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and post-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34"/>
              <w:spacing w:after="0" w:line="146"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0"/>
                <w:szCs w:val="10"/>
                <w:b w:val="1"/>
                <w:bCs w:val="1"/>
                <w:color w:val="auto"/>
                <w:w w:val="84"/>
              </w:rPr>
              <w:t>(i)</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benefit costs </w:t>
            </w:r>
            <w:r>
              <w:rPr>
                <w:rFonts w:ascii="Times New Roman" w:cs="Times New Roman" w:eastAsia="Times New Roman" w:hAnsi="Times New Roman"/>
                <w:sz w:val="19"/>
                <w:szCs w:val="19"/>
                <w:b w:val="1"/>
                <w:bCs w:val="1"/>
                <w:color w:val="auto"/>
                <w:w w:val="97"/>
                <w:vertAlign w:val="superscript"/>
              </w:rPr>
              <w:t>(ii)</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1, 2021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(1,968 )</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(2,359 )</w:t>
            </w:r>
          </w:p>
        </w:tc>
        <w:tc>
          <w:tcPr>
            <w:tcW w:w="0" w:type="dxa"/>
            <w:vAlign w:val="bottom"/>
          </w:tcPr>
          <w:p>
            <w:pPr>
              <w:spacing w:after="0"/>
              <w:rPr>
                <w:sz w:val="1"/>
                <w:szCs w:val="1"/>
                <w:color w:val="auto"/>
              </w:rPr>
            </w:pPr>
          </w:p>
        </w:tc>
      </w:tr>
      <w:tr>
        <w:trPr>
          <w:trHeight w:val="238"/>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(loss)/income before reclassifications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5"/>
        </w:trPr>
        <w:tc>
          <w:tcPr>
            <w:tcW w:w="5800" w:type="dxa"/>
            <w:vAlign w:val="bottom"/>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Loss/(gain) reclassified from accumulated other</w:t>
            </w: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800" w:type="dxa"/>
            <w:vAlign w:val="bottom"/>
            <w:tcBorders>
              <w:bottom w:val="single" w:sz="8" w:color="CFF0FC"/>
            </w:tcBorders>
            <w:shd w:val="clear" w:color="auto" w:fill="CFF0FC"/>
          </w:tcPr>
          <w:p>
            <w:pPr>
              <w:ind w:left="240"/>
              <w:spacing w:after="0" w:line="255" w:lineRule="exact"/>
              <w:rPr>
                <w:sz w:val="20"/>
                <w:szCs w:val="20"/>
                <w:color w:val="auto"/>
              </w:rPr>
            </w:pPr>
            <w:r>
              <w:rPr>
                <w:rFonts w:ascii="Times New Roman" w:cs="Times New Roman" w:eastAsia="Times New Roman" w:hAnsi="Times New Roman"/>
                <w:sz w:val="18"/>
                <w:szCs w:val="18"/>
                <w:color w:val="auto"/>
              </w:rPr>
              <w:t xml:space="preserve">comprehensive loss (net of income tax benefit of $12) </w:t>
            </w:r>
            <w:r>
              <w:rPr>
                <w:rFonts w:ascii="Times New Roman" w:cs="Times New Roman" w:eastAsia="Times New Roman" w:hAnsi="Times New Roman"/>
                <w:sz w:val="24"/>
                <w:szCs w:val="24"/>
                <w:color w:val="auto"/>
                <w:vertAlign w:val="superscript"/>
              </w:rPr>
              <w:t>(iii)</w:t>
            </w: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other comprehensive (loss)/income</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(1,708 )</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(2,186 )</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(loss)/income before reclassifications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reclassified from accumulated other</w:t>
            </w:r>
          </w:p>
        </w:tc>
        <w:tc>
          <w:tcPr>
            <w:tcW w:w="16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58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comprehensive loss (net of income tax benefit of $9)</w:t>
            </w: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other comprehensive (loss)/income</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7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(2,621 )</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income/(loss) before reclassifications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reclassified from accumulated other</w:t>
            </w:r>
          </w:p>
        </w:tc>
        <w:tc>
          <w:tcPr>
            <w:tcW w:w="16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58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comprehensive loss (net of income tax benefit of $11)</w:t>
            </w: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income/(loss)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-1925955</wp:posOffset>
            </wp:positionV>
            <wp:extent cx="939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-1925955</wp:posOffset>
            </wp:positionV>
            <wp:extent cx="8572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-1925955</wp:posOffset>
            </wp:positionV>
            <wp:extent cx="8572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-1600835</wp:posOffset>
            </wp:positionV>
            <wp:extent cx="939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-1583690</wp:posOffset>
            </wp:positionV>
            <wp:extent cx="939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-1600835</wp:posOffset>
            </wp:positionV>
            <wp:extent cx="8572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-1583690</wp:posOffset>
            </wp:positionV>
            <wp:extent cx="8572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-1600835</wp:posOffset>
            </wp:positionV>
            <wp:extent cx="8572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-1583690</wp:posOffset>
            </wp:positionV>
            <wp:extent cx="8572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-1137920</wp:posOffset>
            </wp:positionV>
            <wp:extent cx="939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-1137920</wp:posOffset>
            </wp:positionV>
            <wp:extent cx="8572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-1137920</wp:posOffset>
            </wp:positionV>
            <wp:extent cx="8572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-812800</wp:posOffset>
            </wp:positionV>
            <wp:extent cx="939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-795655</wp:posOffset>
            </wp:positionV>
            <wp:extent cx="939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-812800</wp:posOffset>
            </wp:positionV>
            <wp:extent cx="8572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-795655</wp:posOffset>
            </wp:positionV>
            <wp:extent cx="8572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-812800</wp:posOffset>
            </wp:positionV>
            <wp:extent cx="8572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-795655</wp:posOffset>
            </wp:positionV>
            <wp:extent cx="8572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-350520</wp:posOffset>
            </wp:positionV>
            <wp:extent cx="939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-350520</wp:posOffset>
            </wp:positionV>
            <wp:extent cx="8572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-350520</wp:posOffset>
            </wp:positionV>
            <wp:extent cx="8572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939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9398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520" w:hanging="272"/>
        <w:spacing w:after="0" w:line="239" w:lineRule="auto"/>
        <w:tabs>
          <w:tab w:leader="none" w:pos="2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consolidated statements of comprehensive income. See Note 10 — Derivative Financial Instruments for additional details regarding the reclassification adjustments for the derivative settlements.</w:t>
      </w:r>
    </w:p>
    <w:p>
      <w:pPr>
        <w:spacing w:after="0" w:line="4" w:lineRule="exact"/>
        <w:rPr>
          <w:rFonts w:ascii="Times New Roman" w:cs="Times New Roman" w:eastAsia="Times New Roman" w:hAnsi="Times New Roman"/>
          <w:sz w:val="14"/>
          <w:szCs w:val="14"/>
          <w:color w:val="auto"/>
        </w:rPr>
      </w:pPr>
    </w:p>
    <w:p>
      <w:pPr>
        <w:ind w:left="280" w:right="680" w:hanging="272"/>
        <w:spacing w:after="0" w:line="251" w:lineRule="auto"/>
        <w:tabs>
          <w:tab w:leader="none" w:pos="2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are included in the computation of net periodic pension cost (see Note 13 — Retirement Benefits). These components are included in Other income, net in the accompanying consolidated statements of comprehensive income.</w:t>
      </w:r>
    </w:p>
    <w:p>
      <w:pPr>
        <w:ind w:left="280" w:right="40" w:hanging="272"/>
        <w:spacing w:after="0" w:line="239" w:lineRule="auto"/>
        <w:tabs>
          <w:tab w:leader="none" w:pos="2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reclassifications in 2021 of $44 million and $31 million of foreign currency translation and defined pension and post-retirement benefit costs, respectively, attributable to the gain on disposal of our Miller business (see Note 3 — Acquisitions and Divestitures). The net gain on disposal is included in Other income, net in the accompanying consolidated statements of comprehensive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Share-based Compensation</w:t>
      </w:r>
    </w:p>
    <w:p>
      <w:pPr>
        <w:spacing w:after="0" w:line="17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Amounts related to discontinued operations in the tables and other disclosures below were not material during the years ended December 31, 2023, 2022 and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Summaries</w:t>
      </w:r>
    </w:p>
    <w:p>
      <w:pPr>
        <w:spacing w:after="0" w:line="175"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On December 31, 2023, the Company had a number of open share-based compensation plans, which provide for the granting of time-based and performance-based options, time-based and performance-based restricted stock units, and various other share-based grants to employees. All of the Company’s share-based compensation plans under which any options, restricted stock units (‘RSUs’) or other share-based grants are outstanding as of December 31, 2023 are described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21" w:name="page122"/>
    <w:bookmarkEnd w:id="121"/>
    <w:p>
      <w:pPr>
        <w:ind w:right="100"/>
        <w:spacing w:after="0" w:line="265" w:lineRule="auto"/>
        <w:rPr>
          <w:sz w:val="20"/>
          <w:szCs w:val="20"/>
          <w:color w:val="auto"/>
        </w:rPr>
      </w:pPr>
      <w:r>
        <w:rPr>
          <w:rFonts w:ascii="Times New Roman" w:cs="Times New Roman" w:eastAsia="Times New Roman" w:hAnsi="Times New Roman"/>
          <w:sz w:val="18"/>
          <w:szCs w:val="18"/>
          <w:color w:val="auto"/>
        </w:rPr>
        <w:t>During 2023, approximately 265,000 shares were issued under employee stock compensation plans and non-qualified retirement plans, which is net of shares withheld for taxes and option costs. Additionally, due to retirement eligibility provisions, 93,000 shares vested during the current year which will be issued during a future year. See below for further detail on the options exercised and RSUs vested in 2023.</w:t>
      </w:r>
    </w:p>
    <w:p>
      <w:pPr>
        <w:spacing w:after="0" w:line="1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cost that has been recognized for these plans for the years ended December 31, 2023, 2022 and 2021 was $125 million, $99 million and $101 million, respectively. Of the $125 million and $99 million of compensation cost for the years ended December 31, 2023 and 2022, respectively, $31 million and $27 million, respectively, were recognized within transaction and transformation, net on the consolidated statements of comprehensive income. The total income tax benefits recognized in the consolidated statements of comprehensive income for share-based compensation arrangements for the years ended December 31, 2023, 2022, and 2021 were $21 million, $18 million and $17 million,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Equity Incentive Plan</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plan, established on April 25, 2012 and amended and restated on June 10, 2016, provides for the granting of incentive stock options, time-based or performance-based non-statutory stock options, share appreciation rights, restricted shares, time-based or performance-based RSUs, performance-based awards and other share-based grants or any combination thereof to employees, officers, non-employee directors and consultants of the Company (‘2012 Plan’). The board of directors also adopted a sub-plan under the 2012 Plan to provide an employee sharesave scheme in the U.K.</w:t>
      </w:r>
    </w:p>
    <w:p>
      <w:pPr>
        <w:spacing w:after="0" w:line="12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There were 3,867,028 shares remaining available for grant under this plan as of December 31, 2023. The 2012 Plan shall continue in effect until terminated by the board of directors, except that no incentive stock option may be granted under the 2012 Plan after April 21, 2026 or after its expiration. That termination will not affect the validity of any grants outstanding at that 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2023, 2022 and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 Activity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of options as time-based or performance-based is dependent on the original terms of the award.</w:t>
      </w:r>
    </w:p>
    <w:p>
      <w:pPr>
        <w:spacing w:after="0" w:line="171"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2023, the remaining 15,000 time-based stock options were exercised with a weighted-average exercise price of $117.36, and had an immaterial intrinsic value, leaving no options outstanding at December 31, 2023. The total intrinsic values of time-based options exercised during the years ended December 31, 2022 and 2021 were $1 million and $7 million, respectively.</w:t>
      </w:r>
    </w:p>
    <w:p>
      <w:pPr>
        <w:spacing w:after="0" w:line="12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All remaining performance-based options outstanding were exercised during 2022. The total intrinsic values of performance-based options exercised during the years ended December 31, 2022 and 2021 were $9 million and $23 million, respectively.</w:t>
      </w:r>
    </w:p>
    <w:p>
      <w:pPr>
        <w:spacing w:after="0" w:line="10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Cash received from option exercises under all share-based payment arrangements for the year ended December 31, 2023 was immaterial, and for the years ended December 31, 2022 and 2021 was $7 million and $10 million, respectively. The actual tax benefit recognized for the tax deductions from option exercises of the share-based payment arrangements totaled $6 million, $11 million and $8 million for the years ended December 31, 2023, 2022 and 2021,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Equity-settled RSUs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Assumptions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grant date fair value of each time-based RSU is equal to the grant date stock price. Performance-based RSUs granted during the years ended December 31, 2023 and December 31, 2022, contain only non-market-based performance targets, and the grant date fair value of these awards is equal to the grant date stock price. Because performance-based RSUs granted during the year ended December 31, 2021 contain market-based performance targets, the fair value is estimated on the grant date using a Monte-Carlo simulation that uses the assumptions noted in the following table. Expected volatility is based on the historical volatility of the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22" w:name="page123"/>
    <w:bookmarkEnd w:id="122"/>
    <w:p>
      <w:pPr>
        <w:ind w:right="160"/>
        <w:spacing w:after="0" w:line="281" w:lineRule="auto"/>
        <w:rPr>
          <w:sz w:val="20"/>
          <w:szCs w:val="20"/>
          <w:color w:val="auto"/>
        </w:rPr>
      </w:pPr>
      <w:r>
        <w:rPr>
          <w:rFonts w:ascii="Times New Roman" w:cs="Times New Roman" w:eastAsia="Times New Roman" w:hAnsi="Times New Roman"/>
          <w:sz w:val="18"/>
          <w:szCs w:val="18"/>
          <w:color w:val="auto"/>
        </w:rPr>
        <w:t>Company’s shares. The risk-free interest rate is based on the U.S. Treasury yield curve in effect at the time of the grant. The assumptions noted in the table below represent the weighted-average of each assumption for each grant during the year.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3"/>
                <w:szCs w:val="13"/>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9160" w:type="dxa"/>
            <w:vAlign w:val="bottom"/>
          </w:tcPr>
          <w:p>
            <w:pPr>
              <w:spacing w:after="0"/>
              <w:rPr>
                <w:sz w:val="16"/>
                <w:szCs w:val="16"/>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9160" w:type="dxa"/>
            <w:vAlign w:val="bottom"/>
          </w:tcPr>
          <w:p>
            <w:pPr>
              <w:spacing w:after="0"/>
              <w:rPr>
                <w:sz w:val="14"/>
                <w:szCs w:val="14"/>
                <w:color w:val="auto"/>
              </w:rPr>
            </w:pPr>
          </w:p>
        </w:tc>
        <w:tc>
          <w:tcPr>
            <w:tcW w:w="2080" w:type="dxa"/>
            <w:vAlign w:val="bottom"/>
            <w:tcBorders>
              <w:top w:val="single" w:sz="8" w:color="auto"/>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28"/>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45"/>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9"/>
        </w:trPr>
        <w:tc>
          <w:tcPr>
            <w:tcW w:w="9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2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1"/>
                <w:szCs w:val="21"/>
                <w:color w:val="auto"/>
              </w:rPr>
            </w:pPr>
          </w:p>
        </w:tc>
      </w:tr>
      <w:tr>
        <w:trPr>
          <w:trHeight w:val="234"/>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5430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certain performance-based RSU awards were modified to either better align the payout percentages for the broad-based population with the awards granted to the executive officers, or to reflect the impact of the divestment of our Russian business (see Note 3 — Acquisitions and Divestitures for additional information). In total, 464 grantees benefited from the modifications. Incremental compensation cost of $14 million is being recognized over the remaining service periods, $6 million of which is included within transaction and transformation, net on the consolidated statements of comprehensive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 Activity</w:t>
      </w:r>
    </w:p>
    <w:p>
      <w:pPr>
        <w:spacing w:after="0" w:line="22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 summary of time-based and performance-based RSU activity under the plans at December 31, 2023, and changes during the year then ended, is presented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20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20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8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Time-based RSUs</w:t>
            </w:r>
          </w:p>
        </w:tc>
        <w:tc>
          <w:tcPr>
            <w:tcW w:w="5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237.23</w:t>
            </w:r>
          </w:p>
        </w:tc>
        <w:tc>
          <w:tcPr>
            <w:tcW w:w="0" w:type="dxa"/>
            <w:vAlign w:val="bottom"/>
          </w:tcPr>
          <w:p>
            <w:pPr>
              <w:spacing w:after="0"/>
              <w:rPr>
                <w:sz w:val="1"/>
                <w:szCs w:val="1"/>
                <w:color w:val="auto"/>
              </w:rPr>
            </w:pPr>
          </w:p>
        </w:tc>
      </w:tr>
      <w:tr>
        <w:trPr>
          <w:trHeight w:val="247"/>
        </w:trPr>
        <w:tc>
          <w:tcPr>
            <w:tcW w:w="8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231.33</w:t>
            </w:r>
          </w:p>
        </w:tc>
        <w:tc>
          <w:tcPr>
            <w:tcW w:w="0" w:type="dxa"/>
            <w:vAlign w:val="bottom"/>
          </w:tcPr>
          <w:p>
            <w:pPr>
              <w:spacing w:after="0"/>
              <w:rPr>
                <w:sz w:val="1"/>
                <w:szCs w:val="1"/>
                <w:color w:val="auto"/>
              </w:rPr>
            </w:pPr>
          </w:p>
        </w:tc>
      </w:tr>
      <w:tr>
        <w:trPr>
          <w:trHeight w:val="238"/>
        </w:trPr>
        <w:tc>
          <w:tcPr>
            <w:tcW w:w="8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233.20</w:t>
            </w: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239.67</w:t>
            </w:r>
          </w:p>
        </w:tc>
        <w:tc>
          <w:tcPr>
            <w:tcW w:w="0" w:type="dxa"/>
            <w:vAlign w:val="bottom"/>
          </w:tcPr>
          <w:p>
            <w:pPr>
              <w:spacing w:after="0"/>
              <w:rPr>
                <w:sz w:val="1"/>
                <w:szCs w:val="1"/>
                <w:color w:val="auto"/>
              </w:rPr>
            </w:pPr>
          </w:p>
        </w:tc>
      </w:tr>
      <w:tr>
        <w:trPr>
          <w:trHeight w:val="236"/>
        </w:trPr>
        <w:tc>
          <w:tcPr>
            <w:tcW w:w="8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236.08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RSUs</w:t>
            </w: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266.39</w:t>
            </w:r>
          </w:p>
        </w:tc>
        <w:tc>
          <w:tcPr>
            <w:tcW w:w="0" w:type="dxa"/>
            <w:vAlign w:val="bottom"/>
          </w:tcPr>
          <w:p>
            <w:pPr>
              <w:spacing w:after="0"/>
              <w:rPr>
                <w:sz w:val="1"/>
                <w:szCs w:val="1"/>
                <w:color w:val="auto"/>
              </w:rPr>
            </w:pPr>
          </w:p>
        </w:tc>
      </w:tr>
      <w:tr>
        <w:trPr>
          <w:trHeight w:val="247"/>
        </w:trPr>
        <w:tc>
          <w:tcPr>
            <w:tcW w:w="89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232.98</w:t>
            </w:r>
          </w:p>
        </w:tc>
        <w:tc>
          <w:tcPr>
            <w:tcW w:w="0" w:type="dxa"/>
            <w:vAlign w:val="bottom"/>
          </w:tcPr>
          <w:p>
            <w:pPr>
              <w:spacing w:after="0"/>
              <w:rPr>
                <w:sz w:val="1"/>
                <w:szCs w:val="1"/>
                <w:color w:val="auto"/>
              </w:rPr>
            </w:pPr>
          </w:p>
        </w:tc>
      </w:tr>
      <w:tr>
        <w:trPr>
          <w:trHeight w:val="238"/>
        </w:trPr>
        <w:tc>
          <w:tcPr>
            <w:tcW w:w="8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259.54</w:t>
            </w: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267.36</w:t>
            </w:r>
          </w:p>
        </w:tc>
        <w:tc>
          <w:tcPr>
            <w:tcW w:w="0" w:type="dxa"/>
            <w:vAlign w:val="bottom"/>
          </w:tcPr>
          <w:p>
            <w:pPr>
              <w:spacing w:after="0"/>
              <w:rPr>
                <w:sz w:val="1"/>
                <w:szCs w:val="1"/>
                <w:color w:val="auto"/>
              </w:rPr>
            </w:pPr>
          </w:p>
        </w:tc>
      </w:tr>
      <w:tr>
        <w:trPr>
          <w:trHeight w:val="236"/>
        </w:trPr>
        <w:tc>
          <w:tcPr>
            <w:tcW w:w="8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255.01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-1146810</wp:posOffset>
            </wp:positionV>
            <wp:extent cx="11112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-187960</wp:posOffset>
            </wp:positionV>
            <wp:extent cx="11112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Time-based RSUs approximating 122,000, 35,000 and 15,000 vested during the years ended December 31, 2023, 2022 and 2021, respectively, with average share prices at time of vesting of $221.26, $202.80 and $250.83, respectively. At December 31, 2023 there was $41 million of total unrecognized compensation cost related to the time-based RSU plan; that cost is expected to be recognized over a weighted-average period of 1.5 years.</w:t>
      </w:r>
    </w:p>
    <w:p>
      <w:pPr>
        <w:spacing w:after="0" w:line="12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Performance-based RSUs approximating 273,000, 32,000 and 133,000 vested during the years ended December 31, 2023, 2022 and 2021, respectively, with average share prices at time of vesting of $234.44, $197.55 and $224.79, respectively. At December 31, 2023 there was $74 million of total unrecognized compensation cost related to the performance-based RSU plan; that cost is expected to be recognized over a weighted-average period of 1.9 years.</w:t>
      </w:r>
    </w:p>
    <w:p>
      <w:pPr>
        <w:spacing w:after="0" w:line="128"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The actual tax benefits recognized for the tax deductions from RSUs that vested totaled $9 million, $23 million and $12 million for the years ended December 31, 2023, 2022 and 2021, respectively.</w:t>
      </w:r>
    </w:p>
    <w:p>
      <w:pPr>
        <w:spacing w:after="0" w:line="109" w:lineRule="exact"/>
        <w:rPr>
          <w:sz w:val="20"/>
          <w:szCs w:val="20"/>
          <w:color w:val="auto"/>
        </w:rPr>
      </w:pPr>
    </w:p>
    <w:p>
      <w:pPr>
        <w:ind w:right="860"/>
        <w:spacing w:after="0" w:line="281" w:lineRule="auto"/>
        <w:rPr>
          <w:sz w:val="20"/>
          <w:szCs w:val="20"/>
          <w:color w:val="auto"/>
        </w:rPr>
      </w:pPr>
      <w:r>
        <w:rPr>
          <w:rFonts w:ascii="Times New Roman" w:cs="Times New Roman" w:eastAsia="Times New Roman" w:hAnsi="Times New Roman"/>
          <w:sz w:val="18"/>
          <w:szCs w:val="18"/>
          <w:color w:val="auto"/>
        </w:rPr>
        <w:t>The amounts reflected above include awards which will be cash-settled due to local requirements. These awards are classified as liabilities in our consolidated balance sheets and are not material.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RSUs</w:t>
      </w:r>
    </w:p>
    <w:p>
      <w:pPr>
        <w:spacing w:after="0" w:line="17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2022, cash payments totaling $32 million were made related to phantom stock units. Phantom stock units are cash-settled awards with final payout based on the performance of the Company’s shares. There was no remaining liability or unearned compensation related to phantom stock as of December 31, 2022, and the Company did not grant phantom stock during 2023, 2022 and 2021.</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3" w:right="2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Note 20 — Earnings Per Share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Basic and diluted earnings per share from continuing operations attributable to WTW and discontinued operations, net of tax are calculated by dividing net income from continuing operations attributable to WTW and discontinued operations, net of tax, respectively,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 See Note 19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Share-based Compensation for a summary of our outstanding options and RSUs.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r>
      <w:tr>
        <w:trPr>
          <w:trHeight w:val="238"/>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income attributable to non-controlling interests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attributable to WTW</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1,055</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1,049</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2,142</w:t>
            </w:r>
          </w:p>
        </w:tc>
      </w:tr>
      <w:tr>
        <w:trPr>
          <w:trHeight w:val="227"/>
        </w:trPr>
        <w:tc>
          <w:tcPr>
            <w:tcW w:w="662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2,080</w:t>
            </w:r>
          </w:p>
        </w:tc>
      </w:tr>
      <w:tr>
        <w:trPr>
          <w:trHeight w:val="227"/>
        </w:trPr>
        <w:tc>
          <w:tcPr>
            <w:tcW w:w="662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weighted-average number of shares outstanding</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weighted-average number of shares outstanding</w:t>
            </w:r>
          </w:p>
        </w:tc>
        <w:tc>
          <w:tcPr>
            <w:tcW w:w="860" w:type="dxa"/>
            <w:vAlign w:val="bottom"/>
            <w:tcBorders>
              <w:top w:val="single" w:sz="8" w:color="auto"/>
              <w:bottom w:val="single" w:sz="8" w:color="auto"/>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r>
      <w:tr>
        <w:trPr>
          <w:trHeight w:val="227"/>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 from continuing operations attributable to WTW</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16.68</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7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 attributable to WTW</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16.63</w:t>
            </w:r>
          </w:p>
        </w:tc>
      </w:tr>
      <w:tr>
        <w:trPr>
          <w:trHeight w:val="227"/>
        </w:trPr>
        <w:tc>
          <w:tcPr>
            <w:tcW w:w="662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(loss)/earnings per share from discontinued operations, net of tax</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16.20</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(loss)/earnings per share from discontinued operations, net of tax</w:t>
            </w:r>
          </w:p>
        </w:tc>
        <w:tc>
          <w:tcPr>
            <w:tcW w:w="860" w:type="dxa"/>
            <w:vAlign w:val="bottom"/>
            <w:tcBorders>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-2311400</wp:posOffset>
            </wp:positionV>
            <wp:extent cx="11112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-2294255</wp:posOffset>
            </wp:positionV>
            <wp:extent cx="11112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-2311400</wp:posOffset>
            </wp:positionV>
            <wp:extent cx="10287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-2294255</wp:posOffset>
            </wp:positionV>
            <wp:extent cx="10287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-1977390</wp:posOffset>
            </wp:positionV>
            <wp:extent cx="11112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-1960245</wp:posOffset>
            </wp:positionV>
            <wp:extent cx="11112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-1977390</wp:posOffset>
            </wp:positionV>
            <wp:extent cx="10287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-1960245</wp:posOffset>
            </wp:positionV>
            <wp:extent cx="10287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-1326515</wp:posOffset>
            </wp:positionV>
            <wp:extent cx="11112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-1309370</wp:posOffset>
            </wp:positionV>
            <wp:extent cx="11112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-1326515</wp:posOffset>
            </wp:positionV>
            <wp:extent cx="10287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-1309370</wp:posOffset>
            </wp:positionV>
            <wp:extent cx="10287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-675640</wp:posOffset>
            </wp:positionV>
            <wp:extent cx="11112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-658495</wp:posOffset>
            </wp:positionV>
            <wp:extent cx="11112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-675640</wp:posOffset>
            </wp:positionV>
            <wp:extent cx="10287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-658495</wp:posOffset>
            </wp:positionV>
            <wp:extent cx="10287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11112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1112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10287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10287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There were no anti-dilutive options for the years ended December 31, 2023, 2022 and 2021. For the year ended December 31, 2023, anti-dilutive RSUs were immaterial; for the years ended December 31, 2022 and 2021, 0.2 million and 0.3 million RSUs, respectively, were not included in the computation of the dilutive effect of potentially issuable shares because their effect was anti-dilutive.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Supplemental Disclosures of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and non-cash investing and financing activities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As of and for the years ended December 31,</w:t>
            </w:r>
          </w:p>
        </w:tc>
        <w:tc>
          <w:tcPr>
            <w:tcW w:w="0" w:type="dxa"/>
            <w:vAlign w:val="bottom"/>
          </w:tcPr>
          <w:p>
            <w:pPr>
              <w:spacing w:after="0"/>
              <w:rPr>
                <w:sz w:val="1"/>
                <w:szCs w:val="1"/>
                <w:color w:val="auto"/>
              </w:rPr>
            </w:pPr>
          </w:p>
        </w:tc>
      </w:tr>
      <w:tr>
        <w:trPr>
          <w:trHeight w:val="169"/>
        </w:trPr>
        <w:tc>
          <w:tcPr>
            <w:tcW w:w="7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1,424</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2,368</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3,459</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3,203</w:t>
            </w:r>
          </w:p>
        </w:tc>
        <w:tc>
          <w:tcPr>
            <w:tcW w:w="0" w:type="dxa"/>
            <w:vAlign w:val="bottom"/>
          </w:tcPr>
          <w:p>
            <w:pPr>
              <w:spacing w:after="0"/>
              <w:rPr>
                <w:sz w:val="1"/>
                <w:szCs w:val="1"/>
                <w:color w:val="auto"/>
              </w:rPr>
            </w:pPr>
          </w:p>
        </w:tc>
      </w:tr>
      <w:tr>
        <w:trPr>
          <w:trHeight w:val="211"/>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and fiduciary funds (included in current assets held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sale)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3,792</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4,721</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7,691</w:t>
            </w:r>
          </w:p>
        </w:tc>
        <w:tc>
          <w:tcPr>
            <w:tcW w:w="0" w:type="dxa"/>
            <w:vAlign w:val="bottom"/>
          </w:tcPr>
          <w:p>
            <w:pPr>
              <w:spacing w:after="0"/>
              <w:rPr>
                <w:sz w:val="1"/>
                <w:szCs w:val="1"/>
                <w:color w:val="auto"/>
              </w:rPr>
            </w:pPr>
          </w:p>
        </w:tc>
      </w:tr>
      <w:tr>
        <w:trPr>
          <w:trHeight w:val="227"/>
        </w:trPr>
        <w:tc>
          <w:tcPr>
            <w:tcW w:w="71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Increase/(decrease) in cash, cash equivalents and other restricted cash</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(3,177 )</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(Decrease)/increase in fiduciary funds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0" w:type="dxa"/>
            <w:vAlign w:val="bottom"/>
          </w:tcPr>
          <w:p>
            <w:pPr>
              <w:spacing w:after="0"/>
              <w:rPr>
                <w:sz w:val="1"/>
                <w:szCs w:val="1"/>
                <w:color w:val="auto"/>
              </w:rPr>
            </w:pPr>
          </w:p>
        </w:tc>
      </w:tr>
      <w:tr>
        <w:trPr>
          <w:trHeight w:val="276"/>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(2,806 )</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27"/>
        </w:trPr>
        <w:tc>
          <w:tcPr>
            <w:tcW w:w="71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payments for income taxes, net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acquired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consideration received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deferred and contingent consideration related to acquisitions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818"/>
        </w:trPr>
        <w:tc>
          <w:tcPr>
            <w:tcW w:w="71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7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-2764790</wp:posOffset>
            </wp:positionV>
            <wp:extent cx="10287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-2747645</wp:posOffset>
            </wp:positionV>
            <wp:extent cx="10287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-2764790</wp:posOffset>
            </wp:positionV>
            <wp:extent cx="10287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-2747645</wp:posOffset>
            </wp:positionV>
            <wp:extent cx="10287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-2114550</wp:posOffset>
            </wp:positionV>
            <wp:extent cx="10287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-2097405</wp:posOffset>
            </wp:positionV>
            <wp:extent cx="10287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-2114550</wp:posOffset>
            </wp:positionV>
            <wp:extent cx="10287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-2097405</wp:posOffset>
            </wp:positionV>
            <wp:extent cx="10287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6" w:right="339" w:bottom="479"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chief executive officer (‘CEO’) and chief financial officer (‘CFO’), of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management, including the CEO and CFO, concluded that our disclosure controls and procedures were effective as of December 31, 2023 in providing reasonable assurance that the information required to be disclosed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in the quarter and year ended December 31, 2023 that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CEO and CFO, and overseen by our board of directors, management and other personnel, to provide reasonable assurance regarding the reliability of financial reporting and the preparation of financial statements for external purposes in accordance with U.S. generally accepted accounting principles (‘U.S. GAAP’), and includes those policies and procedures that:</w:t>
      </w:r>
    </w:p>
    <w:p>
      <w:pPr>
        <w:spacing w:after="0" w:line="344"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70" w:lineRule="exact"/>
        <w:rPr>
          <w:rFonts w:ascii="Times New Roman" w:cs="Times New Roman" w:eastAsia="Times New Roman" w:hAnsi="Times New Roman"/>
          <w:sz w:val="18"/>
          <w:szCs w:val="18"/>
          <w:color w:val="auto"/>
        </w:rPr>
      </w:pPr>
    </w:p>
    <w:p>
      <w:pPr>
        <w:ind w:left="760" w:right="220" w:hanging="378"/>
        <w:spacing w:after="0" w:line="312" w:lineRule="auto"/>
        <w:tabs>
          <w:tab w:leader="none" w:pos="7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85" w:lineRule="exact"/>
        <w:rPr>
          <w:rFonts w:ascii="Times New Roman" w:cs="Times New Roman" w:eastAsia="Times New Roman" w:hAnsi="Times New Roman"/>
          <w:sz w:val="17"/>
          <w:szCs w:val="17"/>
          <w:color w:val="auto"/>
        </w:rPr>
      </w:pPr>
    </w:p>
    <w:p>
      <w:pPr>
        <w:ind w:left="760" w:right="280" w:hanging="378"/>
        <w:spacing w:after="0" w:line="281"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09"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management override. Also, projections of any evaluation of effectiveness to future periods are subject to the risk that controls may become inadequate because of changes in conditions, or that the degree of compliance with the policies or procedures may deteriorate.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the adequacy and effectiveness of our internal control over financial reporting. Under the supervision and with the participation of our management, including our CEO and CFO, we evaluated the effectiveness of our internal control over financial reporting as of December 31, 2023. In making this evaluation, management used the criteria set forth by the Committee of Sponsoring Organizations of the Treadway Commission in the report entitled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Based on this evaluation, management has concluded that we maintained effective internal control over financial reporting as of December 31, 2023.</w:t>
      </w:r>
    </w:p>
    <w:p>
      <w:pPr>
        <w:spacing w:after="0" w:line="12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Deloitte &amp; Touche LLP, an independent registered public accounting firm, as stated in their report titled “Report of Independent Registered Public Accounting Firm on Internal Control over Financial Reporting,” which is included herein.</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7"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Willis Towers Watson Public Limited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Willis Towers Watson Public Limited Company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22, 2024, expressed an unqualified opinion on those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7"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For the quarter ended December 31, 2023, none of the Company’s directors or officers (as defined under SEC Rule 16a-1(f))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7"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7"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Information with respect to the executive officers of the Company is provided in Part I, Item 1 Business above under the heading ‘Information about Executive Officers of the Registrant’ and information required by Item 406 of Regulation S-K is below. All other information required by this Item will be provided in accordance with Instruction G(3) to Form 10-K no later than 120 days after the end of the Company’s fiscal year.</w:t>
      </w:r>
    </w:p>
    <w:p>
      <w:pPr>
        <w:spacing w:after="0" w:line="1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adopted a Code of Conduct applicable to all our directors, officers and employees, including our CEO, the CFO, the Principal Accounting Officer and all those involved in the Company’s accounting functions. The Code of Conduct can be found in the ‘Investor Relations — Corporate Governance’ section of the Company’s website at www.wtwco.com. It is also available free of charge on request from the Company Secretary at </w:t>
      </w:r>
      <w:r>
        <w:rPr>
          <w:rFonts w:ascii="Times New Roman" w:cs="Times New Roman" w:eastAsia="Times New Roman" w:hAnsi="Times New Roman"/>
          <w:sz w:val="18"/>
          <w:szCs w:val="18"/>
          <w:u w:val="single" w:color="auto"/>
          <w:color w:val="auto"/>
        </w:rPr>
        <w:t>corporatesecretary@wtwco.com</w:t>
      </w:r>
      <w:r>
        <w:rPr>
          <w:rFonts w:ascii="Times New Roman" w:cs="Times New Roman" w:eastAsia="Times New Roman" w:hAnsi="Times New Roman"/>
          <w:sz w:val="18"/>
          <w:szCs w:val="18"/>
          <w:color w:val="auto"/>
        </w:rPr>
        <w:t>. The Company intends to post on its website any amendments to, or waivers of, a provision of the Code of Conduct in accordance with Item 406 of Regulation S-K.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0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Information with respect to the Company’s Securities Authorized for Issuance Under Equity Compensation Plans as required by Item 201(d) of Regulation S-K is incorporated herein by reference to Item 5 of this Annual Report on Form 10-K. All other information required by this Item will be provided in accordance with Instruction G(3) to Form 10-K no later than 120 days after the end of the Company’s fiscal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3" w:right="4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760" w:right="5920" w:hanging="378"/>
        <w:spacing w:after="0" w:line="437"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have been included in Part II, Item 8: Report of Independent Registered Public Accounting Firm</w:t>
      </w:r>
    </w:p>
    <w:p>
      <w:pPr>
        <w:spacing w:after="0" w:line="1" w:lineRule="exact"/>
        <w:rPr>
          <w:rFonts w:ascii="Times New Roman" w:cs="Times New Roman" w:eastAsia="Times New Roman" w:hAnsi="Times New Roman"/>
          <w:sz w:val="18"/>
          <w:szCs w:val="18"/>
          <w:color w:val="auto"/>
        </w:rPr>
      </w:pPr>
    </w:p>
    <w:p>
      <w:pPr>
        <w:ind w:left="760" w:right="4300"/>
        <w:spacing w:after="0" w:line="4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Willis Towers Watson Public Limited Company Financial Statements:</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Statements of Comprehensive Income for each of the three years in the period ended December 31, 2023</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Balance Sheets at December 31, 2023 and 2022</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December 31, 2023</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Statements of Changes in Equity for each of the three years in the period ended December 31, 2023</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117" w:lineRule="exact"/>
        <w:rPr>
          <w:sz w:val="20"/>
          <w:szCs w:val="20"/>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0" w:lineRule="exact"/>
        <w:rPr>
          <w:rFonts w:ascii="Times New Roman" w:cs="Times New Roman" w:eastAsia="Times New Roman" w:hAnsi="Times New Roman"/>
          <w:sz w:val="18"/>
          <w:szCs w:val="18"/>
          <w:color w:val="auto"/>
        </w:rPr>
      </w:pPr>
    </w:p>
    <w:p>
      <w:pPr>
        <w:ind w:left="760"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the agreements included or incorporated by reference as exhibits to this Annual Report on Form 10-K, it is important to note that they are included to provide investors with information regarding their terms, and are not intended to provide any other factual or disclosure information about WTW or the other parties to the agreements. The agreements contain representations and warranties made by each of the parties to the applicable agreement. These representations and warranties have been made solely for the benefit of the other parties to the applicable agreement, and: should not be treated as categorical statements of fact, but rather as a way of allocating risk between the parties; have in some cases been qualified by disclosures that were made to the other party in connection with the negotiation of the applicable agreement, which disclosures are not necessarily reflected in the agreement; may apply standards of materiality in a way that is different from what may be material to investors; and were made only as of the date of the applicable agreement or such other date or dates as may be specified in the agreement and are subject to more recent developments.</w:t>
      </w:r>
    </w:p>
    <w:p>
      <w:pPr>
        <w:spacing w:after="0" w:line="131" w:lineRule="exact"/>
        <w:rPr>
          <w:rFonts w:ascii="Times New Roman" w:cs="Times New Roman" w:eastAsia="Times New Roman" w:hAnsi="Times New Roman"/>
          <w:sz w:val="18"/>
          <w:szCs w:val="18"/>
          <w:color w:val="auto"/>
        </w:rPr>
      </w:pPr>
    </w:p>
    <w:p>
      <w:pPr>
        <w:ind w:left="760" w:right="1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 Additional information about WTW may be found elsewhere in this Annual Report on Form 10-K and our other public filings, which are available without charge through the SEC’s website at http://www.sec.gov.</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040" w:type="dxa"/>
            <w:vAlign w:val="bottom"/>
            <w:gridSpan w:val="8"/>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4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040" w:type="dxa"/>
            <w:vAlign w:val="bottom"/>
            <w:gridSpan w:val="8"/>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Borders>
              <w:bottom w:val="single" w:sz="8" w:color="CFF0FC"/>
            </w:tcBorders>
            <w:shd w:val="clear" w:color="auto" w:fill="CFF0FC"/>
          </w:tcPr>
          <w:p>
            <w:pPr>
              <w:spacing w:after="0"/>
              <w:rPr>
                <w:sz w:val="16"/>
                <w:szCs w:val="16"/>
                <w:color w:val="auto"/>
              </w:rPr>
            </w:pPr>
          </w:p>
        </w:tc>
        <w:tc>
          <w:tcPr>
            <w:tcW w:w="6280" w:type="dxa"/>
            <w:vAlign w:val="bottom"/>
            <w:tcBorders>
              <w:bottom w:val="single" w:sz="8" w:color="0000FF"/>
            </w:tcBorders>
            <w:gridSpan w:val="5"/>
            <w:shd w:val="clear" w:color="auto" w:fill="CFF0FC"/>
          </w:tcPr>
          <w:p>
            <w:pPr>
              <w:spacing w:after="0" w:line="189" w:lineRule="exact"/>
              <w:rPr>
                <w:rFonts w:ascii="Times New Roman" w:cs="Times New Roman" w:eastAsia="Times New Roman" w:hAnsi="Times New Roman"/>
                <w:sz w:val="18"/>
                <w:szCs w:val="18"/>
                <w:color w:val="0000FF"/>
              </w:rPr>
            </w:pPr>
            <w:hyperlink r:id="rId802">
              <w:r>
                <w:rPr>
                  <w:rFonts w:ascii="Times New Roman" w:cs="Times New Roman" w:eastAsia="Times New Roman" w:hAnsi="Times New Roman"/>
                  <w:sz w:val="18"/>
                  <w:szCs w:val="18"/>
                  <w:color w:val="0000FF"/>
                </w:rPr>
                <w:t>Agreement and Plan of Merger, dated as of June 29, 2015, by and among Willis Group</w:t>
              </w:r>
            </w:hyperlink>
          </w:p>
        </w:tc>
        <w:tc>
          <w:tcPr>
            <w:tcW w:w="580" w:type="dxa"/>
            <w:vAlign w:val="bottom"/>
            <w:tcBorders>
              <w:bottom w:val="single" w:sz="8" w:color="CFF0FC"/>
            </w:tcBorders>
            <w:gridSpan w:val="4"/>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June 30, 2015</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700" w:type="dxa"/>
            <w:vAlign w:val="bottom"/>
            <w:tcBorders>
              <w:bottom w:val="single" w:sz="8" w:color="0000FF"/>
            </w:tcBorders>
            <w:gridSpan w:val="3"/>
            <w:shd w:val="clear" w:color="auto" w:fill="CFF0FC"/>
          </w:tcPr>
          <w:p>
            <w:pPr>
              <w:spacing w:after="0" w:line="195" w:lineRule="exact"/>
              <w:rPr>
                <w:rFonts w:ascii="Times New Roman" w:cs="Times New Roman" w:eastAsia="Times New Roman" w:hAnsi="Times New Roman"/>
                <w:sz w:val="18"/>
                <w:szCs w:val="18"/>
                <w:color w:val="0000FF"/>
                <w:w w:val="99"/>
              </w:rPr>
            </w:pPr>
            <w:hyperlink r:id="rId802">
              <w:r>
                <w:rPr>
                  <w:rFonts w:ascii="Times New Roman" w:cs="Times New Roman" w:eastAsia="Times New Roman" w:hAnsi="Times New Roman"/>
                  <w:sz w:val="18"/>
                  <w:szCs w:val="18"/>
                  <w:color w:val="0000FF"/>
                  <w:w w:val="99"/>
                </w:rPr>
                <w:t>Holdings plc, Citadel Merger Sub, Inc. and Towers Watson &amp; Co</w:t>
              </w:r>
            </w:hyperlink>
          </w:p>
        </w:tc>
        <w:tc>
          <w:tcPr>
            <w:tcW w:w="2160" w:type="dxa"/>
            <w:vAlign w:val="bottom"/>
            <w:tcBorders>
              <w:bottom w:val="single" w:sz="8" w:color="CFF0FC"/>
            </w:tcBorders>
            <w:gridSpan w:val="6"/>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2.2</w:t>
            </w:r>
          </w:p>
        </w:tc>
        <w:tc>
          <w:tcPr>
            <w:tcW w:w="140" w:type="dxa"/>
            <w:vAlign w:val="bottom"/>
          </w:tcPr>
          <w:p>
            <w:pPr>
              <w:spacing w:after="0"/>
              <w:rPr>
                <w:sz w:val="16"/>
                <w:szCs w:val="16"/>
                <w:color w:val="auto"/>
              </w:rPr>
            </w:pPr>
          </w:p>
        </w:tc>
        <w:tc>
          <w:tcPr>
            <w:tcW w:w="6360" w:type="dxa"/>
            <w:vAlign w:val="bottom"/>
            <w:tcBorders>
              <w:bottom w:val="single" w:sz="8" w:color="0000FF"/>
            </w:tcBorders>
            <w:gridSpan w:val="6"/>
          </w:tcPr>
          <w:p>
            <w:pPr>
              <w:spacing w:after="0" w:line="189" w:lineRule="exact"/>
              <w:rPr>
                <w:rFonts w:ascii="Times New Roman" w:cs="Times New Roman" w:eastAsia="Times New Roman" w:hAnsi="Times New Roman"/>
                <w:sz w:val="18"/>
                <w:szCs w:val="18"/>
                <w:color w:val="0000FF"/>
              </w:rPr>
            </w:pPr>
            <w:hyperlink r:id="rId803">
              <w:r>
                <w:rPr>
                  <w:rFonts w:ascii="Times New Roman" w:cs="Times New Roman" w:eastAsia="Times New Roman" w:hAnsi="Times New Roman"/>
                  <w:sz w:val="18"/>
                  <w:szCs w:val="18"/>
                  <w:color w:val="0000FF"/>
                </w:rPr>
                <w:t>Amendment No. 1 to Agreement and Plan of Merger, dated November 19, 2015, by and</w:t>
              </w:r>
            </w:hyperlink>
          </w:p>
        </w:tc>
        <w:tc>
          <w:tcPr>
            <w:tcW w:w="500" w:type="dxa"/>
            <w:vAlign w:val="bottom"/>
            <w:gridSpan w:val="3"/>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November 20,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9"/>
          </w:tcPr>
          <w:p>
            <w:pPr>
              <w:spacing w:after="0" w:line="195" w:lineRule="exact"/>
              <w:rPr>
                <w:rFonts w:ascii="Times New Roman" w:cs="Times New Roman" w:eastAsia="Times New Roman" w:hAnsi="Times New Roman"/>
                <w:sz w:val="18"/>
                <w:szCs w:val="18"/>
                <w:color w:val="0000FF"/>
              </w:rPr>
            </w:pPr>
            <w:hyperlink r:id="rId803">
              <w:r>
                <w:rPr>
                  <w:rFonts w:ascii="Times New Roman" w:cs="Times New Roman" w:eastAsia="Times New Roman" w:hAnsi="Times New Roman"/>
                  <w:sz w:val="18"/>
                  <w:szCs w:val="18"/>
                  <w:color w:val="0000FF"/>
                </w:rPr>
                <w:t>among Willis, Merger Sub and Towers Watson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Borders>
              <w:bottom w:val="single" w:sz="8" w:color="CFF0FC"/>
            </w:tcBorders>
            <w:shd w:val="clear" w:color="auto" w:fill="CFF0FC"/>
          </w:tcPr>
          <w:p>
            <w:pPr>
              <w:spacing w:after="0"/>
              <w:rPr>
                <w:sz w:val="16"/>
                <w:szCs w:val="16"/>
                <w:color w:val="auto"/>
              </w:rPr>
            </w:pPr>
          </w:p>
        </w:tc>
        <w:tc>
          <w:tcPr>
            <w:tcW w:w="6600" w:type="dxa"/>
            <w:vAlign w:val="bottom"/>
            <w:tcBorders>
              <w:bottom w:val="single" w:sz="8" w:color="0000FF"/>
            </w:tcBorders>
            <w:gridSpan w:val="7"/>
            <w:shd w:val="clear" w:color="auto" w:fill="CFF0FC"/>
          </w:tcPr>
          <w:p>
            <w:pPr>
              <w:spacing w:after="0" w:line="189" w:lineRule="exact"/>
              <w:rPr>
                <w:rFonts w:ascii="Times New Roman" w:cs="Times New Roman" w:eastAsia="Times New Roman" w:hAnsi="Times New Roman"/>
                <w:sz w:val="18"/>
                <w:szCs w:val="18"/>
                <w:color w:val="0000FF"/>
                <w:w w:val="99"/>
              </w:rPr>
            </w:pPr>
            <w:hyperlink r:id="rId804">
              <w:r>
                <w:rPr>
                  <w:rFonts w:ascii="Times New Roman" w:cs="Times New Roman" w:eastAsia="Times New Roman" w:hAnsi="Times New Roman"/>
                  <w:sz w:val="18"/>
                  <w:szCs w:val="18"/>
                  <w:color w:val="0000FF"/>
                  <w:w w:val="99"/>
                </w:rPr>
                <w:t>Amended and Restated Memorandum and Articles of Association of Willis Towers Watson</w:t>
              </w:r>
            </w:hyperlink>
          </w:p>
        </w:tc>
        <w:tc>
          <w:tcPr>
            <w:tcW w:w="260" w:type="dxa"/>
            <w:vAlign w:val="bottom"/>
            <w:tcBorders>
              <w:bottom w:val="single" w:sz="8" w:color="CFF0FC"/>
            </w:tcBorders>
            <w:gridSpan w:val="2"/>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June 15, 2017</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9"/>
            <w:shd w:val="clear" w:color="auto" w:fill="CFF0FC"/>
          </w:tcPr>
          <w:p>
            <w:pPr>
              <w:spacing w:after="0" w:line="195" w:lineRule="exact"/>
              <w:rPr>
                <w:rFonts w:ascii="Times New Roman" w:cs="Times New Roman" w:eastAsia="Times New Roman" w:hAnsi="Times New Roman"/>
                <w:sz w:val="18"/>
                <w:szCs w:val="18"/>
                <w:color w:val="0000FF"/>
              </w:rPr>
            </w:pPr>
            <w:hyperlink r:id="rId804">
              <w:r>
                <w:rPr>
                  <w:rFonts w:ascii="Times New Roman" w:cs="Times New Roman" w:eastAsia="Times New Roman" w:hAnsi="Times New Roman"/>
                  <w:sz w:val="18"/>
                  <w:szCs w:val="18"/>
                  <w:color w:val="0000FF"/>
                </w:rPr>
                <w:t>Public Limited Company</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0000FF"/>
            </w:tcBorders>
            <w:shd w:val="clear" w:color="auto" w:fill="CFF0FC"/>
          </w:tcPr>
          <w:p>
            <w:pPr>
              <w:spacing w:after="0"/>
              <w:rPr>
                <w:sz w:val="2"/>
                <w:szCs w:val="2"/>
                <w:color w:val="auto"/>
              </w:rPr>
            </w:pPr>
          </w:p>
        </w:tc>
        <w:tc>
          <w:tcPr>
            <w:tcW w:w="15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6"/>
                <w:szCs w:val="16"/>
                <w:color w:val="auto"/>
              </w:rPr>
            </w:pPr>
          </w:p>
        </w:tc>
        <w:tc>
          <w:tcPr>
            <w:tcW w:w="6860" w:type="dxa"/>
            <w:vAlign w:val="bottom"/>
            <w:gridSpan w:val="9"/>
          </w:tcPr>
          <w:p>
            <w:pPr>
              <w:spacing w:after="0" w:line="189" w:lineRule="exact"/>
              <w:rPr>
                <w:rFonts w:ascii="Times New Roman" w:cs="Times New Roman" w:eastAsia="Times New Roman" w:hAnsi="Times New Roman"/>
                <w:sz w:val="18"/>
                <w:szCs w:val="18"/>
                <w:color w:val="0000FF"/>
              </w:rPr>
            </w:pPr>
            <w:hyperlink r:id="rId805">
              <w:r>
                <w:rPr>
                  <w:rFonts w:ascii="Times New Roman" w:cs="Times New Roman" w:eastAsia="Times New Roman" w:hAnsi="Times New Roman"/>
                  <w:sz w:val="18"/>
                  <w:szCs w:val="18"/>
                  <w:color w:val="0000FF"/>
                </w:rPr>
                <w:t>Description of Willis Towers Watson Public Limited Company’s ordinary shares</w:t>
              </w:r>
            </w:hyperlink>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110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4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color w:val="auto"/>
              </w:rPr>
              <w:t>128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300" w:type="dxa"/>
            <w:vAlign w:val="bottom"/>
            <w:gridSpan w:val="27"/>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4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00" w:type="dxa"/>
            <w:vAlign w:val="bottom"/>
            <w:gridSpan w:val="27"/>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Borders>
              <w:bottom w:val="single" w:sz="8" w:color="CFF0FC"/>
            </w:tcBorders>
            <w:shd w:val="clear" w:color="auto" w:fill="CFF0FC"/>
          </w:tcPr>
          <w:p>
            <w:pPr>
              <w:spacing w:after="0"/>
              <w:rPr>
                <w:sz w:val="16"/>
                <w:szCs w:val="16"/>
                <w:color w:val="auto"/>
              </w:rPr>
            </w:pPr>
          </w:p>
        </w:tc>
        <w:tc>
          <w:tcPr>
            <w:tcW w:w="6740" w:type="dxa"/>
            <w:vAlign w:val="bottom"/>
            <w:tcBorders>
              <w:bottom w:val="single" w:sz="8" w:color="0000FF"/>
            </w:tcBorders>
            <w:gridSpan w:val="32"/>
            <w:shd w:val="clear" w:color="auto" w:fill="CFF0FC"/>
          </w:tcPr>
          <w:p>
            <w:pPr>
              <w:spacing w:after="0" w:line="189" w:lineRule="exact"/>
              <w:rPr>
                <w:rFonts w:ascii="Times New Roman" w:cs="Times New Roman" w:eastAsia="Times New Roman" w:hAnsi="Times New Roman"/>
                <w:sz w:val="18"/>
                <w:szCs w:val="18"/>
                <w:color w:val="0000FF"/>
              </w:rPr>
            </w:pPr>
            <w:hyperlink r:id="rId808">
              <w:r>
                <w:rPr>
                  <w:rFonts w:ascii="Times New Roman" w:cs="Times New Roman" w:eastAsia="Times New Roman" w:hAnsi="Times New Roman"/>
                  <w:sz w:val="18"/>
                  <w:szCs w:val="18"/>
                  <w:color w:val="0000FF"/>
                </w:rPr>
                <w:t>Indenture, dated as of August 15, 2013, by and among Trinity Acquisition Limited, as issuer,</w:t>
              </w:r>
            </w:hyperlink>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15,</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560" w:type="dxa"/>
            <w:vAlign w:val="bottom"/>
            <w:tcBorders>
              <w:bottom w:val="single" w:sz="8" w:color="0000FF"/>
            </w:tcBorders>
            <w:gridSpan w:val="23"/>
            <w:shd w:val="clear" w:color="auto" w:fill="CFF0FC"/>
          </w:tcPr>
          <w:p>
            <w:pPr>
              <w:spacing w:after="0" w:line="195" w:lineRule="exact"/>
              <w:rPr>
                <w:rFonts w:ascii="Times New Roman" w:cs="Times New Roman" w:eastAsia="Times New Roman" w:hAnsi="Times New Roman"/>
                <w:sz w:val="18"/>
                <w:szCs w:val="18"/>
                <w:color w:val="0000FF"/>
                <w:w w:val="99"/>
              </w:rPr>
            </w:pPr>
            <w:hyperlink r:id="rId808">
              <w:r>
                <w:rPr>
                  <w:rFonts w:ascii="Times New Roman" w:cs="Times New Roman" w:eastAsia="Times New Roman" w:hAnsi="Times New Roman"/>
                  <w:sz w:val="18"/>
                  <w:szCs w:val="18"/>
                  <w:color w:val="0000FF"/>
                  <w:w w:val="99"/>
                </w:rPr>
                <w:t>Willis Group Holdings Public Limited Company, Willis Netherlands Holdings B.V., Willis</w:t>
              </w:r>
            </w:hyperlink>
          </w:p>
        </w:tc>
        <w:tc>
          <w:tcPr>
            <w:tcW w:w="300" w:type="dxa"/>
            <w:vAlign w:val="bottom"/>
            <w:tcBorders>
              <w:bottom w:val="single" w:sz="8" w:color="CFF0FC"/>
            </w:tcBorders>
            <w:gridSpan w:val="10"/>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740" w:type="dxa"/>
            <w:vAlign w:val="bottom"/>
            <w:tcBorders>
              <w:bottom w:val="single" w:sz="8" w:color="0000FF"/>
            </w:tcBorders>
            <w:gridSpan w:val="32"/>
            <w:shd w:val="clear" w:color="auto" w:fill="CFF0FC"/>
          </w:tcPr>
          <w:p>
            <w:pPr>
              <w:spacing w:after="0" w:line="195" w:lineRule="exact"/>
              <w:rPr>
                <w:rFonts w:ascii="Times New Roman" w:cs="Times New Roman" w:eastAsia="Times New Roman" w:hAnsi="Times New Roman"/>
                <w:sz w:val="18"/>
                <w:szCs w:val="18"/>
                <w:color w:val="0000FF"/>
                <w:w w:val="99"/>
              </w:rPr>
            </w:pPr>
            <w:hyperlink r:id="rId808">
              <w:r>
                <w:rPr>
                  <w:rFonts w:ascii="Times New Roman" w:cs="Times New Roman" w:eastAsia="Times New Roman" w:hAnsi="Times New Roman"/>
                  <w:sz w:val="18"/>
                  <w:szCs w:val="18"/>
                  <w:color w:val="0000FF"/>
                  <w:w w:val="99"/>
                </w:rPr>
                <w:t>North America Inc., Willis Investment UK Holdings Limited, TA I Limited and Willis Group</w:t>
              </w:r>
            </w:hyperlink>
          </w:p>
        </w:tc>
        <w:tc>
          <w:tcPr>
            <w:tcW w:w="1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360" w:type="dxa"/>
            <w:vAlign w:val="bottom"/>
            <w:tcBorders>
              <w:bottom w:val="single" w:sz="8" w:color="0000FF"/>
            </w:tcBorders>
            <w:gridSpan w:val="17"/>
            <w:shd w:val="clear" w:color="auto" w:fill="CFF0FC"/>
          </w:tcPr>
          <w:p>
            <w:pPr>
              <w:spacing w:after="0" w:line="195" w:lineRule="exact"/>
              <w:rPr>
                <w:rFonts w:ascii="Times New Roman" w:cs="Times New Roman" w:eastAsia="Times New Roman" w:hAnsi="Times New Roman"/>
                <w:sz w:val="18"/>
                <w:szCs w:val="18"/>
                <w:color w:val="0000FF"/>
                <w:w w:val="99"/>
              </w:rPr>
            </w:pPr>
            <w:hyperlink r:id="rId808">
              <w:r>
                <w:rPr>
                  <w:rFonts w:ascii="Times New Roman" w:cs="Times New Roman" w:eastAsia="Times New Roman" w:hAnsi="Times New Roman"/>
                  <w:sz w:val="18"/>
                  <w:szCs w:val="18"/>
                  <w:color w:val="0000FF"/>
                  <w:w w:val="99"/>
                </w:rPr>
                <w:t>Limited, as guarantors, and Computershare Trust Company, N.A., as successor to Wells</w:t>
              </w:r>
            </w:hyperlink>
          </w:p>
        </w:tc>
        <w:tc>
          <w:tcPr>
            <w:tcW w:w="500" w:type="dxa"/>
            <w:vAlign w:val="bottom"/>
            <w:tcBorders>
              <w:bottom w:val="single" w:sz="8" w:color="CFF0FC"/>
            </w:tcBorders>
            <w:gridSpan w:val="16"/>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20" w:type="dxa"/>
            <w:vAlign w:val="bottom"/>
            <w:tcBorders>
              <w:bottom w:val="single" w:sz="8" w:color="0000FF"/>
            </w:tcBorders>
            <w:gridSpan w:val="8"/>
            <w:shd w:val="clear" w:color="auto" w:fill="CFF0FC"/>
          </w:tcPr>
          <w:p>
            <w:pPr>
              <w:spacing w:after="0" w:line="195" w:lineRule="exact"/>
              <w:rPr>
                <w:rFonts w:ascii="Times New Roman" w:cs="Times New Roman" w:eastAsia="Times New Roman" w:hAnsi="Times New Roman"/>
                <w:sz w:val="18"/>
                <w:szCs w:val="18"/>
                <w:color w:val="0000FF"/>
                <w:w w:val="99"/>
              </w:rPr>
            </w:pPr>
            <w:hyperlink r:id="rId808">
              <w:r>
                <w:rPr>
                  <w:rFonts w:ascii="Times New Roman" w:cs="Times New Roman" w:eastAsia="Times New Roman" w:hAnsi="Times New Roman"/>
                  <w:sz w:val="18"/>
                  <w:szCs w:val="18"/>
                  <w:color w:val="0000FF"/>
                  <w:w w:val="99"/>
                </w:rPr>
                <w:t>Fargo Bank, National Association, as trustee</w:t>
              </w:r>
            </w:hyperlink>
          </w:p>
        </w:tc>
        <w:tc>
          <w:tcPr>
            <w:tcW w:w="3640" w:type="dxa"/>
            <w:vAlign w:val="bottom"/>
            <w:tcBorders>
              <w:bottom w:val="single" w:sz="8" w:color="CFF0FC"/>
            </w:tcBorders>
            <w:gridSpan w:val="25"/>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6"/>
                <w:szCs w:val="16"/>
                <w:color w:val="auto"/>
              </w:rPr>
            </w:pPr>
          </w:p>
        </w:tc>
        <w:tc>
          <w:tcPr>
            <w:tcW w:w="6500" w:type="dxa"/>
            <w:vAlign w:val="bottom"/>
            <w:tcBorders>
              <w:bottom w:val="single" w:sz="8" w:color="0000FF"/>
            </w:tcBorders>
            <w:gridSpan w:val="21"/>
          </w:tcPr>
          <w:p>
            <w:pPr>
              <w:spacing w:after="0" w:line="189" w:lineRule="exact"/>
              <w:rPr>
                <w:rFonts w:ascii="Times New Roman" w:cs="Times New Roman" w:eastAsia="Times New Roman" w:hAnsi="Times New Roman"/>
                <w:sz w:val="18"/>
                <w:szCs w:val="18"/>
                <w:color w:val="0000FF"/>
              </w:rPr>
            </w:pPr>
            <w:hyperlink r:id="rId809">
              <w:r>
                <w:rPr>
                  <w:rFonts w:ascii="Times New Roman" w:cs="Times New Roman" w:eastAsia="Times New Roman" w:hAnsi="Times New Roman"/>
                  <w:sz w:val="18"/>
                  <w:szCs w:val="18"/>
                  <w:color w:val="0000FF"/>
                </w:rPr>
                <w:t>First Supplemental Indenture, dated as of August 15, 2013, supplemental to the Indenture</w:t>
              </w:r>
            </w:hyperlink>
          </w:p>
        </w:tc>
        <w:tc>
          <w:tcPr>
            <w:tcW w:w="360" w:type="dxa"/>
            <w:vAlign w:val="bottom"/>
            <w:gridSpan w:val="12"/>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3"/>
          </w:tcPr>
          <w:p>
            <w:pPr>
              <w:spacing w:after="0" w:line="195" w:lineRule="exact"/>
              <w:rPr>
                <w:rFonts w:ascii="Times New Roman" w:cs="Times New Roman" w:eastAsia="Times New Roman" w:hAnsi="Times New Roman"/>
                <w:sz w:val="18"/>
                <w:szCs w:val="18"/>
                <w:color w:val="0000FF"/>
              </w:rPr>
            </w:pPr>
            <w:hyperlink r:id="rId809">
              <w:r>
                <w:rPr>
                  <w:rFonts w:ascii="Times New Roman" w:cs="Times New Roman" w:eastAsia="Times New Roman" w:hAnsi="Times New Roman"/>
                  <w:sz w:val="18"/>
                  <w:szCs w:val="18"/>
                  <w:color w:val="0000FF"/>
                </w:rPr>
                <w:t>dated as of August 15, 2013</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Borders>
              <w:bottom w:val="single" w:sz="8" w:color="CFF0FC"/>
            </w:tcBorders>
            <w:shd w:val="clear" w:color="auto" w:fill="CFF0FC"/>
          </w:tcPr>
          <w:p>
            <w:pPr>
              <w:spacing w:after="0"/>
              <w:rPr>
                <w:sz w:val="16"/>
                <w:szCs w:val="16"/>
                <w:color w:val="auto"/>
              </w:rPr>
            </w:pPr>
          </w:p>
        </w:tc>
        <w:tc>
          <w:tcPr>
            <w:tcW w:w="6600" w:type="dxa"/>
            <w:vAlign w:val="bottom"/>
            <w:tcBorders>
              <w:bottom w:val="single" w:sz="8" w:color="0000FF"/>
            </w:tcBorders>
            <w:gridSpan w:val="25"/>
            <w:shd w:val="clear" w:color="auto" w:fill="CFF0FC"/>
          </w:tcPr>
          <w:p>
            <w:pPr>
              <w:spacing w:after="0" w:line="189" w:lineRule="exact"/>
              <w:rPr>
                <w:rFonts w:ascii="Times New Roman" w:cs="Times New Roman" w:eastAsia="Times New Roman" w:hAnsi="Times New Roman"/>
                <w:sz w:val="18"/>
                <w:szCs w:val="18"/>
                <w:color w:val="0000FF"/>
              </w:rPr>
            </w:pPr>
            <w:hyperlink r:id="rId810">
              <w:r>
                <w:rPr>
                  <w:rFonts w:ascii="Times New Roman" w:cs="Times New Roman" w:eastAsia="Times New Roman" w:hAnsi="Times New Roman"/>
                  <w:sz w:val="18"/>
                  <w:szCs w:val="18"/>
                  <w:color w:val="0000FF"/>
                </w:rPr>
                <w:t>Second Supplemental Indenture, dated as of March 9, 2016, supplemental to the Indenture,</w:t>
              </w:r>
            </w:hyperlink>
          </w:p>
        </w:tc>
        <w:tc>
          <w:tcPr>
            <w:tcW w:w="260" w:type="dxa"/>
            <w:vAlign w:val="bottom"/>
            <w:tcBorders>
              <w:bottom w:val="single" w:sz="8" w:color="CFF0FC"/>
            </w:tcBorders>
            <w:gridSpan w:val="8"/>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March 10,</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3"/>
            <w:shd w:val="clear" w:color="auto" w:fill="CFF0FC"/>
          </w:tcPr>
          <w:p>
            <w:pPr>
              <w:spacing w:after="0" w:line="195" w:lineRule="exact"/>
              <w:rPr>
                <w:rFonts w:ascii="Times New Roman" w:cs="Times New Roman" w:eastAsia="Times New Roman" w:hAnsi="Times New Roman"/>
                <w:sz w:val="18"/>
                <w:szCs w:val="18"/>
                <w:color w:val="0000FF"/>
              </w:rPr>
            </w:pPr>
            <w:hyperlink r:id="rId810">
              <w:r>
                <w:rPr>
                  <w:rFonts w:ascii="Times New Roman" w:cs="Times New Roman" w:eastAsia="Times New Roman" w:hAnsi="Times New Roman"/>
                  <w:sz w:val="18"/>
                  <w:szCs w:val="18"/>
                  <w:color w:val="0000FF"/>
                </w:rPr>
                <w:t>dated as of August 15, 2013</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2016</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6"/>
                <w:szCs w:val="16"/>
                <w:color w:val="auto"/>
              </w:rPr>
            </w:pPr>
          </w:p>
        </w:tc>
        <w:tc>
          <w:tcPr>
            <w:tcW w:w="6540" w:type="dxa"/>
            <w:vAlign w:val="bottom"/>
            <w:tcBorders>
              <w:bottom w:val="single" w:sz="8" w:color="0000FF"/>
            </w:tcBorders>
            <w:gridSpan w:val="22"/>
          </w:tcPr>
          <w:p>
            <w:pPr>
              <w:spacing w:after="0" w:line="189" w:lineRule="exact"/>
              <w:rPr>
                <w:rFonts w:ascii="Times New Roman" w:cs="Times New Roman" w:eastAsia="Times New Roman" w:hAnsi="Times New Roman"/>
                <w:sz w:val="18"/>
                <w:szCs w:val="18"/>
                <w:color w:val="0000FF"/>
              </w:rPr>
            </w:pPr>
            <w:hyperlink r:id="rId811">
              <w:r>
                <w:rPr>
                  <w:rFonts w:ascii="Times New Roman" w:cs="Times New Roman" w:eastAsia="Times New Roman" w:hAnsi="Times New Roman"/>
                  <w:sz w:val="18"/>
                  <w:szCs w:val="18"/>
                  <w:color w:val="0000FF"/>
                </w:rPr>
                <w:t>Third Supplemental Indenture, dated as of March 22, 2016, supplemental to the Indenture,</w:t>
              </w:r>
            </w:hyperlink>
          </w:p>
        </w:tc>
        <w:tc>
          <w:tcPr>
            <w:tcW w:w="320" w:type="dxa"/>
            <w:vAlign w:val="bottom"/>
            <w:gridSpan w:val="11"/>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March 22,</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3"/>
          </w:tcPr>
          <w:p>
            <w:pPr>
              <w:spacing w:after="0" w:line="195" w:lineRule="exact"/>
              <w:rPr>
                <w:rFonts w:ascii="Times New Roman" w:cs="Times New Roman" w:eastAsia="Times New Roman" w:hAnsi="Times New Roman"/>
                <w:sz w:val="18"/>
                <w:szCs w:val="18"/>
                <w:color w:val="0000FF"/>
              </w:rPr>
            </w:pPr>
            <w:hyperlink r:id="rId811">
              <w:r>
                <w:rPr>
                  <w:rFonts w:ascii="Times New Roman" w:cs="Times New Roman" w:eastAsia="Times New Roman" w:hAnsi="Times New Roman"/>
                  <w:sz w:val="18"/>
                  <w:szCs w:val="18"/>
                  <w:color w:val="0000FF"/>
                </w:rPr>
                <w:t>dated as of August 15, 2013</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Borders>
              <w:bottom w:val="single" w:sz="8" w:color="CFF0FC"/>
            </w:tcBorders>
            <w:shd w:val="clear" w:color="auto" w:fill="CFF0FC"/>
          </w:tcPr>
          <w:p>
            <w:pPr>
              <w:spacing w:after="0"/>
              <w:rPr>
                <w:sz w:val="16"/>
                <w:szCs w:val="16"/>
                <w:color w:val="auto"/>
              </w:rPr>
            </w:pPr>
          </w:p>
        </w:tc>
        <w:tc>
          <w:tcPr>
            <w:tcW w:w="6500" w:type="dxa"/>
            <w:vAlign w:val="bottom"/>
            <w:tcBorders>
              <w:bottom w:val="single" w:sz="8" w:color="0000FF"/>
            </w:tcBorders>
            <w:gridSpan w:val="21"/>
            <w:shd w:val="clear" w:color="auto" w:fill="CFF0FC"/>
          </w:tcPr>
          <w:p>
            <w:pPr>
              <w:spacing w:after="0" w:line="189" w:lineRule="exact"/>
              <w:rPr>
                <w:rFonts w:ascii="Times New Roman" w:cs="Times New Roman" w:eastAsia="Times New Roman" w:hAnsi="Times New Roman"/>
                <w:sz w:val="18"/>
                <w:szCs w:val="18"/>
                <w:color w:val="0000FF"/>
              </w:rPr>
            </w:pPr>
            <w:hyperlink r:id="rId812">
              <w:r>
                <w:rPr>
                  <w:rFonts w:ascii="Times New Roman" w:cs="Times New Roman" w:eastAsia="Times New Roman" w:hAnsi="Times New Roman"/>
                  <w:sz w:val="18"/>
                  <w:szCs w:val="18"/>
                  <w:color w:val="0000FF"/>
                </w:rPr>
                <w:t>Fifth Supplemental Indenture, dated as of August 11, 2017, supplemental to the Indenture</w:t>
              </w:r>
            </w:hyperlink>
          </w:p>
        </w:tc>
        <w:tc>
          <w:tcPr>
            <w:tcW w:w="360" w:type="dxa"/>
            <w:vAlign w:val="bottom"/>
            <w:tcBorders>
              <w:bottom w:val="single" w:sz="8" w:color="CFF0FC"/>
            </w:tcBorders>
            <w:gridSpan w:val="12"/>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16,</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3"/>
            <w:shd w:val="clear" w:color="auto" w:fill="CFF0FC"/>
          </w:tcPr>
          <w:p>
            <w:pPr>
              <w:spacing w:after="0" w:line="195" w:lineRule="exact"/>
              <w:rPr>
                <w:rFonts w:ascii="Times New Roman" w:cs="Times New Roman" w:eastAsia="Times New Roman" w:hAnsi="Times New Roman"/>
                <w:sz w:val="18"/>
                <w:szCs w:val="18"/>
                <w:color w:val="0000FF"/>
              </w:rPr>
            </w:pPr>
            <w:hyperlink r:id="rId812">
              <w:r>
                <w:rPr>
                  <w:rFonts w:ascii="Times New Roman" w:cs="Times New Roman" w:eastAsia="Times New Roman" w:hAnsi="Times New Roman"/>
                  <w:sz w:val="18"/>
                  <w:szCs w:val="18"/>
                  <w:color w:val="0000FF"/>
                </w:rPr>
                <w:t>dated as of August 15, 2013</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6"/>
                <w:szCs w:val="16"/>
                <w:color w:val="auto"/>
              </w:rPr>
            </w:pPr>
          </w:p>
        </w:tc>
        <w:tc>
          <w:tcPr>
            <w:tcW w:w="6380" w:type="dxa"/>
            <w:vAlign w:val="bottom"/>
            <w:tcBorders>
              <w:bottom w:val="single" w:sz="8" w:color="0000FF"/>
            </w:tcBorders>
            <w:gridSpan w:val="18"/>
          </w:tcPr>
          <w:p>
            <w:pPr>
              <w:spacing w:after="0" w:line="189" w:lineRule="exact"/>
              <w:rPr>
                <w:rFonts w:ascii="Times New Roman" w:cs="Times New Roman" w:eastAsia="Times New Roman" w:hAnsi="Times New Roman"/>
                <w:sz w:val="18"/>
                <w:szCs w:val="18"/>
                <w:color w:val="0000FF"/>
              </w:rPr>
            </w:pPr>
            <w:hyperlink r:id="rId813">
              <w:r>
                <w:rPr>
                  <w:rFonts w:ascii="Times New Roman" w:cs="Times New Roman" w:eastAsia="Times New Roman" w:hAnsi="Times New Roman"/>
                  <w:sz w:val="18"/>
                  <w:szCs w:val="18"/>
                  <w:color w:val="0000FF"/>
                </w:rPr>
                <w:t>Indenture, dated as of May 16, 2017, among Willis North America Inc., as issuer, Willis</w:t>
              </w:r>
            </w:hyperlink>
          </w:p>
        </w:tc>
        <w:tc>
          <w:tcPr>
            <w:tcW w:w="480" w:type="dxa"/>
            <w:vAlign w:val="bottom"/>
            <w:gridSpan w:val="15"/>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May 16, 2017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8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w w:val="99"/>
              </w:rPr>
            </w:pPr>
            <w:hyperlink r:id="rId813">
              <w:r>
                <w:rPr>
                  <w:rFonts w:ascii="Times New Roman" w:cs="Times New Roman" w:eastAsia="Times New Roman" w:hAnsi="Times New Roman"/>
                  <w:sz w:val="18"/>
                  <w:szCs w:val="18"/>
                  <w:color w:val="0000FF"/>
                  <w:w w:val="99"/>
                </w:rPr>
                <w:t>Towers Watson Public Limited Company, Willis Towers Watson Sub Holdings Unlimited</w:t>
              </w:r>
            </w:hyperlink>
          </w:p>
        </w:tc>
        <w:tc>
          <w:tcPr>
            <w:tcW w:w="38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40" w:type="dxa"/>
            <w:vAlign w:val="bottom"/>
            <w:tcBorders>
              <w:bottom w:val="single" w:sz="8" w:color="0000FF"/>
            </w:tcBorders>
            <w:gridSpan w:val="27"/>
          </w:tcPr>
          <w:p>
            <w:pPr>
              <w:spacing w:after="0" w:line="195" w:lineRule="exact"/>
              <w:rPr>
                <w:rFonts w:ascii="Times New Roman" w:cs="Times New Roman" w:eastAsia="Times New Roman" w:hAnsi="Times New Roman"/>
                <w:sz w:val="18"/>
                <w:szCs w:val="18"/>
                <w:color w:val="0000FF"/>
                <w:w w:val="99"/>
              </w:rPr>
            </w:pPr>
            <w:hyperlink r:id="rId813">
              <w:r>
                <w:rPr>
                  <w:rFonts w:ascii="Times New Roman" w:cs="Times New Roman" w:eastAsia="Times New Roman" w:hAnsi="Times New Roman"/>
                  <w:sz w:val="18"/>
                  <w:szCs w:val="18"/>
                  <w:color w:val="0000FF"/>
                  <w:w w:val="99"/>
                </w:rPr>
                <w:t>Company, Willis Netherlands Holdings B.V., Willis Investment UK Holdings Limited, TA I</w:t>
              </w:r>
            </w:hyperlink>
          </w:p>
        </w:tc>
        <w:tc>
          <w:tcPr>
            <w:tcW w:w="22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813">
              <w:r>
                <w:rPr>
                  <w:rFonts w:ascii="Times New Roman" w:cs="Times New Roman" w:eastAsia="Times New Roman" w:hAnsi="Times New Roman"/>
                  <w:sz w:val="18"/>
                  <w:szCs w:val="18"/>
                  <w:color w:val="0000FF"/>
                </w:rPr>
                <w:t>Limited, WTW Bermuda Holdings Ltd., Trinity Acquisition plc and Willis Group Limited,</w:t>
              </w:r>
            </w:hyperlink>
          </w:p>
        </w:tc>
        <w:tc>
          <w:tcPr>
            <w:tcW w:w="28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2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813">
              <w:r>
                <w:rPr>
                  <w:rFonts w:ascii="Times New Roman" w:cs="Times New Roman" w:eastAsia="Times New Roman" w:hAnsi="Times New Roman"/>
                  <w:sz w:val="18"/>
                  <w:szCs w:val="18"/>
                  <w:color w:val="0000FF"/>
                  <w:w w:val="99"/>
                </w:rPr>
                <w:t>as guarantors, and Computershare Trust Company, N.A., as successor to Wells Fargo Bank,</w:t>
              </w:r>
            </w:hyperlink>
          </w:p>
        </w:tc>
        <w:tc>
          <w:tcPr>
            <w:tcW w:w="24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3"/>
          </w:tcPr>
          <w:p>
            <w:pPr>
              <w:spacing w:after="0" w:line="195" w:lineRule="exact"/>
              <w:rPr>
                <w:rFonts w:ascii="Times New Roman" w:cs="Times New Roman" w:eastAsia="Times New Roman" w:hAnsi="Times New Roman"/>
                <w:sz w:val="18"/>
                <w:szCs w:val="18"/>
                <w:color w:val="0000FF"/>
              </w:rPr>
            </w:pPr>
            <w:hyperlink r:id="rId813">
              <w:r>
                <w:rPr>
                  <w:rFonts w:ascii="Times New Roman" w:cs="Times New Roman" w:eastAsia="Times New Roman" w:hAnsi="Times New Roman"/>
                  <w:sz w:val="18"/>
                  <w:szCs w:val="18"/>
                  <w:color w:val="0000FF"/>
                </w:rPr>
                <w:t>National Association, as Trustee</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Borders>
              <w:bottom w:val="single" w:sz="8" w:color="CFF0FC"/>
            </w:tcBorders>
            <w:shd w:val="clear" w:color="auto" w:fill="CFF0FC"/>
          </w:tcPr>
          <w:p>
            <w:pPr>
              <w:spacing w:after="0"/>
              <w:rPr>
                <w:sz w:val="16"/>
                <w:szCs w:val="16"/>
                <w:color w:val="auto"/>
              </w:rPr>
            </w:pPr>
          </w:p>
        </w:tc>
        <w:tc>
          <w:tcPr>
            <w:tcW w:w="6740" w:type="dxa"/>
            <w:vAlign w:val="bottom"/>
            <w:tcBorders>
              <w:bottom w:val="single" w:sz="8" w:color="0000FF"/>
            </w:tcBorders>
            <w:gridSpan w:val="32"/>
            <w:shd w:val="clear" w:color="auto" w:fill="CFF0FC"/>
          </w:tcPr>
          <w:p>
            <w:pPr>
              <w:spacing w:after="0" w:line="189" w:lineRule="exact"/>
              <w:rPr>
                <w:rFonts w:ascii="Times New Roman" w:cs="Times New Roman" w:eastAsia="Times New Roman" w:hAnsi="Times New Roman"/>
                <w:sz w:val="18"/>
                <w:szCs w:val="18"/>
                <w:color w:val="0000FF"/>
              </w:rPr>
            </w:pPr>
            <w:hyperlink r:id="rId814">
              <w:r>
                <w:rPr>
                  <w:rFonts w:ascii="Times New Roman" w:cs="Times New Roman" w:eastAsia="Times New Roman" w:hAnsi="Times New Roman"/>
                  <w:sz w:val="18"/>
                  <w:szCs w:val="18"/>
                  <w:color w:val="0000FF"/>
                </w:rPr>
                <w:t>First Supplemental Indenture, dated as of May 16, 2017, supplemental to the Indenture dated</w:t>
              </w:r>
            </w:hyperlink>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May 16, 2017</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0000FF"/>
            </w:tcBorders>
            <w:gridSpan w:val="2"/>
            <w:shd w:val="clear" w:color="auto" w:fill="CFF0FC"/>
          </w:tcPr>
          <w:p>
            <w:pPr>
              <w:spacing w:after="0" w:line="195" w:lineRule="exact"/>
              <w:rPr>
                <w:rFonts w:ascii="Times New Roman" w:cs="Times New Roman" w:eastAsia="Times New Roman" w:hAnsi="Times New Roman"/>
                <w:sz w:val="18"/>
                <w:szCs w:val="18"/>
                <w:color w:val="0000FF"/>
                <w:w w:val="98"/>
              </w:rPr>
            </w:pPr>
            <w:hyperlink r:id="rId814">
              <w:r>
                <w:rPr>
                  <w:rFonts w:ascii="Times New Roman" w:cs="Times New Roman" w:eastAsia="Times New Roman" w:hAnsi="Times New Roman"/>
                  <w:sz w:val="18"/>
                  <w:szCs w:val="18"/>
                  <w:color w:val="0000FF"/>
                  <w:w w:val="98"/>
                </w:rPr>
                <w:t>as of May 16, 2017</w:t>
              </w:r>
            </w:hyperlink>
          </w:p>
        </w:tc>
        <w:tc>
          <w:tcPr>
            <w:tcW w:w="5460" w:type="dxa"/>
            <w:vAlign w:val="bottom"/>
            <w:tcBorders>
              <w:bottom w:val="single" w:sz="8" w:color="CFF0FC"/>
            </w:tcBorders>
            <w:gridSpan w:val="31"/>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6"/>
                <w:szCs w:val="16"/>
                <w:color w:val="auto"/>
              </w:rPr>
            </w:pPr>
          </w:p>
        </w:tc>
        <w:tc>
          <w:tcPr>
            <w:tcW w:w="6700" w:type="dxa"/>
            <w:vAlign w:val="bottom"/>
            <w:tcBorders>
              <w:bottom w:val="single" w:sz="8" w:color="0000FF"/>
            </w:tcBorders>
            <w:gridSpan w:val="30"/>
          </w:tcPr>
          <w:p>
            <w:pPr>
              <w:spacing w:after="0" w:line="189" w:lineRule="exact"/>
              <w:rPr>
                <w:rFonts w:ascii="Times New Roman" w:cs="Times New Roman" w:eastAsia="Times New Roman" w:hAnsi="Times New Roman"/>
                <w:sz w:val="18"/>
                <w:szCs w:val="18"/>
                <w:color w:val="0000FF"/>
              </w:rPr>
            </w:pPr>
            <w:hyperlink r:id="rId815">
              <w:r>
                <w:rPr>
                  <w:rFonts w:ascii="Times New Roman" w:cs="Times New Roman" w:eastAsia="Times New Roman" w:hAnsi="Times New Roman"/>
                  <w:sz w:val="18"/>
                  <w:szCs w:val="18"/>
                  <w:color w:val="0000FF"/>
                </w:rPr>
                <w:t>Second Supplemental Indenture, dated as of August 11, 2017, supplemental to the Indenture</w:t>
              </w:r>
            </w:hyperlink>
          </w:p>
        </w:tc>
        <w:tc>
          <w:tcPr>
            <w:tcW w:w="160" w:type="dxa"/>
            <w:vAlign w:val="bottom"/>
            <w:gridSpan w:val="3"/>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4.4</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3"/>
          </w:tcPr>
          <w:p>
            <w:pPr>
              <w:spacing w:after="0" w:line="195" w:lineRule="exact"/>
              <w:rPr>
                <w:rFonts w:ascii="Times New Roman" w:cs="Times New Roman" w:eastAsia="Times New Roman" w:hAnsi="Times New Roman"/>
                <w:sz w:val="18"/>
                <w:szCs w:val="18"/>
                <w:color w:val="0000FF"/>
              </w:rPr>
            </w:pPr>
            <w:hyperlink r:id="rId815">
              <w:r>
                <w:rPr>
                  <w:rFonts w:ascii="Times New Roman" w:cs="Times New Roman" w:eastAsia="Times New Roman" w:hAnsi="Times New Roman"/>
                  <w:sz w:val="18"/>
                  <w:szCs w:val="18"/>
                  <w:color w:val="0000FF"/>
                </w:rPr>
                <w:t>dated as of May 16, 2017</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Borders>
              <w:bottom w:val="single" w:sz="8" w:color="CFF0FC"/>
            </w:tcBorders>
            <w:shd w:val="clear" w:color="auto" w:fill="CFF0FC"/>
          </w:tcPr>
          <w:p>
            <w:pPr>
              <w:spacing w:after="0"/>
              <w:rPr>
                <w:sz w:val="16"/>
                <w:szCs w:val="16"/>
                <w:color w:val="auto"/>
              </w:rPr>
            </w:pPr>
          </w:p>
        </w:tc>
        <w:tc>
          <w:tcPr>
            <w:tcW w:w="6060" w:type="dxa"/>
            <w:vAlign w:val="bottom"/>
            <w:tcBorders>
              <w:bottom w:val="single" w:sz="8" w:color="0000FF"/>
            </w:tcBorders>
            <w:gridSpan w:val="11"/>
            <w:shd w:val="clear" w:color="auto" w:fill="CFF0FC"/>
          </w:tcPr>
          <w:p>
            <w:pPr>
              <w:spacing w:after="0" w:line="189" w:lineRule="exact"/>
              <w:rPr>
                <w:rFonts w:ascii="Times New Roman" w:cs="Times New Roman" w:eastAsia="Times New Roman" w:hAnsi="Times New Roman"/>
                <w:sz w:val="18"/>
                <w:szCs w:val="18"/>
                <w:color w:val="0000FF"/>
              </w:rPr>
            </w:pPr>
            <w:hyperlink r:id="rId816">
              <w:r>
                <w:rPr>
                  <w:rFonts w:ascii="Times New Roman" w:cs="Times New Roman" w:eastAsia="Times New Roman" w:hAnsi="Times New Roman"/>
                  <w:sz w:val="18"/>
                  <w:szCs w:val="18"/>
                  <w:color w:val="0000FF"/>
                </w:rPr>
                <w:t>Third Supplemental Indenture, dated as of September 10, 2018, supplemental to the</w:t>
              </w:r>
            </w:hyperlink>
          </w:p>
        </w:tc>
        <w:tc>
          <w:tcPr>
            <w:tcW w:w="800" w:type="dxa"/>
            <w:vAlign w:val="bottom"/>
            <w:tcBorders>
              <w:bottom w:val="single" w:sz="8" w:color="CFF0FC"/>
            </w:tcBorders>
            <w:gridSpan w:val="22"/>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September 10,</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3"/>
            <w:shd w:val="clear" w:color="auto" w:fill="CFF0FC"/>
          </w:tcPr>
          <w:p>
            <w:pPr>
              <w:spacing w:after="0" w:line="195" w:lineRule="exact"/>
              <w:rPr>
                <w:rFonts w:ascii="Times New Roman" w:cs="Times New Roman" w:eastAsia="Times New Roman" w:hAnsi="Times New Roman"/>
                <w:sz w:val="18"/>
                <w:szCs w:val="18"/>
                <w:color w:val="0000FF"/>
              </w:rPr>
            </w:pPr>
            <w:hyperlink r:id="rId816">
              <w:r>
                <w:rPr>
                  <w:rFonts w:ascii="Times New Roman" w:cs="Times New Roman" w:eastAsia="Times New Roman" w:hAnsi="Times New Roman"/>
                  <w:sz w:val="18"/>
                  <w:szCs w:val="18"/>
                  <w:color w:val="0000FF"/>
                </w:rPr>
                <w:t>Indenture dated as of May 16, 2017</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2018</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6"/>
                <w:szCs w:val="16"/>
                <w:color w:val="auto"/>
              </w:rPr>
            </w:pPr>
          </w:p>
        </w:tc>
        <w:tc>
          <w:tcPr>
            <w:tcW w:w="6160" w:type="dxa"/>
            <w:vAlign w:val="bottom"/>
            <w:tcBorders>
              <w:bottom w:val="single" w:sz="8" w:color="0000FF"/>
            </w:tcBorders>
            <w:gridSpan w:val="12"/>
          </w:tcPr>
          <w:p>
            <w:pPr>
              <w:spacing w:after="0" w:line="189" w:lineRule="exact"/>
              <w:rPr>
                <w:rFonts w:ascii="Times New Roman" w:cs="Times New Roman" w:eastAsia="Times New Roman" w:hAnsi="Times New Roman"/>
                <w:sz w:val="18"/>
                <w:szCs w:val="18"/>
                <w:color w:val="0000FF"/>
              </w:rPr>
            </w:pPr>
            <w:hyperlink r:id="rId817">
              <w:r>
                <w:rPr>
                  <w:rFonts w:ascii="Times New Roman" w:cs="Times New Roman" w:eastAsia="Times New Roman" w:hAnsi="Times New Roman"/>
                  <w:sz w:val="18"/>
                  <w:szCs w:val="18"/>
                  <w:color w:val="0000FF"/>
                </w:rPr>
                <w:t>Fourth Supplemental Indenture, dated as of September 10, 2019, supplemental to the</w:t>
              </w:r>
            </w:hyperlink>
          </w:p>
        </w:tc>
        <w:tc>
          <w:tcPr>
            <w:tcW w:w="700" w:type="dxa"/>
            <w:vAlign w:val="bottom"/>
            <w:gridSpan w:val="21"/>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September 10,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3"/>
          </w:tcPr>
          <w:p>
            <w:pPr>
              <w:spacing w:after="0" w:line="195" w:lineRule="exact"/>
              <w:rPr>
                <w:rFonts w:ascii="Times New Roman" w:cs="Times New Roman" w:eastAsia="Times New Roman" w:hAnsi="Times New Roman"/>
                <w:sz w:val="18"/>
                <w:szCs w:val="18"/>
                <w:color w:val="0000FF"/>
              </w:rPr>
            </w:pPr>
            <w:hyperlink r:id="rId817">
              <w:r>
                <w:rPr>
                  <w:rFonts w:ascii="Times New Roman" w:cs="Times New Roman" w:eastAsia="Times New Roman" w:hAnsi="Times New Roman"/>
                  <w:sz w:val="18"/>
                  <w:szCs w:val="18"/>
                  <w:color w:val="0000FF"/>
                </w:rPr>
                <w:t>Indenture dated as of May 16, 2017</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Borders>
              <w:bottom w:val="single" w:sz="8" w:color="CFF0FC"/>
            </w:tcBorders>
            <w:shd w:val="clear" w:color="auto" w:fill="CFF0FC"/>
          </w:tcPr>
          <w:p>
            <w:pPr>
              <w:spacing w:after="0"/>
              <w:rPr>
                <w:sz w:val="16"/>
                <w:szCs w:val="16"/>
                <w:color w:val="auto"/>
              </w:rPr>
            </w:pPr>
          </w:p>
        </w:tc>
        <w:tc>
          <w:tcPr>
            <w:tcW w:w="6740" w:type="dxa"/>
            <w:vAlign w:val="bottom"/>
            <w:tcBorders>
              <w:bottom w:val="single" w:sz="8" w:color="0000FF"/>
            </w:tcBorders>
            <w:gridSpan w:val="32"/>
            <w:shd w:val="clear" w:color="auto" w:fill="CFF0FC"/>
          </w:tcPr>
          <w:p>
            <w:pPr>
              <w:spacing w:after="0" w:line="189" w:lineRule="exact"/>
              <w:rPr>
                <w:rFonts w:ascii="Times New Roman" w:cs="Times New Roman" w:eastAsia="Times New Roman" w:hAnsi="Times New Roman"/>
                <w:sz w:val="18"/>
                <w:szCs w:val="18"/>
                <w:color w:val="0000FF"/>
              </w:rPr>
            </w:pPr>
            <w:hyperlink r:id="rId818">
              <w:r>
                <w:rPr>
                  <w:rFonts w:ascii="Times New Roman" w:cs="Times New Roman" w:eastAsia="Times New Roman" w:hAnsi="Times New Roman"/>
                  <w:sz w:val="18"/>
                  <w:szCs w:val="18"/>
                  <w:color w:val="0000FF"/>
                </w:rPr>
                <w:t>Fifth Supplemental Indenture, dated as of May 19, 2022, supplemental to the Indenture dated</w:t>
              </w:r>
            </w:hyperlink>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May 19, 2022</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0000FF"/>
            </w:tcBorders>
            <w:gridSpan w:val="2"/>
            <w:shd w:val="clear" w:color="auto" w:fill="CFF0FC"/>
          </w:tcPr>
          <w:p>
            <w:pPr>
              <w:spacing w:after="0" w:line="195" w:lineRule="exact"/>
              <w:rPr>
                <w:rFonts w:ascii="Times New Roman" w:cs="Times New Roman" w:eastAsia="Times New Roman" w:hAnsi="Times New Roman"/>
                <w:sz w:val="18"/>
                <w:szCs w:val="18"/>
                <w:color w:val="0000FF"/>
                <w:w w:val="98"/>
              </w:rPr>
            </w:pPr>
            <w:hyperlink r:id="rId818">
              <w:r>
                <w:rPr>
                  <w:rFonts w:ascii="Times New Roman" w:cs="Times New Roman" w:eastAsia="Times New Roman" w:hAnsi="Times New Roman"/>
                  <w:sz w:val="18"/>
                  <w:szCs w:val="18"/>
                  <w:color w:val="0000FF"/>
                  <w:w w:val="98"/>
                </w:rPr>
                <w:t>as of May 16, 2017</w:t>
              </w:r>
            </w:hyperlink>
          </w:p>
        </w:tc>
        <w:tc>
          <w:tcPr>
            <w:tcW w:w="5460" w:type="dxa"/>
            <w:vAlign w:val="bottom"/>
            <w:tcBorders>
              <w:bottom w:val="single" w:sz="8" w:color="CFF0FC"/>
            </w:tcBorders>
            <w:gridSpan w:val="31"/>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6"/>
                <w:szCs w:val="16"/>
                <w:color w:val="auto"/>
              </w:rPr>
            </w:pPr>
          </w:p>
        </w:tc>
        <w:tc>
          <w:tcPr>
            <w:tcW w:w="6220" w:type="dxa"/>
            <w:vAlign w:val="bottom"/>
            <w:tcBorders>
              <w:bottom w:val="single" w:sz="8" w:color="0000FF"/>
            </w:tcBorders>
            <w:gridSpan w:val="15"/>
          </w:tcPr>
          <w:p>
            <w:pPr>
              <w:spacing w:after="0" w:line="189" w:lineRule="exact"/>
              <w:rPr>
                <w:rFonts w:ascii="Times New Roman" w:cs="Times New Roman" w:eastAsia="Times New Roman" w:hAnsi="Times New Roman"/>
                <w:sz w:val="18"/>
                <w:szCs w:val="18"/>
                <w:color w:val="0000FF"/>
              </w:rPr>
            </w:pPr>
            <w:hyperlink r:id="rId819">
              <w:r>
                <w:rPr>
                  <w:rFonts w:ascii="Times New Roman" w:cs="Times New Roman" w:eastAsia="Times New Roman" w:hAnsi="Times New Roman"/>
                  <w:sz w:val="18"/>
                  <w:szCs w:val="18"/>
                  <w:color w:val="0000FF"/>
                </w:rPr>
                <w:t>Officers’ Certificate of the Issuer and the Guarantors (including Form of Willis North</w:t>
              </w:r>
            </w:hyperlink>
          </w:p>
        </w:tc>
        <w:tc>
          <w:tcPr>
            <w:tcW w:w="640" w:type="dxa"/>
            <w:vAlign w:val="bottom"/>
            <w:gridSpan w:val="18"/>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May 29, 2020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8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rPr>
            </w:pPr>
            <w:hyperlink r:id="rId819">
              <w:r>
                <w:rPr>
                  <w:rFonts w:ascii="Times New Roman" w:cs="Times New Roman" w:eastAsia="Times New Roman" w:hAnsi="Times New Roman"/>
                  <w:sz w:val="18"/>
                  <w:szCs w:val="18"/>
                  <w:color w:val="0000FF"/>
                </w:rPr>
                <w:t>America Inc.'s 2.95% Senior Note due 2029 and 3.875% Senior Note due 2049), dated as of</w:t>
              </w:r>
            </w:hyperlink>
          </w:p>
        </w:tc>
        <w:tc>
          <w:tcPr>
            <w:tcW w:w="1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3"/>
          </w:tcPr>
          <w:p>
            <w:pPr>
              <w:spacing w:after="0" w:line="195" w:lineRule="exact"/>
              <w:rPr>
                <w:rFonts w:ascii="Times New Roman" w:cs="Times New Roman" w:eastAsia="Times New Roman" w:hAnsi="Times New Roman"/>
                <w:sz w:val="18"/>
                <w:szCs w:val="18"/>
                <w:color w:val="0000FF"/>
              </w:rPr>
            </w:pPr>
            <w:hyperlink r:id="rId819">
              <w:r>
                <w:rPr>
                  <w:rFonts w:ascii="Times New Roman" w:cs="Times New Roman" w:eastAsia="Times New Roman" w:hAnsi="Times New Roman"/>
                  <w:sz w:val="18"/>
                  <w:szCs w:val="18"/>
                  <w:color w:val="0000FF"/>
                </w:rPr>
                <w:t>May 29, 2020</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4.14</w:t>
            </w:r>
          </w:p>
        </w:tc>
        <w:tc>
          <w:tcPr>
            <w:tcW w:w="140" w:type="dxa"/>
            <w:vAlign w:val="bottom"/>
            <w:tcBorders>
              <w:bottom w:val="single" w:sz="8" w:color="CFF0FC"/>
            </w:tcBorders>
            <w:shd w:val="clear" w:color="auto" w:fill="CFF0FC"/>
          </w:tcPr>
          <w:p>
            <w:pPr>
              <w:spacing w:after="0"/>
              <w:rPr>
                <w:sz w:val="16"/>
                <w:szCs w:val="16"/>
                <w:color w:val="auto"/>
              </w:rPr>
            </w:pPr>
          </w:p>
        </w:tc>
        <w:tc>
          <w:tcPr>
            <w:tcW w:w="6600" w:type="dxa"/>
            <w:vAlign w:val="bottom"/>
            <w:tcBorders>
              <w:bottom w:val="single" w:sz="8" w:color="0000FF"/>
            </w:tcBorders>
            <w:gridSpan w:val="25"/>
            <w:shd w:val="clear" w:color="auto" w:fill="CFF0FC"/>
          </w:tcPr>
          <w:p>
            <w:pPr>
              <w:spacing w:after="0" w:line="189" w:lineRule="exact"/>
              <w:rPr>
                <w:rFonts w:ascii="Times New Roman" w:cs="Times New Roman" w:eastAsia="Times New Roman" w:hAnsi="Times New Roman"/>
                <w:sz w:val="18"/>
                <w:szCs w:val="18"/>
                <w:color w:val="0000FF"/>
                <w:w w:val="99"/>
              </w:rPr>
            </w:pPr>
            <w:hyperlink r:id="rId820">
              <w:r>
                <w:rPr>
                  <w:rFonts w:ascii="Times New Roman" w:cs="Times New Roman" w:eastAsia="Times New Roman" w:hAnsi="Times New Roman"/>
                  <w:sz w:val="18"/>
                  <w:szCs w:val="18"/>
                  <w:color w:val="0000FF"/>
                  <w:w w:val="99"/>
                </w:rPr>
                <w:t>Form of Indenture among Willis Towers Watson Public Limited Company, as issuer, Willis</w:t>
              </w:r>
            </w:hyperlink>
          </w:p>
        </w:tc>
        <w:tc>
          <w:tcPr>
            <w:tcW w:w="260" w:type="dxa"/>
            <w:vAlign w:val="bottom"/>
            <w:tcBorders>
              <w:bottom w:val="single" w:sz="8" w:color="CFF0FC"/>
            </w:tcBorders>
            <w:gridSpan w:val="8"/>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S-3</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4.6</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720" w:type="dxa"/>
            <w:vAlign w:val="bottom"/>
            <w:tcBorders>
              <w:bottom w:val="single" w:sz="8" w:color="0000FF"/>
            </w:tcBorders>
            <w:gridSpan w:val="31"/>
            <w:shd w:val="clear" w:color="auto" w:fill="CFF0FC"/>
          </w:tcPr>
          <w:p>
            <w:pPr>
              <w:spacing w:after="0" w:line="195" w:lineRule="exact"/>
              <w:rPr>
                <w:rFonts w:ascii="Times New Roman" w:cs="Times New Roman" w:eastAsia="Times New Roman" w:hAnsi="Times New Roman"/>
                <w:sz w:val="18"/>
                <w:szCs w:val="18"/>
                <w:color w:val="0000FF"/>
                <w:w w:val="99"/>
              </w:rPr>
            </w:pPr>
            <w:hyperlink r:id="rId820">
              <w:r>
                <w:rPr>
                  <w:rFonts w:ascii="Times New Roman" w:cs="Times New Roman" w:eastAsia="Times New Roman" w:hAnsi="Times New Roman"/>
                  <w:sz w:val="18"/>
                  <w:szCs w:val="18"/>
                  <w:color w:val="0000FF"/>
                  <w:w w:val="99"/>
                </w:rPr>
                <w:t>Towers Watson Sub Holdings Unlimited Company, Willis Netherlands Holdings B.V., Willis</w:t>
              </w:r>
            </w:hyperlink>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200" w:type="dxa"/>
            <w:vAlign w:val="bottom"/>
            <w:tcBorders>
              <w:bottom w:val="single" w:sz="8" w:color="0000FF"/>
            </w:tcBorders>
            <w:gridSpan w:val="14"/>
            <w:shd w:val="clear" w:color="auto" w:fill="CFF0FC"/>
          </w:tcPr>
          <w:p>
            <w:pPr>
              <w:spacing w:after="0" w:line="195" w:lineRule="exact"/>
              <w:rPr>
                <w:rFonts w:ascii="Times New Roman" w:cs="Times New Roman" w:eastAsia="Times New Roman" w:hAnsi="Times New Roman"/>
                <w:sz w:val="18"/>
                <w:szCs w:val="18"/>
                <w:color w:val="0000FF"/>
                <w:w w:val="99"/>
              </w:rPr>
            </w:pPr>
            <w:hyperlink r:id="rId820">
              <w:r>
                <w:rPr>
                  <w:rFonts w:ascii="Times New Roman" w:cs="Times New Roman" w:eastAsia="Times New Roman" w:hAnsi="Times New Roman"/>
                  <w:sz w:val="18"/>
                  <w:szCs w:val="18"/>
                  <w:color w:val="0000FF"/>
                  <w:w w:val="99"/>
                </w:rPr>
                <w:t>Investment UK Holdings Limited, TA I Limited, Willis Towers Watson UK Holdings</w:t>
              </w:r>
            </w:hyperlink>
          </w:p>
        </w:tc>
        <w:tc>
          <w:tcPr>
            <w:tcW w:w="660" w:type="dxa"/>
            <w:vAlign w:val="bottom"/>
            <w:tcBorders>
              <w:bottom w:val="single" w:sz="8" w:color="CFF0FC"/>
            </w:tcBorders>
            <w:gridSpan w:val="19"/>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460" w:type="dxa"/>
            <w:vAlign w:val="bottom"/>
            <w:tcBorders>
              <w:bottom w:val="single" w:sz="8" w:color="0000FF"/>
            </w:tcBorders>
            <w:gridSpan w:val="19"/>
            <w:shd w:val="clear" w:color="auto" w:fill="CFF0FC"/>
          </w:tcPr>
          <w:p>
            <w:pPr>
              <w:spacing w:after="0" w:line="195" w:lineRule="exact"/>
              <w:rPr>
                <w:rFonts w:ascii="Times New Roman" w:cs="Times New Roman" w:eastAsia="Times New Roman" w:hAnsi="Times New Roman"/>
                <w:sz w:val="18"/>
                <w:szCs w:val="18"/>
                <w:color w:val="0000FF"/>
                <w:w w:val="99"/>
              </w:rPr>
            </w:pPr>
            <w:hyperlink r:id="rId820">
              <w:r>
                <w:rPr>
                  <w:rFonts w:ascii="Times New Roman" w:cs="Times New Roman" w:eastAsia="Times New Roman" w:hAnsi="Times New Roman"/>
                  <w:sz w:val="18"/>
                  <w:szCs w:val="18"/>
                  <w:color w:val="0000FF"/>
                  <w:w w:val="99"/>
                </w:rPr>
                <w:t>Limited, Trinity Acquisition plc, Willis Group Limited and Willis North America Inc., as</w:t>
              </w:r>
            </w:hyperlink>
          </w:p>
        </w:tc>
        <w:tc>
          <w:tcPr>
            <w:tcW w:w="400" w:type="dxa"/>
            <w:vAlign w:val="bottom"/>
            <w:tcBorders>
              <w:bottom w:val="single" w:sz="8" w:color="CFF0FC"/>
            </w:tcBorders>
            <w:gridSpan w:val="14"/>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3"/>
            <w:shd w:val="clear" w:color="auto" w:fill="CFF0FC"/>
          </w:tcPr>
          <w:p>
            <w:pPr>
              <w:spacing w:after="0" w:line="195" w:lineRule="exact"/>
              <w:rPr>
                <w:rFonts w:ascii="Times New Roman" w:cs="Times New Roman" w:eastAsia="Times New Roman" w:hAnsi="Times New Roman"/>
                <w:sz w:val="18"/>
                <w:szCs w:val="18"/>
                <w:color w:val="0000FF"/>
              </w:rPr>
            </w:pPr>
            <w:hyperlink r:id="rId820">
              <w:r>
                <w:rPr>
                  <w:rFonts w:ascii="Times New Roman" w:cs="Times New Roman" w:eastAsia="Times New Roman" w:hAnsi="Times New Roman"/>
                  <w:sz w:val="18"/>
                  <w:szCs w:val="18"/>
                  <w:color w:val="0000FF"/>
                </w:rPr>
                <w:t>guarantors, and Computershare Trust Company, N.A., as Trustee</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40" w:type="dxa"/>
            <w:vAlign w:val="bottom"/>
            <w:tcBorders>
              <w:top w:val="single" w:sz="8" w:color="0000FF"/>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6"/>
                <w:szCs w:val="16"/>
                <w:color w:val="auto"/>
              </w:rPr>
            </w:pPr>
          </w:p>
        </w:tc>
        <w:tc>
          <w:tcPr>
            <w:tcW w:w="6660" w:type="dxa"/>
            <w:vAlign w:val="bottom"/>
            <w:tcBorders>
              <w:bottom w:val="single" w:sz="8" w:color="0000FF"/>
            </w:tcBorders>
            <w:gridSpan w:val="28"/>
          </w:tcPr>
          <w:p>
            <w:pPr>
              <w:spacing w:after="0" w:line="189" w:lineRule="exact"/>
              <w:rPr>
                <w:rFonts w:ascii="Times New Roman" w:cs="Times New Roman" w:eastAsia="Times New Roman" w:hAnsi="Times New Roman"/>
                <w:sz w:val="18"/>
                <w:szCs w:val="18"/>
                <w:color w:val="0000FF"/>
              </w:rPr>
            </w:pPr>
            <w:hyperlink r:id="rId821">
              <w:r>
                <w:rPr>
                  <w:rFonts w:ascii="Times New Roman" w:cs="Times New Roman" w:eastAsia="Times New Roman" w:hAnsi="Times New Roman"/>
                  <w:sz w:val="18"/>
                  <w:szCs w:val="18"/>
                  <w:color w:val="0000FF"/>
                </w:rPr>
                <w:t>Sixth Supplemental Indenture, dated as of May 17, 2023, among Willis North America Inc.,</w:t>
              </w:r>
            </w:hyperlink>
          </w:p>
        </w:tc>
        <w:tc>
          <w:tcPr>
            <w:tcW w:w="200" w:type="dxa"/>
            <w:vAlign w:val="bottom"/>
            <w:gridSpan w:val="5"/>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May 17, 2023</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Borders>
              <w:bottom w:val="single" w:sz="8" w:color="0000FF"/>
            </w:tcBorders>
            <w:gridSpan w:val="13"/>
          </w:tcPr>
          <w:p>
            <w:pPr>
              <w:spacing w:after="0" w:line="195" w:lineRule="exact"/>
              <w:rPr>
                <w:rFonts w:ascii="Times New Roman" w:cs="Times New Roman" w:eastAsia="Times New Roman" w:hAnsi="Times New Roman"/>
                <w:sz w:val="18"/>
                <w:szCs w:val="18"/>
                <w:color w:val="0000FF"/>
                <w:w w:val="98"/>
              </w:rPr>
            </w:pPr>
            <w:hyperlink r:id="rId821">
              <w:r>
                <w:rPr>
                  <w:rFonts w:ascii="Times New Roman" w:cs="Times New Roman" w:eastAsia="Times New Roman" w:hAnsi="Times New Roman"/>
                  <w:sz w:val="18"/>
                  <w:szCs w:val="18"/>
                  <w:color w:val="0000FF"/>
                  <w:w w:val="98"/>
                </w:rPr>
                <w:t>as issuer, Willis Towers Watson Public Limited Company, Willis Towers Watson Sub</w:t>
              </w:r>
            </w:hyperlink>
          </w:p>
        </w:tc>
        <w:tc>
          <w:tcPr>
            <w:tcW w:w="680" w:type="dxa"/>
            <w:vAlign w:val="bottom"/>
            <w:gridSpan w:val="2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821">
              <w:r>
                <w:rPr>
                  <w:rFonts w:ascii="Times New Roman" w:cs="Times New Roman" w:eastAsia="Times New Roman" w:hAnsi="Times New Roman"/>
                  <w:sz w:val="18"/>
                  <w:szCs w:val="18"/>
                  <w:color w:val="0000FF"/>
                  <w:w w:val="99"/>
                </w:rPr>
                <w:t>Holdings Unlimited Company, Willis Netherlands Holdings B.V., Willis Investment UK</w:t>
              </w:r>
            </w:hyperlink>
          </w:p>
        </w:tc>
        <w:tc>
          <w:tcPr>
            <w:tcW w:w="48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821">
              <w:r>
                <w:rPr>
                  <w:rFonts w:ascii="Times New Roman" w:cs="Times New Roman" w:eastAsia="Times New Roman" w:hAnsi="Times New Roman"/>
                  <w:sz w:val="18"/>
                  <w:szCs w:val="18"/>
                  <w:color w:val="0000FF"/>
                  <w:w w:val="99"/>
                </w:rPr>
                <w:t>Holdings Limited, TA I Limited, Willis Towers Watson UK Holdings Limited, Trinity</w:t>
              </w:r>
            </w:hyperlink>
          </w:p>
        </w:tc>
        <w:tc>
          <w:tcPr>
            <w:tcW w:w="620" w:type="dxa"/>
            <w:vAlign w:val="bottom"/>
            <w:gridSpan w:val="1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rPr>
            </w:pPr>
            <w:hyperlink r:id="rId821">
              <w:r>
                <w:rPr>
                  <w:rFonts w:ascii="Times New Roman" w:cs="Times New Roman" w:eastAsia="Times New Roman" w:hAnsi="Times New Roman"/>
                  <w:sz w:val="18"/>
                  <w:szCs w:val="18"/>
                  <w:color w:val="0000FF"/>
                </w:rPr>
                <w:t>Acquisition plc and Willis Group Limited, as guarantors, and Computershare Trust</w:t>
              </w:r>
            </w:hyperlink>
          </w:p>
        </w:tc>
        <w:tc>
          <w:tcPr>
            <w:tcW w:w="860" w:type="dxa"/>
            <w:vAlign w:val="bottom"/>
            <w:gridSpan w:val="2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821">
              <w:r>
                <w:rPr>
                  <w:rFonts w:ascii="Times New Roman" w:cs="Times New Roman" w:eastAsia="Times New Roman" w:hAnsi="Times New Roman"/>
                  <w:sz w:val="18"/>
                  <w:szCs w:val="18"/>
                  <w:color w:val="0000FF"/>
                  <w:w w:val="99"/>
                </w:rPr>
                <w:t>Company, National Association, as trustee</w:t>
              </w:r>
            </w:hyperlink>
          </w:p>
        </w:tc>
        <w:tc>
          <w:tcPr>
            <w:tcW w:w="3800" w:type="dxa"/>
            <w:vAlign w:val="bottom"/>
            <w:gridSpan w:val="2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40" w:type="dxa"/>
            <w:vAlign w:val="bottom"/>
            <w:gridSpan w:val="11"/>
          </w:tcPr>
          <w:p>
            <w:pPr>
              <w:jc w:val="right"/>
              <w:ind w:right="128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131" w:name="page132"/>
    <w:bookmarkEnd w:id="131"/>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60" w:type="dxa"/>
            <w:vAlign w:val="bottom"/>
            <w:gridSpan w:val="26"/>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4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gridSpan w:val="26"/>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FF0FC"/>
            </w:tcBorders>
            <w:shd w:val="clear" w:color="auto" w:fill="CFF0FC"/>
          </w:tcPr>
          <w:p>
            <w:pPr>
              <w:spacing w:after="0"/>
              <w:rPr>
                <w:sz w:val="16"/>
                <w:szCs w:val="16"/>
                <w:color w:val="auto"/>
              </w:rPr>
            </w:pPr>
          </w:p>
        </w:tc>
        <w:tc>
          <w:tcPr>
            <w:tcW w:w="6280" w:type="dxa"/>
            <w:vAlign w:val="bottom"/>
            <w:tcBorders>
              <w:bottom w:val="single" w:sz="8" w:color="0000FF"/>
            </w:tcBorders>
            <w:gridSpan w:val="16"/>
            <w:shd w:val="clear" w:color="auto" w:fill="CFF0FC"/>
          </w:tcPr>
          <w:p>
            <w:pPr>
              <w:spacing w:after="0" w:line="189" w:lineRule="exact"/>
              <w:rPr>
                <w:rFonts w:ascii="Times New Roman" w:cs="Times New Roman" w:eastAsia="Times New Roman" w:hAnsi="Times New Roman"/>
                <w:sz w:val="18"/>
                <w:szCs w:val="18"/>
                <w:color w:val="0000FF"/>
              </w:rPr>
            </w:pPr>
            <w:hyperlink r:id="rId824">
              <w:r>
                <w:rPr>
                  <w:rFonts w:ascii="Times New Roman" w:cs="Times New Roman" w:eastAsia="Times New Roman" w:hAnsi="Times New Roman"/>
                  <w:sz w:val="18"/>
                  <w:szCs w:val="18"/>
                  <w:color w:val="0000FF"/>
                </w:rPr>
                <w:t>Second Amended and Restated Credit Agreement, dated as of October 6, 2021, among</w:t>
              </w:r>
            </w:hyperlink>
          </w:p>
        </w:tc>
        <w:tc>
          <w:tcPr>
            <w:tcW w:w="580" w:type="dxa"/>
            <w:vAlign w:val="bottom"/>
            <w:tcBorders>
              <w:bottom w:val="single" w:sz="8" w:color="CFF0FC"/>
            </w:tcBorders>
            <w:gridSpan w:val="15"/>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October 7,</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440" w:type="dxa"/>
            <w:vAlign w:val="bottom"/>
            <w:tcBorders>
              <w:bottom w:val="single" w:sz="8" w:color="0000FF"/>
            </w:tcBorders>
            <w:gridSpan w:val="22"/>
            <w:shd w:val="clear" w:color="auto" w:fill="CFF0FC"/>
          </w:tcPr>
          <w:p>
            <w:pPr>
              <w:spacing w:after="0" w:line="195" w:lineRule="exact"/>
              <w:rPr>
                <w:rFonts w:ascii="Times New Roman" w:cs="Times New Roman" w:eastAsia="Times New Roman" w:hAnsi="Times New Roman"/>
                <w:sz w:val="18"/>
                <w:szCs w:val="18"/>
                <w:color w:val="0000FF"/>
                <w:w w:val="99"/>
              </w:rPr>
            </w:pPr>
            <w:hyperlink r:id="rId824">
              <w:r>
                <w:rPr>
                  <w:rFonts w:ascii="Times New Roman" w:cs="Times New Roman" w:eastAsia="Times New Roman" w:hAnsi="Times New Roman"/>
                  <w:sz w:val="18"/>
                  <w:szCs w:val="18"/>
                  <w:color w:val="0000FF"/>
                  <w:w w:val="99"/>
                </w:rPr>
                <w:t>Trinity Acquisition plc and its indirect subsidiaries, Willis North America Inc. and Willis</w:t>
              </w:r>
            </w:hyperlink>
          </w:p>
        </w:tc>
        <w:tc>
          <w:tcPr>
            <w:tcW w:w="420" w:type="dxa"/>
            <w:vAlign w:val="bottom"/>
            <w:tcBorders>
              <w:bottom w:val="single" w:sz="8" w:color="CFF0FC"/>
            </w:tcBorders>
            <w:gridSpan w:val="9"/>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380" w:type="dxa"/>
            <w:vAlign w:val="bottom"/>
            <w:tcBorders>
              <w:bottom w:val="single" w:sz="8" w:color="0000FF"/>
            </w:tcBorders>
            <w:gridSpan w:val="19"/>
            <w:shd w:val="clear" w:color="auto" w:fill="CFF0FC"/>
          </w:tcPr>
          <w:p>
            <w:pPr>
              <w:spacing w:after="0" w:line="195" w:lineRule="exact"/>
              <w:rPr>
                <w:rFonts w:ascii="Times New Roman" w:cs="Times New Roman" w:eastAsia="Times New Roman" w:hAnsi="Times New Roman"/>
                <w:sz w:val="18"/>
                <w:szCs w:val="18"/>
                <w:color w:val="0000FF"/>
                <w:w w:val="99"/>
              </w:rPr>
            </w:pPr>
            <w:hyperlink r:id="rId824">
              <w:r>
                <w:rPr>
                  <w:rFonts w:ascii="Times New Roman" w:cs="Times New Roman" w:eastAsia="Times New Roman" w:hAnsi="Times New Roman"/>
                  <w:sz w:val="18"/>
                  <w:szCs w:val="18"/>
                  <w:color w:val="0000FF"/>
                  <w:w w:val="99"/>
                </w:rPr>
                <w:t>Netherlands Holdings B.V., Willis Towers Watson Public Limited Company, the lenders</w:t>
              </w:r>
            </w:hyperlink>
          </w:p>
        </w:tc>
        <w:tc>
          <w:tcPr>
            <w:tcW w:w="480" w:type="dxa"/>
            <w:vAlign w:val="bottom"/>
            <w:tcBorders>
              <w:bottom w:val="single" w:sz="8" w:color="CFF0FC"/>
            </w:tcBorders>
            <w:gridSpan w:val="12"/>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824">
              <w:r>
                <w:rPr>
                  <w:rFonts w:ascii="Times New Roman" w:cs="Times New Roman" w:eastAsia="Times New Roman" w:hAnsi="Times New Roman"/>
                  <w:sz w:val="18"/>
                  <w:szCs w:val="18"/>
                  <w:color w:val="0000FF"/>
                </w:rPr>
                <w:t>party thereto and Barclays Bank PLC, as Administrative Agent</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3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6"/>
                <w:szCs w:val="16"/>
                <w:color w:val="auto"/>
              </w:rPr>
            </w:pPr>
          </w:p>
        </w:tc>
        <w:tc>
          <w:tcPr>
            <w:tcW w:w="6500" w:type="dxa"/>
            <w:vAlign w:val="bottom"/>
            <w:tcBorders>
              <w:bottom w:val="single" w:sz="8" w:color="0000FF"/>
            </w:tcBorders>
            <w:gridSpan w:val="25"/>
          </w:tcPr>
          <w:p>
            <w:pPr>
              <w:spacing w:after="0" w:line="189" w:lineRule="exact"/>
              <w:rPr>
                <w:rFonts w:ascii="Times New Roman" w:cs="Times New Roman" w:eastAsia="Times New Roman" w:hAnsi="Times New Roman"/>
                <w:sz w:val="18"/>
                <w:szCs w:val="18"/>
                <w:color w:val="0000FF"/>
              </w:rPr>
            </w:pPr>
            <w:hyperlink r:id="rId825">
              <w:r>
                <w:rPr>
                  <w:rFonts w:ascii="Times New Roman" w:cs="Times New Roman" w:eastAsia="Times New Roman" w:hAnsi="Times New Roman"/>
                  <w:sz w:val="18"/>
                  <w:szCs w:val="18"/>
                  <w:color w:val="0000FF"/>
                </w:rPr>
                <w:t>Second Amended and Restated Guaranty Agreement, dated as of October 6, 2021, among</w:t>
              </w:r>
            </w:hyperlink>
          </w:p>
        </w:tc>
        <w:tc>
          <w:tcPr>
            <w:tcW w:w="360" w:type="dxa"/>
            <w:vAlign w:val="bottom"/>
            <w:gridSpan w:val="6"/>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October 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2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825">
              <w:r>
                <w:rPr>
                  <w:rFonts w:ascii="Times New Roman" w:cs="Times New Roman" w:eastAsia="Times New Roman" w:hAnsi="Times New Roman"/>
                  <w:sz w:val="18"/>
                  <w:szCs w:val="18"/>
                  <w:color w:val="0000FF"/>
                  <w:w w:val="99"/>
                </w:rPr>
                <w:t>Trinity Acquisition plc, Willis Towers Watson Public Limited Company, the other guarantors</w:t>
              </w:r>
            </w:hyperlink>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825">
              <w:r>
                <w:rPr>
                  <w:rFonts w:ascii="Times New Roman" w:cs="Times New Roman" w:eastAsia="Times New Roman" w:hAnsi="Times New Roman"/>
                  <w:sz w:val="18"/>
                  <w:szCs w:val="18"/>
                  <w:color w:val="0000FF"/>
                </w:rPr>
                <w:t>party thereto and Barclays Bank PLC, as Administrative Agent</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FF0FC"/>
            </w:tcBorders>
            <w:shd w:val="clear" w:color="auto" w:fill="CFF0FC"/>
          </w:tcPr>
          <w:p>
            <w:pPr>
              <w:spacing w:after="0"/>
              <w:rPr>
                <w:sz w:val="16"/>
                <w:szCs w:val="16"/>
                <w:color w:val="auto"/>
              </w:rPr>
            </w:pPr>
          </w:p>
        </w:tc>
        <w:tc>
          <w:tcPr>
            <w:tcW w:w="6420" w:type="dxa"/>
            <w:vAlign w:val="bottom"/>
            <w:tcBorders>
              <w:bottom w:val="single" w:sz="8" w:color="0000FF"/>
            </w:tcBorders>
            <w:gridSpan w:val="21"/>
            <w:shd w:val="clear" w:color="auto" w:fill="CFF0FC"/>
          </w:tcPr>
          <w:p>
            <w:pPr>
              <w:spacing w:after="0" w:line="189" w:lineRule="exact"/>
              <w:rPr>
                <w:rFonts w:ascii="Times New Roman" w:cs="Times New Roman" w:eastAsia="Times New Roman" w:hAnsi="Times New Roman"/>
                <w:sz w:val="18"/>
                <w:szCs w:val="18"/>
                <w:color w:val="0000FF"/>
              </w:rPr>
            </w:pPr>
            <w:hyperlink r:id="rId826">
              <w:r>
                <w:rPr>
                  <w:rFonts w:ascii="Times New Roman" w:cs="Times New Roman" w:eastAsia="Times New Roman" w:hAnsi="Times New Roman"/>
                  <w:sz w:val="18"/>
                  <w:szCs w:val="18"/>
                  <w:color w:val="0000FF"/>
                </w:rPr>
                <w:t>First Amendment dated as of June 29, 2023 to the Second Amended and Restated Credit</w:t>
              </w:r>
            </w:hyperlink>
          </w:p>
        </w:tc>
        <w:tc>
          <w:tcPr>
            <w:tcW w:w="440" w:type="dxa"/>
            <w:vAlign w:val="bottom"/>
            <w:tcBorders>
              <w:bottom w:val="single" w:sz="8" w:color="CFF0FC"/>
            </w:tcBorders>
            <w:gridSpan w:val="10"/>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July 27, 2023</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720" w:type="dxa"/>
            <w:vAlign w:val="bottom"/>
            <w:tcBorders>
              <w:bottom w:val="single" w:sz="8" w:color="0000FF"/>
            </w:tcBorders>
            <w:gridSpan w:val="30"/>
            <w:shd w:val="clear" w:color="auto" w:fill="CFF0FC"/>
          </w:tcPr>
          <w:p>
            <w:pPr>
              <w:spacing w:after="0" w:line="195" w:lineRule="exact"/>
              <w:rPr>
                <w:rFonts w:ascii="Times New Roman" w:cs="Times New Roman" w:eastAsia="Times New Roman" w:hAnsi="Times New Roman"/>
                <w:sz w:val="18"/>
                <w:szCs w:val="18"/>
                <w:color w:val="0000FF"/>
                <w:w w:val="99"/>
              </w:rPr>
            </w:pPr>
            <w:hyperlink r:id="rId826">
              <w:r>
                <w:rPr>
                  <w:rFonts w:ascii="Times New Roman" w:cs="Times New Roman" w:eastAsia="Times New Roman" w:hAnsi="Times New Roman"/>
                  <w:sz w:val="18"/>
                  <w:szCs w:val="18"/>
                  <w:color w:val="0000FF"/>
                  <w:w w:val="99"/>
                </w:rPr>
                <w:t>Agreement dated as of October 6, 2021 by and among, inter alia, Trinity Acquisition PLC, as</w:t>
              </w:r>
            </w:hyperlink>
          </w:p>
        </w:tc>
        <w:tc>
          <w:tcPr>
            <w:tcW w:w="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680" w:type="dxa"/>
            <w:vAlign w:val="bottom"/>
            <w:tcBorders>
              <w:bottom w:val="single" w:sz="8" w:color="0000FF"/>
            </w:tcBorders>
            <w:gridSpan w:val="29"/>
            <w:shd w:val="clear" w:color="auto" w:fill="CFF0FC"/>
          </w:tcPr>
          <w:p>
            <w:pPr>
              <w:spacing w:after="0" w:line="195" w:lineRule="exact"/>
              <w:rPr>
                <w:rFonts w:ascii="Times New Roman" w:cs="Times New Roman" w:eastAsia="Times New Roman" w:hAnsi="Times New Roman"/>
                <w:sz w:val="18"/>
                <w:szCs w:val="18"/>
                <w:color w:val="0000FF"/>
                <w:w w:val="99"/>
              </w:rPr>
            </w:pPr>
            <w:hyperlink r:id="rId826">
              <w:r>
                <w:rPr>
                  <w:rFonts w:ascii="Times New Roman" w:cs="Times New Roman" w:eastAsia="Times New Roman" w:hAnsi="Times New Roman"/>
                  <w:sz w:val="18"/>
                  <w:szCs w:val="18"/>
                  <w:color w:val="0000FF"/>
                  <w:w w:val="99"/>
                </w:rPr>
                <w:t>the Company, Willis Towers Watson Public Limited Company, as the Parent, the Guarantors</w:t>
              </w:r>
            </w:hyperlink>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5880" w:type="dxa"/>
            <w:vAlign w:val="bottom"/>
            <w:tcBorders>
              <w:bottom w:val="single" w:sz="8" w:color="0000FF"/>
            </w:tcBorders>
            <w:gridSpan w:val="15"/>
            <w:shd w:val="clear" w:color="auto" w:fill="CFF0FC"/>
          </w:tcPr>
          <w:p>
            <w:pPr>
              <w:spacing w:after="0" w:line="195" w:lineRule="exact"/>
              <w:rPr>
                <w:rFonts w:ascii="Times New Roman" w:cs="Times New Roman" w:eastAsia="Times New Roman" w:hAnsi="Times New Roman"/>
                <w:sz w:val="18"/>
                <w:szCs w:val="18"/>
                <w:color w:val="0000FF"/>
              </w:rPr>
            </w:pPr>
            <w:hyperlink r:id="rId826">
              <w:r>
                <w:rPr>
                  <w:rFonts w:ascii="Times New Roman" w:cs="Times New Roman" w:eastAsia="Times New Roman" w:hAnsi="Times New Roman"/>
                  <w:sz w:val="18"/>
                  <w:szCs w:val="18"/>
                  <w:color w:val="0000FF"/>
                </w:rPr>
                <w:t>party thereto, the Lenders party thereto, and Barclays Bank PLC, party thereto as</w:t>
              </w:r>
            </w:hyperlink>
          </w:p>
        </w:tc>
        <w:tc>
          <w:tcPr>
            <w:tcW w:w="980" w:type="dxa"/>
            <w:vAlign w:val="bottom"/>
            <w:tcBorders>
              <w:bottom w:val="single" w:sz="8" w:color="CFF0FC"/>
            </w:tcBorders>
            <w:gridSpan w:val="16"/>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826">
              <w:r>
                <w:rPr>
                  <w:rFonts w:ascii="Times New Roman" w:cs="Times New Roman" w:eastAsia="Times New Roman" w:hAnsi="Times New Roman"/>
                  <w:sz w:val="18"/>
                  <w:szCs w:val="18"/>
                  <w:color w:val="0000FF"/>
                </w:rPr>
                <w:t>administrative agent</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3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6"/>
                <w:szCs w:val="16"/>
                <w:color w:val="auto"/>
              </w:rPr>
            </w:pPr>
          </w:p>
        </w:tc>
        <w:tc>
          <w:tcPr>
            <w:tcW w:w="6400" w:type="dxa"/>
            <w:vAlign w:val="bottom"/>
            <w:tcBorders>
              <w:bottom w:val="single" w:sz="8" w:color="0000FF"/>
            </w:tcBorders>
            <w:gridSpan w:val="20"/>
          </w:tcPr>
          <w:p>
            <w:pPr>
              <w:spacing w:after="0" w:line="189" w:lineRule="exact"/>
              <w:rPr>
                <w:rFonts w:ascii="Times New Roman" w:cs="Times New Roman" w:eastAsia="Times New Roman" w:hAnsi="Times New Roman"/>
                <w:sz w:val="18"/>
                <w:szCs w:val="18"/>
                <w:color w:val="0000FF"/>
              </w:rPr>
            </w:pPr>
            <w:hyperlink r:id="rId827">
              <w:r>
                <w:rPr>
                  <w:rFonts w:ascii="Times New Roman" w:cs="Times New Roman" w:eastAsia="Times New Roman" w:hAnsi="Times New Roman"/>
                  <w:sz w:val="18"/>
                  <w:szCs w:val="18"/>
                  <w:color w:val="0000FF"/>
                </w:rPr>
                <w:t>Deed Poll of Assumption, dated as of December 31, 2009, by and between Willis Group</w:t>
              </w:r>
            </w:hyperlink>
          </w:p>
        </w:tc>
        <w:tc>
          <w:tcPr>
            <w:tcW w:w="460" w:type="dxa"/>
            <w:vAlign w:val="bottom"/>
            <w:gridSpan w:val="11"/>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January 4,</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827">
              <w:r>
                <w:rPr>
                  <w:rFonts w:ascii="Times New Roman" w:cs="Times New Roman" w:eastAsia="Times New Roman" w:hAnsi="Times New Roman"/>
                  <w:sz w:val="18"/>
                  <w:szCs w:val="18"/>
                  <w:color w:val="0000FF"/>
                </w:rPr>
                <w:t>Holdings Limited and Willis Group Holdings Public Limited Company</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FF0FC"/>
            </w:tcBorders>
            <w:shd w:val="clear" w:color="auto" w:fill="CFF0FC"/>
          </w:tcPr>
          <w:p>
            <w:pPr>
              <w:spacing w:after="0"/>
              <w:rPr>
                <w:sz w:val="16"/>
                <w:szCs w:val="16"/>
                <w:color w:val="auto"/>
              </w:rPr>
            </w:pPr>
          </w:p>
        </w:tc>
        <w:tc>
          <w:tcPr>
            <w:tcW w:w="6720" w:type="dxa"/>
            <w:vAlign w:val="bottom"/>
            <w:tcBorders>
              <w:bottom w:val="single" w:sz="8" w:color="0000FF"/>
            </w:tcBorders>
            <w:gridSpan w:val="30"/>
            <w:shd w:val="clear" w:color="auto" w:fill="CFF0FC"/>
          </w:tcPr>
          <w:p>
            <w:pPr>
              <w:spacing w:after="0" w:line="189" w:lineRule="exact"/>
              <w:rPr>
                <w:rFonts w:ascii="Times New Roman" w:cs="Times New Roman" w:eastAsia="Times New Roman" w:hAnsi="Times New Roman"/>
                <w:sz w:val="18"/>
                <w:szCs w:val="18"/>
                <w:color w:val="0000FF"/>
                <w:w w:val="99"/>
              </w:rPr>
            </w:pPr>
            <w:hyperlink r:id="rId828">
              <w:r>
                <w:rPr>
                  <w:rFonts w:ascii="Times New Roman" w:cs="Times New Roman" w:eastAsia="Times New Roman" w:hAnsi="Times New Roman"/>
                  <w:sz w:val="18"/>
                  <w:szCs w:val="18"/>
                  <w:color w:val="0000FF"/>
                  <w:w w:val="99"/>
                </w:rPr>
                <w:t>Security and Asset Purchase Agreement, dated as of August 12, 2021, by and between Willis</w:t>
              </w:r>
            </w:hyperlink>
          </w:p>
        </w:tc>
        <w:tc>
          <w:tcPr>
            <w:tcW w:w="14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16,</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828">
              <w:r>
                <w:rPr>
                  <w:rFonts w:ascii="Times New Roman" w:cs="Times New Roman" w:eastAsia="Times New Roman" w:hAnsi="Times New Roman"/>
                  <w:sz w:val="18"/>
                  <w:szCs w:val="18"/>
                  <w:color w:val="0000FF"/>
                </w:rPr>
                <w:t>Towers Watson plc and Arthur J. Gallagher &amp; Co.</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3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6"/>
                <w:szCs w:val="16"/>
                <w:color w:val="auto"/>
              </w:rPr>
            </w:pPr>
          </w:p>
        </w:tc>
        <w:tc>
          <w:tcPr>
            <w:tcW w:w="6580" w:type="dxa"/>
            <w:vAlign w:val="bottom"/>
            <w:tcBorders>
              <w:bottom w:val="single" w:sz="8" w:color="0000FF"/>
            </w:tcBorders>
            <w:gridSpan w:val="26"/>
          </w:tcPr>
          <w:p>
            <w:pPr>
              <w:spacing w:after="0" w:line="189" w:lineRule="exact"/>
              <w:rPr>
                <w:rFonts w:ascii="Times New Roman" w:cs="Times New Roman" w:eastAsia="Times New Roman" w:hAnsi="Times New Roman"/>
                <w:sz w:val="18"/>
                <w:szCs w:val="18"/>
                <w:color w:val="0000FF"/>
                <w:w w:val="99"/>
              </w:rPr>
            </w:pPr>
            <w:hyperlink r:id="rId829">
              <w:r>
                <w:rPr>
                  <w:rFonts w:ascii="Times New Roman" w:cs="Times New Roman" w:eastAsia="Times New Roman" w:hAnsi="Times New Roman"/>
                  <w:sz w:val="18"/>
                  <w:szCs w:val="18"/>
                  <w:color w:val="0000FF"/>
                  <w:w w:val="99"/>
                </w:rPr>
                <w:t>Letter Agreement, dated December 1, 2021, by and between Willis Towers Watson plc and</w:t>
              </w:r>
            </w:hyperlink>
          </w:p>
        </w:tc>
        <w:tc>
          <w:tcPr>
            <w:tcW w:w="280" w:type="dxa"/>
            <w:vAlign w:val="bottom"/>
            <w:gridSpan w:val="5"/>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December 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829">
              <w:r>
                <w:rPr>
                  <w:rFonts w:ascii="Times New Roman" w:cs="Times New Roman" w:eastAsia="Times New Roman" w:hAnsi="Times New Roman"/>
                  <w:sz w:val="18"/>
                  <w:szCs w:val="18"/>
                  <w:color w:val="0000FF"/>
                </w:rPr>
                <w:t>Arthur J. Gallagher &amp; Co.</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shd w:val="clear" w:color="auto" w:fill="CFF0FC"/>
          </w:tcPr>
          <w:p>
            <w:pPr>
              <w:spacing w:after="0"/>
              <w:rPr>
                <w:sz w:val="16"/>
                <w:szCs w:val="16"/>
                <w:color w:val="auto"/>
              </w:rPr>
            </w:pPr>
          </w:p>
        </w:tc>
        <w:tc>
          <w:tcPr>
            <w:tcW w:w="6860" w:type="dxa"/>
            <w:vAlign w:val="bottom"/>
            <w:gridSpan w:val="31"/>
            <w:shd w:val="clear" w:color="auto" w:fill="CFF0FC"/>
          </w:tcPr>
          <w:p>
            <w:pPr>
              <w:spacing w:after="0" w:line="189" w:lineRule="exact"/>
              <w:rPr>
                <w:rFonts w:ascii="Times New Roman" w:cs="Times New Roman" w:eastAsia="Times New Roman" w:hAnsi="Times New Roman"/>
                <w:sz w:val="18"/>
                <w:szCs w:val="18"/>
                <w:color w:val="0000FF"/>
              </w:rPr>
            </w:pPr>
            <w:hyperlink r:id="rId830">
              <w:r>
                <w:rPr>
                  <w:rFonts w:ascii="Times New Roman" w:cs="Times New Roman" w:eastAsia="Times New Roman" w:hAnsi="Times New Roman"/>
                  <w:sz w:val="18"/>
                  <w:szCs w:val="18"/>
                  <w:color w:val="0000FF"/>
                </w:rPr>
                <w:t>Willis Towers Watson Public Limited Company 2012 Equity Incentive Plan</w:t>
              </w:r>
            </w:hyperlink>
          </w:p>
        </w:tc>
        <w:tc>
          <w:tcPr>
            <w:tcW w:w="5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DEF14</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A</w:t>
            </w:r>
          </w:p>
        </w:tc>
        <w:tc>
          <w:tcPr>
            <w:tcW w:w="1220" w:type="dxa"/>
            <w:vAlign w:val="bottom"/>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April 28, 2022</w:t>
            </w:r>
          </w:p>
        </w:tc>
        <w:tc>
          <w:tcPr>
            <w:tcW w:w="12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 w:type="dxa"/>
            <w:vAlign w:val="bottom"/>
            <w:tcBorders>
              <w:right w:val="single" w:sz="8" w:color="CFF0FC"/>
            </w:tcBorders>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0000FF"/>
            </w:tcBorders>
            <w:shd w:val="clear" w:color="auto" w:fill="CFF0FC"/>
          </w:tcPr>
          <w:p>
            <w:pPr>
              <w:spacing w:after="0"/>
              <w:rPr>
                <w:sz w:val="21"/>
                <w:szCs w:val="21"/>
                <w:color w:val="auto"/>
              </w:rPr>
            </w:pPr>
          </w:p>
        </w:tc>
        <w:tc>
          <w:tcPr>
            <w:tcW w:w="720" w:type="dxa"/>
            <w:vAlign w:val="bottom"/>
            <w:tcBorders>
              <w:top w:val="single" w:sz="8" w:color="0000FF"/>
            </w:tcBorders>
            <w:shd w:val="clear" w:color="auto" w:fill="CFF0FC"/>
          </w:tcPr>
          <w:p>
            <w:pPr>
              <w:spacing w:after="0"/>
              <w:rPr>
                <w:sz w:val="21"/>
                <w:szCs w:val="21"/>
                <w:color w:val="auto"/>
              </w:rPr>
            </w:pPr>
          </w:p>
        </w:tc>
        <w:tc>
          <w:tcPr>
            <w:tcW w:w="420" w:type="dxa"/>
            <w:vAlign w:val="bottom"/>
            <w:tcBorders>
              <w:top w:val="single" w:sz="8" w:color="0000FF"/>
            </w:tcBorders>
            <w:shd w:val="clear" w:color="auto" w:fill="CFF0FC"/>
          </w:tcPr>
          <w:p>
            <w:pPr>
              <w:spacing w:after="0"/>
              <w:rPr>
                <w:sz w:val="21"/>
                <w:szCs w:val="21"/>
                <w:color w:val="auto"/>
              </w:rPr>
            </w:pPr>
          </w:p>
        </w:tc>
        <w:tc>
          <w:tcPr>
            <w:tcW w:w="420" w:type="dxa"/>
            <w:vAlign w:val="bottom"/>
            <w:tcBorders>
              <w:top w:val="single" w:sz="8" w:color="0000FF"/>
            </w:tcBorders>
            <w:shd w:val="clear" w:color="auto" w:fill="CFF0FC"/>
          </w:tcPr>
          <w:p>
            <w:pPr>
              <w:spacing w:after="0"/>
              <w:rPr>
                <w:sz w:val="21"/>
                <w:szCs w:val="21"/>
                <w:color w:val="auto"/>
              </w:rPr>
            </w:pPr>
          </w:p>
        </w:tc>
        <w:tc>
          <w:tcPr>
            <w:tcW w:w="120" w:type="dxa"/>
            <w:vAlign w:val="bottom"/>
            <w:tcBorders>
              <w:top w:val="single" w:sz="8" w:color="0000FF"/>
            </w:tcBorders>
            <w:shd w:val="clear" w:color="auto" w:fill="CFF0FC"/>
          </w:tcPr>
          <w:p>
            <w:pPr>
              <w:spacing w:after="0"/>
              <w:rPr>
                <w:sz w:val="21"/>
                <w:szCs w:val="21"/>
                <w:color w:val="auto"/>
              </w:rPr>
            </w:pPr>
          </w:p>
        </w:tc>
        <w:tc>
          <w:tcPr>
            <w:tcW w:w="138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720" w:type="dxa"/>
            <w:vAlign w:val="bottom"/>
            <w:tcBorders>
              <w:top w:val="single" w:sz="8" w:color="0000FF"/>
            </w:tcBorders>
            <w:shd w:val="clear" w:color="auto" w:fill="CFF0FC"/>
          </w:tcPr>
          <w:p>
            <w:pPr>
              <w:spacing w:after="0"/>
              <w:rPr>
                <w:sz w:val="21"/>
                <w:szCs w:val="21"/>
                <w:color w:val="auto"/>
              </w:rPr>
            </w:pPr>
          </w:p>
        </w:tc>
        <w:tc>
          <w:tcPr>
            <w:tcW w:w="200" w:type="dxa"/>
            <w:vAlign w:val="bottom"/>
            <w:tcBorders>
              <w:top w:val="single" w:sz="8" w:color="0000FF"/>
            </w:tcBorders>
            <w:shd w:val="clear" w:color="auto" w:fill="CFF0FC"/>
          </w:tcPr>
          <w:p>
            <w:pPr>
              <w:spacing w:after="0"/>
              <w:rPr>
                <w:sz w:val="21"/>
                <w:szCs w:val="21"/>
                <w:color w:val="auto"/>
              </w:rPr>
            </w:pPr>
          </w:p>
        </w:tc>
        <w:tc>
          <w:tcPr>
            <w:tcW w:w="300" w:type="dxa"/>
            <w:vAlign w:val="bottom"/>
            <w:tcBorders>
              <w:top w:val="single" w:sz="8" w:color="0000FF"/>
            </w:tcBorders>
            <w:shd w:val="clear" w:color="auto" w:fill="CFF0FC"/>
          </w:tcPr>
          <w:p>
            <w:pPr>
              <w:spacing w:after="0"/>
              <w:rPr>
                <w:sz w:val="21"/>
                <w:szCs w:val="21"/>
                <w:color w:val="auto"/>
              </w:rPr>
            </w:pPr>
          </w:p>
        </w:tc>
        <w:tc>
          <w:tcPr>
            <w:tcW w:w="100" w:type="dxa"/>
            <w:vAlign w:val="bottom"/>
            <w:tcBorders>
              <w:top w:val="single" w:sz="8" w:color="0000FF"/>
            </w:tcBorders>
            <w:shd w:val="clear" w:color="auto" w:fill="CFF0FC"/>
          </w:tcPr>
          <w:p>
            <w:pPr>
              <w:spacing w:after="0"/>
              <w:rPr>
                <w:sz w:val="21"/>
                <w:szCs w:val="21"/>
                <w:color w:val="auto"/>
              </w:rPr>
            </w:pPr>
          </w:p>
        </w:tc>
        <w:tc>
          <w:tcPr>
            <w:tcW w:w="32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CFF0FC"/>
            </w:tcBorders>
            <w:shd w:val="clear" w:color="auto" w:fill="CFF0FC"/>
          </w:tcPr>
          <w:p>
            <w:pPr>
              <w:spacing w:after="0"/>
              <w:rPr>
                <w:sz w:val="21"/>
                <w:szCs w:val="21"/>
                <w:color w:val="auto"/>
              </w:rPr>
            </w:pPr>
          </w:p>
        </w:tc>
        <w:tc>
          <w:tcPr>
            <w:tcW w:w="200" w:type="dxa"/>
            <w:vAlign w:val="bottom"/>
            <w:tcBorders>
              <w:top w:val="single" w:sz="8" w:color="CFF0FC"/>
            </w:tcBorders>
            <w:shd w:val="clear" w:color="auto" w:fill="CFF0FC"/>
          </w:tcPr>
          <w:p>
            <w:pPr>
              <w:spacing w:after="0"/>
              <w:rPr>
                <w:sz w:val="21"/>
                <w:szCs w:val="21"/>
                <w:color w:val="auto"/>
              </w:rPr>
            </w:pPr>
          </w:p>
        </w:tc>
        <w:tc>
          <w:tcPr>
            <w:tcW w:w="40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Borders>
              <w:top w:val="single" w:sz="8" w:color="CFF0FC"/>
            </w:tcBorders>
            <w:shd w:val="clear" w:color="auto" w:fill="CFF0FC"/>
          </w:tcPr>
          <w:p>
            <w:pPr>
              <w:spacing w:after="0"/>
              <w:rPr>
                <w:sz w:val="21"/>
                <w:szCs w:val="21"/>
                <w:color w:val="auto"/>
              </w:rPr>
            </w:pPr>
          </w:p>
        </w:tc>
        <w:tc>
          <w:tcPr>
            <w:tcW w:w="4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10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60" w:type="dxa"/>
            <w:vAlign w:val="bottom"/>
            <w:tcBorders>
              <w:top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16"/>
                <w:szCs w:val="16"/>
                <w:color w:val="auto"/>
              </w:rPr>
            </w:pPr>
          </w:p>
        </w:tc>
        <w:tc>
          <w:tcPr>
            <w:tcW w:w="6320" w:type="dxa"/>
            <w:vAlign w:val="bottom"/>
            <w:tcBorders>
              <w:bottom w:val="single" w:sz="8" w:color="0000FF"/>
            </w:tcBorders>
            <w:gridSpan w:val="18"/>
          </w:tcPr>
          <w:p>
            <w:pPr>
              <w:spacing w:after="0" w:line="189" w:lineRule="exact"/>
              <w:rPr>
                <w:rFonts w:ascii="Times New Roman" w:cs="Times New Roman" w:eastAsia="Times New Roman" w:hAnsi="Times New Roman"/>
                <w:sz w:val="18"/>
                <w:szCs w:val="18"/>
                <w:color w:val="0000FF"/>
                <w:w w:val="99"/>
              </w:rPr>
            </w:pPr>
            <w:hyperlink r:id="rId831">
              <w:r>
                <w:rPr>
                  <w:rFonts w:ascii="Times New Roman" w:cs="Times New Roman" w:eastAsia="Times New Roman" w:hAnsi="Times New Roman"/>
                  <w:sz w:val="18"/>
                  <w:szCs w:val="18"/>
                  <w:color w:val="0000FF"/>
                  <w:w w:val="99"/>
                </w:rPr>
                <w:t>Form of Time-Based Share Option Award Agreement under the Willis Group Holdings</w:t>
              </w:r>
            </w:hyperlink>
          </w:p>
        </w:tc>
        <w:tc>
          <w:tcPr>
            <w:tcW w:w="540" w:type="dxa"/>
            <w:vAlign w:val="bottom"/>
            <w:gridSpan w:val="13"/>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831">
              <w:r>
                <w:rPr>
                  <w:rFonts w:ascii="Times New Roman" w:cs="Times New Roman" w:eastAsia="Times New Roman" w:hAnsi="Times New Roman"/>
                  <w:sz w:val="18"/>
                  <w:szCs w:val="18"/>
                  <w:color w:val="0000FF"/>
                </w:rPr>
                <w:t>Public Limited Company 2012 Equity Incentive Plan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10.9†</w:t>
            </w:r>
          </w:p>
        </w:tc>
        <w:tc>
          <w:tcPr>
            <w:tcW w:w="140" w:type="dxa"/>
            <w:vAlign w:val="bottom"/>
            <w:tcBorders>
              <w:bottom w:val="single" w:sz="8" w:color="CFF0FC"/>
            </w:tcBorders>
            <w:shd w:val="clear" w:color="auto" w:fill="CFF0FC"/>
          </w:tcPr>
          <w:p>
            <w:pPr>
              <w:spacing w:after="0"/>
              <w:rPr>
                <w:sz w:val="16"/>
                <w:szCs w:val="16"/>
                <w:color w:val="auto"/>
              </w:rPr>
            </w:pPr>
          </w:p>
        </w:tc>
        <w:tc>
          <w:tcPr>
            <w:tcW w:w="6300" w:type="dxa"/>
            <w:vAlign w:val="bottom"/>
            <w:tcBorders>
              <w:bottom w:val="single" w:sz="8" w:color="0000FF"/>
            </w:tcBorders>
            <w:gridSpan w:val="17"/>
            <w:shd w:val="clear" w:color="auto" w:fill="CFF0FC"/>
          </w:tcPr>
          <w:p>
            <w:pPr>
              <w:spacing w:after="0" w:line="189" w:lineRule="exact"/>
              <w:rPr>
                <w:rFonts w:ascii="Times New Roman" w:cs="Times New Roman" w:eastAsia="Times New Roman" w:hAnsi="Times New Roman"/>
                <w:sz w:val="18"/>
                <w:szCs w:val="18"/>
                <w:color w:val="0000FF"/>
              </w:rPr>
            </w:pPr>
            <w:hyperlink r:id="rId832">
              <w:r>
                <w:rPr>
                  <w:rFonts w:ascii="Times New Roman" w:cs="Times New Roman" w:eastAsia="Times New Roman" w:hAnsi="Times New Roman"/>
                  <w:sz w:val="18"/>
                  <w:szCs w:val="18"/>
                  <w:color w:val="0000FF"/>
                </w:rPr>
                <w:t>Form of 2012 Equity Incentive Plan (As Amended and Restated) Restricted Share Unit</w:t>
              </w:r>
            </w:hyperlink>
          </w:p>
        </w:tc>
        <w:tc>
          <w:tcPr>
            <w:tcW w:w="560" w:type="dxa"/>
            <w:vAlign w:val="bottom"/>
            <w:tcBorders>
              <w:bottom w:val="single" w:sz="8" w:color="CFF0FC"/>
            </w:tcBorders>
            <w:gridSpan w:val="14"/>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24,</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380" w:type="dxa"/>
            <w:vAlign w:val="bottom"/>
            <w:tcBorders>
              <w:bottom w:val="single" w:sz="8" w:color="0000FF"/>
            </w:tcBorders>
            <w:gridSpan w:val="19"/>
            <w:shd w:val="clear" w:color="auto" w:fill="CFF0FC"/>
          </w:tcPr>
          <w:p>
            <w:pPr>
              <w:spacing w:after="0" w:line="195" w:lineRule="exact"/>
              <w:rPr>
                <w:rFonts w:ascii="Times New Roman" w:cs="Times New Roman" w:eastAsia="Times New Roman" w:hAnsi="Times New Roman"/>
                <w:sz w:val="18"/>
                <w:szCs w:val="18"/>
                <w:color w:val="0000FF"/>
                <w:w w:val="99"/>
              </w:rPr>
            </w:pPr>
            <w:hyperlink r:id="rId832">
              <w:r>
                <w:rPr>
                  <w:rFonts w:ascii="Times New Roman" w:cs="Times New Roman" w:eastAsia="Times New Roman" w:hAnsi="Times New Roman"/>
                  <w:sz w:val="18"/>
                  <w:szCs w:val="18"/>
                  <w:color w:val="0000FF"/>
                  <w:w w:val="99"/>
                </w:rPr>
                <w:t>Award Agreement for Non-Employee Directors under the Willis Group Holdings Public</w:t>
              </w:r>
            </w:hyperlink>
          </w:p>
        </w:tc>
        <w:tc>
          <w:tcPr>
            <w:tcW w:w="480" w:type="dxa"/>
            <w:vAlign w:val="bottom"/>
            <w:tcBorders>
              <w:bottom w:val="single" w:sz="8" w:color="CFF0FC"/>
            </w:tcBorders>
            <w:gridSpan w:val="12"/>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380" w:type="dxa"/>
            <w:vAlign w:val="bottom"/>
            <w:tcBorders>
              <w:bottom w:val="single" w:sz="8" w:color="0000EE"/>
            </w:tcBorders>
            <w:gridSpan w:val="6"/>
            <w:shd w:val="clear" w:color="auto" w:fill="CFF0FC"/>
          </w:tcPr>
          <w:p>
            <w:pPr>
              <w:spacing w:after="0" w:line="195" w:lineRule="exact"/>
              <w:rPr>
                <w:rFonts w:ascii="Times New Roman" w:cs="Times New Roman" w:eastAsia="Times New Roman" w:hAnsi="Times New Roman"/>
                <w:sz w:val="18"/>
                <w:szCs w:val="18"/>
                <w:color w:val="0000FF"/>
              </w:rPr>
            </w:pPr>
            <w:hyperlink r:id="rId832">
              <w:r>
                <w:rPr>
                  <w:rFonts w:ascii="Times New Roman" w:cs="Times New Roman" w:eastAsia="Times New Roman" w:hAnsi="Times New Roman"/>
                  <w:sz w:val="18"/>
                  <w:szCs w:val="18"/>
                  <w:color w:val="0000FF"/>
                </w:rPr>
                <w:t>Limited Company 2012 Equity Incentive Plan</w:t>
              </w:r>
            </w:hyperlink>
          </w:p>
        </w:tc>
        <w:tc>
          <w:tcPr>
            <w:tcW w:w="3480" w:type="dxa"/>
            <w:vAlign w:val="bottom"/>
            <w:tcBorders>
              <w:bottom w:val="single" w:sz="8" w:color="CFF0FC"/>
            </w:tcBorders>
            <w:gridSpan w:val="25"/>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6"/>
                <w:szCs w:val="16"/>
                <w:color w:val="auto"/>
              </w:rPr>
            </w:pPr>
          </w:p>
        </w:tc>
        <w:tc>
          <w:tcPr>
            <w:tcW w:w="6600" w:type="dxa"/>
            <w:vAlign w:val="bottom"/>
            <w:tcBorders>
              <w:bottom w:val="single" w:sz="8" w:color="0000FF"/>
            </w:tcBorders>
            <w:gridSpan w:val="27"/>
          </w:tcPr>
          <w:p>
            <w:pPr>
              <w:spacing w:after="0" w:line="189" w:lineRule="exact"/>
              <w:rPr>
                <w:rFonts w:ascii="Times New Roman" w:cs="Times New Roman" w:eastAsia="Times New Roman" w:hAnsi="Times New Roman"/>
                <w:sz w:val="18"/>
                <w:szCs w:val="18"/>
                <w:color w:val="0000FF"/>
              </w:rPr>
            </w:pPr>
            <w:hyperlink r:id="rId833">
              <w:r>
                <w:rPr>
                  <w:rFonts w:ascii="Times New Roman" w:cs="Times New Roman" w:eastAsia="Times New Roman" w:hAnsi="Times New Roman"/>
                  <w:sz w:val="18"/>
                  <w:szCs w:val="18"/>
                  <w:color w:val="0000FF"/>
                </w:rPr>
                <w:t>Rules of the Willis Group Holdings Public Limited Company 2012 Sharesave Sub-Plan for</w:t>
              </w:r>
            </w:hyperlink>
          </w:p>
        </w:tc>
        <w:tc>
          <w:tcPr>
            <w:tcW w:w="260" w:type="dxa"/>
            <w:vAlign w:val="bottom"/>
            <w:gridSpan w:val="4"/>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10.32</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6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833">
              <w:r>
                <w:rPr>
                  <w:rFonts w:ascii="Times New Roman" w:cs="Times New Roman" w:eastAsia="Times New Roman" w:hAnsi="Times New Roman"/>
                  <w:sz w:val="18"/>
                  <w:szCs w:val="18"/>
                  <w:color w:val="0000FF"/>
                </w:rPr>
                <w:t>the United Kingdom to the Willis Group Holdings Public Limited Company 2012 Equity</w:t>
              </w:r>
            </w:hyperlink>
          </w:p>
        </w:tc>
        <w:tc>
          <w:tcPr>
            <w:tcW w:w="40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833">
              <w:r>
                <w:rPr>
                  <w:rFonts w:ascii="Times New Roman" w:cs="Times New Roman" w:eastAsia="Times New Roman" w:hAnsi="Times New Roman"/>
                  <w:sz w:val="18"/>
                  <w:szCs w:val="18"/>
                  <w:color w:val="0000FF"/>
                </w:rPr>
                <w:t>Incentive Plan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10.11†</w:t>
            </w:r>
          </w:p>
        </w:tc>
        <w:tc>
          <w:tcPr>
            <w:tcW w:w="140" w:type="dxa"/>
            <w:vAlign w:val="bottom"/>
            <w:shd w:val="clear" w:color="auto" w:fill="CFF0FC"/>
          </w:tcPr>
          <w:p>
            <w:pPr>
              <w:spacing w:after="0"/>
              <w:rPr>
                <w:sz w:val="16"/>
                <w:szCs w:val="16"/>
                <w:color w:val="auto"/>
              </w:rPr>
            </w:pPr>
          </w:p>
        </w:tc>
        <w:tc>
          <w:tcPr>
            <w:tcW w:w="6860" w:type="dxa"/>
            <w:vAlign w:val="bottom"/>
            <w:gridSpan w:val="31"/>
            <w:shd w:val="clear" w:color="auto" w:fill="CFF0FC"/>
          </w:tcPr>
          <w:p>
            <w:pPr>
              <w:spacing w:after="0" w:line="189" w:lineRule="exact"/>
              <w:rPr>
                <w:rFonts w:ascii="Times New Roman" w:cs="Times New Roman" w:eastAsia="Times New Roman" w:hAnsi="Times New Roman"/>
                <w:sz w:val="18"/>
                <w:szCs w:val="18"/>
                <w:color w:val="0000FF"/>
              </w:rPr>
            </w:pPr>
            <w:hyperlink r:id="rId834">
              <w:r>
                <w:rPr>
                  <w:rFonts w:ascii="Times New Roman" w:cs="Times New Roman" w:eastAsia="Times New Roman" w:hAnsi="Times New Roman"/>
                  <w:sz w:val="18"/>
                  <w:szCs w:val="18"/>
                  <w:color w:val="0000FF"/>
                </w:rPr>
                <w:t>Amended and Restated Willis U.S. 2005 Deferred Compensation Plan</w:t>
              </w:r>
            </w:hyperlink>
          </w:p>
        </w:tc>
        <w:tc>
          <w:tcPr>
            <w:tcW w:w="5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7"/>
                <w:szCs w:val="17"/>
                <w:color w:val="auto"/>
              </w:rPr>
              <w:t>November 20,</w:t>
            </w:r>
          </w:p>
        </w:tc>
        <w:tc>
          <w:tcPr>
            <w:tcW w:w="12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0" w:type="dxa"/>
            <w:vAlign w:val="bottom"/>
            <w:tcBorders>
              <w:right w:val="single" w:sz="8" w:color="CFF0FC"/>
            </w:tcBorders>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0000FF"/>
            </w:tcBorders>
            <w:shd w:val="clear" w:color="auto" w:fill="CFF0FC"/>
          </w:tcPr>
          <w:p>
            <w:pPr>
              <w:spacing w:after="0"/>
              <w:rPr>
                <w:sz w:val="19"/>
                <w:szCs w:val="19"/>
                <w:color w:val="auto"/>
              </w:rPr>
            </w:pPr>
          </w:p>
        </w:tc>
        <w:tc>
          <w:tcPr>
            <w:tcW w:w="720" w:type="dxa"/>
            <w:vAlign w:val="bottom"/>
            <w:tcBorders>
              <w:top w:val="single" w:sz="8" w:color="0000FF"/>
            </w:tcBorders>
            <w:shd w:val="clear" w:color="auto" w:fill="CFF0FC"/>
          </w:tcPr>
          <w:p>
            <w:pPr>
              <w:spacing w:after="0"/>
              <w:rPr>
                <w:sz w:val="19"/>
                <w:szCs w:val="19"/>
                <w:color w:val="auto"/>
              </w:rPr>
            </w:pPr>
          </w:p>
        </w:tc>
        <w:tc>
          <w:tcPr>
            <w:tcW w:w="420" w:type="dxa"/>
            <w:vAlign w:val="bottom"/>
            <w:tcBorders>
              <w:top w:val="single" w:sz="8" w:color="0000FF"/>
            </w:tcBorders>
            <w:shd w:val="clear" w:color="auto" w:fill="CFF0FC"/>
          </w:tcPr>
          <w:p>
            <w:pPr>
              <w:spacing w:after="0"/>
              <w:rPr>
                <w:sz w:val="19"/>
                <w:szCs w:val="19"/>
                <w:color w:val="auto"/>
              </w:rPr>
            </w:pPr>
          </w:p>
        </w:tc>
        <w:tc>
          <w:tcPr>
            <w:tcW w:w="420" w:type="dxa"/>
            <w:vAlign w:val="bottom"/>
            <w:tcBorders>
              <w:top w:val="single" w:sz="8" w:color="0000FF"/>
            </w:tcBorders>
            <w:shd w:val="clear" w:color="auto" w:fill="CFF0FC"/>
          </w:tcPr>
          <w:p>
            <w:pPr>
              <w:spacing w:after="0"/>
              <w:rPr>
                <w:sz w:val="19"/>
                <w:szCs w:val="19"/>
                <w:color w:val="auto"/>
              </w:rPr>
            </w:pPr>
          </w:p>
        </w:tc>
        <w:tc>
          <w:tcPr>
            <w:tcW w:w="120" w:type="dxa"/>
            <w:vAlign w:val="bottom"/>
            <w:tcBorders>
              <w:top w:val="single" w:sz="8" w:color="0000FF"/>
            </w:tcBorders>
            <w:shd w:val="clear" w:color="auto" w:fill="CFF0FC"/>
          </w:tcPr>
          <w:p>
            <w:pPr>
              <w:spacing w:after="0"/>
              <w:rPr>
                <w:sz w:val="19"/>
                <w:szCs w:val="19"/>
                <w:color w:val="auto"/>
              </w:rPr>
            </w:pPr>
          </w:p>
        </w:tc>
        <w:tc>
          <w:tcPr>
            <w:tcW w:w="1380" w:type="dxa"/>
            <w:vAlign w:val="bottom"/>
            <w:tcBorders>
              <w:top w:val="single" w:sz="8" w:color="0000FF"/>
            </w:tcBorders>
            <w:shd w:val="clear" w:color="auto" w:fill="CFF0FC"/>
          </w:tcPr>
          <w:p>
            <w:pPr>
              <w:spacing w:after="0"/>
              <w:rPr>
                <w:sz w:val="19"/>
                <w:szCs w:val="19"/>
                <w:color w:val="auto"/>
              </w:rPr>
            </w:pPr>
          </w:p>
        </w:tc>
        <w:tc>
          <w:tcPr>
            <w:tcW w:w="220" w:type="dxa"/>
            <w:vAlign w:val="bottom"/>
            <w:tcBorders>
              <w:top w:val="single" w:sz="8" w:color="0000FF"/>
            </w:tcBorders>
            <w:shd w:val="clear" w:color="auto" w:fill="CFF0FC"/>
          </w:tcPr>
          <w:p>
            <w:pPr>
              <w:spacing w:after="0"/>
              <w:rPr>
                <w:sz w:val="19"/>
                <w:szCs w:val="19"/>
                <w:color w:val="auto"/>
              </w:rPr>
            </w:pPr>
          </w:p>
        </w:tc>
        <w:tc>
          <w:tcPr>
            <w:tcW w:w="220" w:type="dxa"/>
            <w:vAlign w:val="bottom"/>
            <w:tcBorders>
              <w:top w:val="single" w:sz="8" w:color="0000FF"/>
            </w:tcBorders>
            <w:shd w:val="clear" w:color="auto" w:fill="CFF0FC"/>
          </w:tcPr>
          <w:p>
            <w:pPr>
              <w:spacing w:after="0"/>
              <w:rPr>
                <w:sz w:val="19"/>
                <w:szCs w:val="19"/>
                <w:color w:val="auto"/>
              </w:rPr>
            </w:pPr>
          </w:p>
        </w:tc>
        <w:tc>
          <w:tcPr>
            <w:tcW w:w="720" w:type="dxa"/>
            <w:vAlign w:val="bottom"/>
            <w:tcBorders>
              <w:top w:val="single" w:sz="8" w:color="0000FF"/>
            </w:tcBorders>
            <w:shd w:val="clear" w:color="auto" w:fill="CFF0FC"/>
          </w:tcPr>
          <w:p>
            <w:pPr>
              <w:spacing w:after="0"/>
              <w:rPr>
                <w:sz w:val="19"/>
                <w:szCs w:val="19"/>
                <w:color w:val="auto"/>
              </w:rPr>
            </w:pPr>
          </w:p>
        </w:tc>
        <w:tc>
          <w:tcPr>
            <w:tcW w:w="200" w:type="dxa"/>
            <w:vAlign w:val="bottom"/>
            <w:tcBorders>
              <w:top w:val="single" w:sz="8" w:color="0000FF"/>
            </w:tcBorders>
            <w:shd w:val="clear" w:color="auto" w:fill="CFF0FC"/>
          </w:tcPr>
          <w:p>
            <w:pPr>
              <w:spacing w:after="0"/>
              <w:rPr>
                <w:sz w:val="19"/>
                <w:szCs w:val="19"/>
                <w:color w:val="auto"/>
              </w:rPr>
            </w:pPr>
          </w:p>
        </w:tc>
        <w:tc>
          <w:tcPr>
            <w:tcW w:w="300" w:type="dxa"/>
            <w:vAlign w:val="bottom"/>
            <w:tcBorders>
              <w:top w:val="single" w:sz="8" w:color="0000FF"/>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2009</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16"/>
                <w:szCs w:val="16"/>
                <w:color w:val="auto"/>
              </w:rPr>
            </w:pPr>
          </w:p>
        </w:tc>
        <w:tc>
          <w:tcPr>
            <w:tcW w:w="6480" w:type="dxa"/>
            <w:vAlign w:val="bottom"/>
            <w:tcBorders>
              <w:bottom w:val="single" w:sz="8" w:color="0000FF"/>
            </w:tcBorders>
            <w:gridSpan w:val="24"/>
          </w:tcPr>
          <w:p>
            <w:pPr>
              <w:spacing w:after="0" w:line="189" w:lineRule="exact"/>
              <w:rPr>
                <w:rFonts w:ascii="Times New Roman" w:cs="Times New Roman" w:eastAsia="Times New Roman" w:hAnsi="Times New Roman"/>
                <w:sz w:val="18"/>
                <w:szCs w:val="18"/>
                <w:color w:val="0000FF"/>
              </w:rPr>
            </w:pPr>
            <w:hyperlink r:id="rId835">
              <w:r>
                <w:rPr>
                  <w:rFonts w:ascii="Times New Roman" w:cs="Times New Roman" w:eastAsia="Times New Roman" w:hAnsi="Times New Roman"/>
                  <w:sz w:val="18"/>
                  <w:szCs w:val="18"/>
                  <w:color w:val="0000FF"/>
                </w:rPr>
                <w:t>First Amendment to the Amended and Restated Willis U.S. 2005 Deferred Compensation</w:t>
              </w:r>
            </w:hyperlink>
          </w:p>
        </w:tc>
        <w:tc>
          <w:tcPr>
            <w:tcW w:w="380" w:type="dxa"/>
            <w:vAlign w:val="bottom"/>
            <w:gridSpan w:val="7"/>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835">
              <w:r>
                <w:rPr>
                  <w:rFonts w:ascii="Times New Roman" w:cs="Times New Roman" w:eastAsia="Times New Roman" w:hAnsi="Times New Roman"/>
                  <w:sz w:val="18"/>
                  <w:szCs w:val="18"/>
                  <w:color w:val="0000FF"/>
                </w:rPr>
                <w:t>Plan, effective June 1, 2011</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40" w:type="dxa"/>
            <w:vAlign w:val="bottom"/>
            <w:tcBorders>
              <w:bottom w:val="single" w:sz="8" w:color="CFF0FC"/>
            </w:tcBorders>
            <w:shd w:val="clear" w:color="auto" w:fill="CFF0FC"/>
          </w:tcPr>
          <w:p>
            <w:pPr>
              <w:spacing w:after="0"/>
              <w:rPr>
                <w:sz w:val="16"/>
                <w:szCs w:val="16"/>
                <w:color w:val="auto"/>
              </w:rPr>
            </w:pPr>
          </w:p>
        </w:tc>
        <w:tc>
          <w:tcPr>
            <w:tcW w:w="6680" w:type="dxa"/>
            <w:vAlign w:val="bottom"/>
            <w:tcBorders>
              <w:bottom w:val="single" w:sz="8" w:color="0000FF"/>
            </w:tcBorders>
            <w:gridSpan w:val="29"/>
            <w:shd w:val="clear" w:color="auto" w:fill="CFF0FC"/>
          </w:tcPr>
          <w:p>
            <w:pPr>
              <w:spacing w:after="0" w:line="189" w:lineRule="exact"/>
              <w:rPr>
                <w:rFonts w:ascii="Times New Roman" w:cs="Times New Roman" w:eastAsia="Times New Roman" w:hAnsi="Times New Roman"/>
                <w:sz w:val="18"/>
                <w:szCs w:val="18"/>
                <w:color w:val="0000FF"/>
              </w:rPr>
            </w:pPr>
            <w:hyperlink r:id="rId836">
              <w:r>
                <w:rPr>
                  <w:rFonts w:ascii="Times New Roman" w:cs="Times New Roman" w:eastAsia="Times New Roman" w:hAnsi="Times New Roman"/>
                  <w:sz w:val="18"/>
                  <w:szCs w:val="18"/>
                  <w:color w:val="0000FF"/>
                </w:rPr>
                <w:t>Second Amendment to the Amended and Restated Willis U.S. 2005 Deferred Compensation</w:t>
              </w:r>
            </w:hyperlink>
          </w:p>
        </w:tc>
        <w:tc>
          <w:tcPr>
            <w:tcW w:w="180" w:type="dxa"/>
            <w:vAlign w:val="bottom"/>
            <w:tcBorders>
              <w:bottom w:val="single" w:sz="8" w:color="CFF0FC"/>
            </w:tcBorders>
            <w:gridSpan w:val="2"/>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November 5,</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836">
              <w:r>
                <w:rPr>
                  <w:rFonts w:ascii="Times New Roman" w:cs="Times New Roman" w:eastAsia="Times New Roman" w:hAnsi="Times New Roman"/>
                  <w:sz w:val="18"/>
                  <w:szCs w:val="18"/>
                  <w:color w:val="0000FF"/>
                </w:rPr>
                <w:t>Plan</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3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6"/>
                <w:szCs w:val="16"/>
                <w:color w:val="auto"/>
              </w:rPr>
            </w:pPr>
          </w:p>
        </w:tc>
        <w:tc>
          <w:tcPr>
            <w:tcW w:w="6660" w:type="dxa"/>
            <w:vAlign w:val="bottom"/>
            <w:tcBorders>
              <w:bottom w:val="single" w:sz="8" w:color="0000FF"/>
            </w:tcBorders>
            <w:gridSpan w:val="28"/>
          </w:tcPr>
          <w:p>
            <w:pPr>
              <w:spacing w:after="0" w:line="189" w:lineRule="exact"/>
              <w:rPr>
                <w:rFonts w:ascii="Times New Roman" w:cs="Times New Roman" w:eastAsia="Times New Roman" w:hAnsi="Times New Roman"/>
                <w:sz w:val="18"/>
                <w:szCs w:val="18"/>
                <w:color w:val="0000FF"/>
              </w:rPr>
            </w:pPr>
            <w:hyperlink r:id="rId837">
              <w:r>
                <w:rPr>
                  <w:rFonts w:ascii="Times New Roman" w:cs="Times New Roman" w:eastAsia="Times New Roman" w:hAnsi="Times New Roman"/>
                  <w:sz w:val="18"/>
                  <w:szCs w:val="18"/>
                  <w:color w:val="0000FF"/>
                </w:rPr>
                <w:t>Amendment 2017-1 to the Amended and Restated Willis U.S. 2005 Deferred Compensation</w:t>
              </w:r>
            </w:hyperlink>
          </w:p>
        </w:tc>
        <w:tc>
          <w:tcPr>
            <w:tcW w:w="200" w:type="dxa"/>
            <w:vAlign w:val="bottom"/>
            <w:gridSpan w:val="3"/>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10.34</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837">
              <w:r>
                <w:rPr>
                  <w:rFonts w:ascii="Times New Roman" w:cs="Times New Roman" w:eastAsia="Times New Roman" w:hAnsi="Times New Roman"/>
                  <w:sz w:val="18"/>
                  <w:szCs w:val="18"/>
                  <w:color w:val="0000FF"/>
                </w:rPr>
                <w:t>Plan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40" w:type="dxa"/>
            <w:vAlign w:val="bottom"/>
            <w:tcBorders>
              <w:bottom w:val="single" w:sz="8" w:color="CFF0FC"/>
            </w:tcBorders>
            <w:shd w:val="clear" w:color="auto" w:fill="CFF0FC"/>
          </w:tcPr>
          <w:p>
            <w:pPr>
              <w:spacing w:after="0"/>
              <w:rPr>
                <w:sz w:val="16"/>
                <w:szCs w:val="16"/>
                <w:color w:val="auto"/>
              </w:rPr>
            </w:pPr>
          </w:p>
        </w:tc>
        <w:tc>
          <w:tcPr>
            <w:tcW w:w="6660" w:type="dxa"/>
            <w:vAlign w:val="bottom"/>
            <w:tcBorders>
              <w:bottom w:val="single" w:sz="8" w:color="0000FF"/>
            </w:tcBorders>
            <w:gridSpan w:val="28"/>
            <w:shd w:val="clear" w:color="auto" w:fill="CFF0FC"/>
          </w:tcPr>
          <w:p>
            <w:pPr>
              <w:spacing w:after="0" w:line="189" w:lineRule="exact"/>
              <w:rPr>
                <w:rFonts w:ascii="Times New Roman" w:cs="Times New Roman" w:eastAsia="Times New Roman" w:hAnsi="Times New Roman"/>
                <w:sz w:val="18"/>
                <w:szCs w:val="18"/>
                <w:color w:val="0000FF"/>
              </w:rPr>
            </w:pPr>
            <w:hyperlink r:id="rId838">
              <w:r>
                <w:rPr>
                  <w:rFonts w:ascii="Times New Roman" w:cs="Times New Roman" w:eastAsia="Times New Roman" w:hAnsi="Times New Roman"/>
                  <w:sz w:val="18"/>
                  <w:szCs w:val="18"/>
                  <w:color w:val="0000FF"/>
                </w:rPr>
                <w:t>Amendment 2019-1 to the Amended and Restated Willis U.S. 2005 Deferred Compensation</w:t>
              </w:r>
            </w:hyperlink>
          </w:p>
        </w:tc>
        <w:tc>
          <w:tcPr>
            <w:tcW w:w="200" w:type="dxa"/>
            <w:vAlign w:val="bottom"/>
            <w:tcBorders>
              <w:bottom w:val="single" w:sz="8" w:color="CFF0FC"/>
            </w:tcBorders>
            <w:gridSpan w:val="3"/>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November 1,</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838">
              <w:r>
                <w:rPr>
                  <w:rFonts w:ascii="Times New Roman" w:cs="Times New Roman" w:eastAsia="Times New Roman" w:hAnsi="Times New Roman"/>
                  <w:sz w:val="18"/>
                  <w:szCs w:val="18"/>
                  <w:color w:val="0000FF"/>
                </w:rPr>
                <w:t>Plan</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3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6"/>
                <w:szCs w:val="16"/>
                <w:color w:val="auto"/>
              </w:rPr>
            </w:pPr>
          </w:p>
        </w:tc>
        <w:tc>
          <w:tcPr>
            <w:tcW w:w="6860" w:type="dxa"/>
            <w:vAlign w:val="bottom"/>
            <w:gridSpan w:val="31"/>
          </w:tcPr>
          <w:p>
            <w:pPr>
              <w:spacing w:after="0" w:line="189" w:lineRule="exact"/>
              <w:rPr>
                <w:rFonts w:ascii="Times New Roman" w:cs="Times New Roman" w:eastAsia="Times New Roman" w:hAnsi="Times New Roman"/>
                <w:sz w:val="18"/>
                <w:szCs w:val="18"/>
                <w:color w:val="0000FF"/>
              </w:rPr>
            </w:pPr>
            <w:hyperlink r:id="rId839">
              <w:r>
                <w:rPr>
                  <w:rFonts w:ascii="Times New Roman" w:cs="Times New Roman" w:eastAsia="Times New Roman" w:hAnsi="Times New Roman"/>
                  <w:sz w:val="18"/>
                  <w:szCs w:val="18"/>
                  <w:color w:val="0000FF"/>
                </w:rPr>
                <w:t>Form of Deed of Indemnity of Willis Towers Watson Public Limited Company</w:t>
              </w:r>
            </w:hyperlink>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January 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3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rPr>
              <w:t>10.17†</w:t>
            </w: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840">
              <w:r>
                <w:rPr>
                  <w:rFonts w:ascii="Times New Roman" w:cs="Times New Roman" w:eastAsia="Times New Roman" w:hAnsi="Times New Roman"/>
                  <w:sz w:val="18"/>
                  <w:szCs w:val="18"/>
                  <w:color w:val="0000FF"/>
                </w:rPr>
                <w:t>Form of Indemnification Agreement of Willis North America Inc.</w:t>
              </w:r>
            </w:hyperlink>
          </w:p>
        </w:tc>
        <w:tc>
          <w:tcPr>
            <w:tcW w:w="54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shd w:val="clear" w:color="auto" w:fill="CFF0FC"/>
          </w:tcPr>
          <w:p>
            <w:pPr>
              <w:jc w:val="center"/>
              <w:ind w:left="50"/>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3"/>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January 5,</w:t>
            </w: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 w:type="dxa"/>
            <w:vAlign w:val="bottom"/>
            <w:tcBorders>
              <w:right w:val="single" w:sz="8" w:color="CFF0FC"/>
            </w:tcBorders>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0000FF"/>
            </w:tcBorders>
            <w:shd w:val="clear" w:color="auto" w:fill="CFF0FC"/>
          </w:tcPr>
          <w:p>
            <w:pPr>
              <w:spacing w:after="0"/>
              <w:rPr>
                <w:sz w:val="21"/>
                <w:szCs w:val="21"/>
                <w:color w:val="auto"/>
              </w:rPr>
            </w:pPr>
          </w:p>
        </w:tc>
        <w:tc>
          <w:tcPr>
            <w:tcW w:w="720" w:type="dxa"/>
            <w:vAlign w:val="bottom"/>
            <w:tcBorders>
              <w:top w:val="single" w:sz="8" w:color="0000FF"/>
            </w:tcBorders>
            <w:shd w:val="clear" w:color="auto" w:fill="CFF0FC"/>
          </w:tcPr>
          <w:p>
            <w:pPr>
              <w:spacing w:after="0"/>
              <w:rPr>
                <w:sz w:val="21"/>
                <w:szCs w:val="21"/>
                <w:color w:val="auto"/>
              </w:rPr>
            </w:pPr>
          </w:p>
        </w:tc>
        <w:tc>
          <w:tcPr>
            <w:tcW w:w="420" w:type="dxa"/>
            <w:vAlign w:val="bottom"/>
            <w:tcBorders>
              <w:top w:val="single" w:sz="8" w:color="0000FF"/>
            </w:tcBorders>
            <w:shd w:val="clear" w:color="auto" w:fill="CFF0FC"/>
          </w:tcPr>
          <w:p>
            <w:pPr>
              <w:spacing w:after="0"/>
              <w:rPr>
                <w:sz w:val="21"/>
                <w:szCs w:val="21"/>
                <w:color w:val="auto"/>
              </w:rPr>
            </w:pPr>
          </w:p>
        </w:tc>
        <w:tc>
          <w:tcPr>
            <w:tcW w:w="420" w:type="dxa"/>
            <w:vAlign w:val="bottom"/>
            <w:tcBorders>
              <w:top w:val="single" w:sz="8" w:color="0000FF"/>
            </w:tcBorders>
            <w:shd w:val="clear" w:color="auto" w:fill="CFF0FC"/>
          </w:tcPr>
          <w:p>
            <w:pPr>
              <w:spacing w:after="0"/>
              <w:rPr>
                <w:sz w:val="21"/>
                <w:szCs w:val="21"/>
                <w:color w:val="auto"/>
              </w:rPr>
            </w:pPr>
          </w:p>
        </w:tc>
        <w:tc>
          <w:tcPr>
            <w:tcW w:w="120" w:type="dxa"/>
            <w:vAlign w:val="bottom"/>
            <w:tcBorders>
              <w:top w:val="single" w:sz="8" w:color="0000FF"/>
            </w:tcBorders>
            <w:shd w:val="clear" w:color="auto" w:fill="CFF0FC"/>
          </w:tcPr>
          <w:p>
            <w:pPr>
              <w:spacing w:after="0"/>
              <w:rPr>
                <w:sz w:val="21"/>
                <w:szCs w:val="21"/>
                <w:color w:val="auto"/>
              </w:rPr>
            </w:pPr>
          </w:p>
        </w:tc>
        <w:tc>
          <w:tcPr>
            <w:tcW w:w="138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720" w:type="dxa"/>
            <w:vAlign w:val="bottom"/>
            <w:tcBorders>
              <w:top w:val="single" w:sz="8" w:color="0000FF"/>
            </w:tcBorders>
            <w:shd w:val="clear" w:color="auto" w:fill="CFF0FC"/>
          </w:tcPr>
          <w:p>
            <w:pPr>
              <w:spacing w:after="0"/>
              <w:rPr>
                <w:sz w:val="21"/>
                <w:szCs w:val="21"/>
                <w:color w:val="auto"/>
              </w:rPr>
            </w:pPr>
          </w:p>
        </w:tc>
        <w:tc>
          <w:tcPr>
            <w:tcW w:w="200" w:type="dxa"/>
            <w:vAlign w:val="bottom"/>
            <w:tcBorders>
              <w:top w:val="single" w:sz="8" w:color="0000FF"/>
            </w:tcBorders>
            <w:shd w:val="clear" w:color="auto" w:fill="CFF0FC"/>
          </w:tcPr>
          <w:p>
            <w:pPr>
              <w:spacing w:after="0"/>
              <w:rPr>
                <w:sz w:val="21"/>
                <w:szCs w:val="21"/>
                <w:color w:val="auto"/>
              </w:rPr>
            </w:pPr>
          </w:p>
        </w:tc>
        <w:tc>
          <w:tcPr>
            <w:tcW w:w="300" w:type="dxa"/>
            <w:vAlign w:val="bottom"/>
            <w:tcBorders>
              <w:top w:val="single" w:sz="8" w:color="CFF0FC"/>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CFF0FC"/>
            </w:tcBorders>
            <w:shd w:val="clear" w:color="auto" w:fill="CFF0FC"/>
          </w:tcPr>
          <w:p>
            <w:pPr>
              <w:spacing w:after="0"/>
              <w:rPr>
                <w:sz w:val="21"/>
                <w:szCs w:val="21"/>
                <w:color w:val="auto"/>
              </w:rPr>
            </w:pPr>
          </w:p>
        </w:tc>
        <w:tc>
          <w:tcPr>
            <w:tcW w:w="200" w:type="dxa"/>
            <w:vAlign w:val="bottom"/>
            <w:tcBorders>
              <w:top w:val="single" w:sz="8" w:color="CFF0FC"/>
            </w:tcBorders>
            <w:shd w:val="clear" w:color="auto" w:fill="CFF0FC"/>
          </w:tcPr>
          <w:p>
            <w:pPr>
              <w:spacing w:after="0"/>
              <w:rPr>
                <w:sz w:val="21"/>
                <w:szCs w:val="21"/>
                <w:color w:val="auto"/>
              </w:rPr>
            </w:pPr>
          </w:p>
        </w:tc>
        <w:tc>
          <w:tcPr>
            <w:tcW w:w="40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440" w:type="dxa"/>
            <w:vAlign w:val="bottom"/>
            <w:tcBorders>
              <w:top w:val="single" w:sz="8" w:color="CFF0FC"/>
            </w:tcBorders>
            <w:shd w:val="clear" w:color="auto" w:fill="CFF0FC"/>
          </w:tcPr>
          <w:p>
            <w:pPr>
              <w:spacing w:after="0"/>
              <w:rPr>
                <w:sz w:val="21"/>
                <w:szCs w:val="21"/>
                <w:color w:val="auto"/>
              </w:rPr>
            </w:pPr>
          </w:p>
        </w:tc>
        <w:tc>
          <w:tcPr>
            <w:tcW w:w="1200" w:type="dxa"/>
            <w:vAlign w:val="bottom"/>
            <w:tcBorders>
              <w:top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60" w:type="dxa"/>
            <w:vAlign w:val="bottom"/>
            <w:tcBorders>
              <w:top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7"/>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60" w:type="dxa"/>
            <w:vAlign w:val="bottom"/>
            <w:gridSpan w:val="2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20" w:type="dxa"/>
            <w:vAlign w:val="bottom"/>
          </w:tcPr>
          <w:p>
            <w:pPr>
              <w:spacing w:after="0"/>
              <w:rPr>
                <w:sz w:val="11"/>
                <w:szCs w:val="11"/>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60" w:type="dxa"/>
            <w:vAlign w:val="bottom"/>
            <w:gridSpan w:val="25"/>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7620" w:type="dxa"/>
            <w:vAlign w:val="bottom"/>
            <w:gridSpan w:val="34"/>
          </w:tcPr>
          <w:p>
            <w:pPr>
              <w:ind w:left="60"/>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10.18†   </w:t>
            </w:r>
            <w:hyperlink r:id="rId843">
              <w:r>
                <w:rPr>
                  <w:rFonts w:ascii="Times New Roman" w:cs="Times New Roman" w:eastAsia="Times New Roman" w:hAnsi="Times New Roman"/>
                  <w:sz w:val="18"/>
                  <w:szCs w:val="18"/>
                  <w:color w:val="0000FF"/>
                </w:rPr>
                <w:t>Willis Towers Watson Public Limited Company Compensation Policy and Share Ownership</w:t>
              </w:r>
            </w:hyperlink>
          </w:p>
        </w:tc>
        <w:tc>
          <w:tcPr>
            <w:tcW w:w="20" w:type="dxa"/>
            <w:vAlign w:val="bottom"/>
          </w:tcPr>
          <w:p>
            <w:pPr>
              <w:spacing w:after="0"/>
              <w:rPr>
                <w:sz w:val="17"/>
                <w:szCs w:val="17"/>
                <w:color w:val="auto"/>
              </w:rPr>
            </w:pPr>
          </w:p>
        </w:tc>
        <w:tc>
          <w:tcPr>
            <w:tcW w:w="5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gridSpan w:val="3"/>
          </w:tcPr>
          <w:p>
            <w:pPr>
              <w:ind w:left="120"/>
              <w:spacing w:after="0" w:line="195" w:lineRule="exact"/>
              <w:rPr>
                <w:sz w:val="20"/>
                <w:szCs w:val="20"/>
                <w:color w:val="auto"/>
              </w:rPr>
            </w:pPr>
            <w:r>
              <w:rPr>
                <w:rFonts w:ascii="Times New Roman" w:cs="Times New Roman" w:eastAsia="Times New Roman" w:hAnsi="Times New Roman"/>
                <w:sz w:val="18"/>
                <w:szCs w:val="18"/>
                <w:color w:val="auto"/>
              </w:rPr>
              <w:t>July 28, 2022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80" w:type="dxa"/>
            <w:vAlign w:val="bottom"/>
            <w:tcBorders>
              <w:top w:val="single" w:sz="8" w:color="0000FF"/>
            </w:tcBorders>
            <w:gridSpan w:val="29"/>
          </w:tcPr>
          <w:p>
            <w:pPr>
              <w:spacing w:after="0" w:line="195" w:lineRule="exact"/>
              <w:rPr>
                <w:rFonts w:ascii="Times New Roman" w:cs="Times New Roman" w:eastAsia="Times New Roman" w:hAnsi="Times New Roman"/>
                <w:sz w:val="18"/>
                <w:szCs w:val="18"/>
                <w:color w:val="0000FF"/>
              </w:rPr>
            </w:pPr>
            <w:hyperlink r:id="rId843">
              <w:r>
                <w:rPr>
                  <w:rFonts w:ascii="Times New Roman" w:cs="Times New Roman" w:eastAsia="Times New Roman" w:hAnsi="Times New Roman"/>
                  <w:sz w:val="18"/>
                  <w:szCs w:val="18"/>
                  <w:color w:val="0000FF"/>
                </w:rPr>
                <w:t>Guidelines for Non-Employee Directors (as amended May 2022)</w:t>
              </w:r>
            </w:hyperlink>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4"/>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10.19†   </w:t>
            </w:r>
            <w:hyperlink r:id="rId844">
              <w:r>
                <w:rPr>
                  <w:rFonts w:ascii="Times New Roman" w:cs="Times New Roman" w:eastAsia="Times New Roman" w:hAnsi="Times New Roman"/>
                  <w:sz w:val="18"/>
                  <w:szCs w:val="18"/>
                  <w:color w:val="0000FF"/>
                </w:rPr>
                <w:t>Offer Letter, dated as of August 26, 2021, by and between Willis Towers Watson US LLC</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October 28,</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520" w:type="dxa"/>
            <w:vAlign w:val="bottom"/>
            <w:tcBorders>
              <w:top w:val="single" w:sz="8" w:color="0000FF"/>
            </w:tcBorders>
            <w:gridSpan w:val="25"/>
            <w:shd w:val="clear" w:color="auto" w:fill="CFF0FC"/>
          </w:tcPr>
          <w:p>
            <w:pPr>
              <w:spacing w:after="0" w:line="195" w:lineRule="exact"/>
              <w:rPr>
                <w:rFonts w:ascii="Times New Roman" w:cs="Times New Roman" w:eastAsia="Times New Roman" w:hAnsi="Times New Roman"/>
                <w:sz w:val="18"/>
                <w:szCs w:val="18"/>
                <w:color w:val="0000FF"/>
              </w:rPr>
            </w:pPr>
            <w:hyperlink r:id="rId844">
              <w:r>
                <w:rPr>
                  <w:rFonts w:ascii="Times New Roman" w:cs="Times New Roman" w:eastAsia="Times New Roman" w:hAnsi="Times New Roman"/>
                  <w:sz w:val="18"/>
                  <w:szCs w:val="18"/>
                  <w:color w:val="0000FF"/>
                </w:rPr>
                <w:t>and Andrew Krasner</w:t>
              </w:r>
            </w:hyperlink>
          </w:p>
        </w:tc>
        <w:tc>
          <w:tcPr>
            <w:tcW w:w="320" w:type="dxa"/>
            <w:vAlign w:val="bottom"/>
            <w:tcBorders>
              <w:top w:val="single" w:sz="8" w:color="CFF0FC"/>
            </w:tcBorders>
            <w:gridSpan w:val="7"/>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CFF0FC"/>
            </w:tcBorders>
            <w:gridSpan w:val="2"/>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4"/>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10.20†   </w:t>
            </w:r>
            <w:hyperlink r:id="rId845">
              <w:r>
                <w:rPr>
                  <w:rFonts w:ascii="Times New Roman" w:cs="Times New Roman" w:eastAsia="Times New Roman" w:hAnsi="Times New Roman"/>
                  <w:sz w:val="18"/>
                  <w:szCs w:val="18"/>
                  <w:color w:val="0000FF"/>
                </w:rPr>
                <w:t>Time-Based Restricted Share Unit Award Agreement, dated as of September 7, 2021, by and</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October 28,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20" w:type="dxa"/>
            <w:vAlign w:val="bottom"/>
            <w:tcBorders>
              <w:top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845">
              <w:r>
                <w:rPr>
                  <w:rFonts w:ascii="Times New Roman" w:cs="Times New Roman" w:eastAsia="Times New Roman" w:hAnsi="Times New Roman"/>
                  <w:sz w:val="18"/>
                  <w:szCs w:val="18"/>
                  <w:color w:val="0000FF"/>
                </w:rPr>
                <w:t>between Willis Towers Watson Public Limited Company and Andrew Krasner</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4"/>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10.21†   </w:t>
            </w:r>
            <w:hyperlink r:id="rId846">
              <w:r>
                <w:rPr>
                  <w:rFonts w:ascii="Times New Roman" w:cs="Times New Roman" w:eastAsia="Times New Roman" w:hAnsi="Times New Roman"/>
                  <w:sz w:val="18"/>
                  <w:szCs w:val="18"/>
                  <w:color w:val="0000FF"/>
                </w:rPr>
                <w:t>Employment Agreement, dated as of February 25, 2015, by and between Willis Group</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10.45</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24,</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120" w:type="dxa"/>
            <w:vAlign w:val="bottom"/>
            <w:tcBorders>
              <w:top w:val="single" w:sz="8" w:color="0000FF"/>
              <w:bottom w:val="single" w:sz="8" w:color="0000FF"/>
            </w:tcBorders>
            <w:gridSpan w:val="10"/>
            <w:shd w:val="clear" w:color="auto" w:fill="CFF0FC"/>
          </w:tcPr>
          <w:p>
            <w:pPr>
              <w:spacing w:after="0" w:line="195" w:lineRule="exact"/>
              <w:rPr>
                <w:rFonts w:ascii="Times New Roman" w:cs="Times New Roman" w:eastAsia="Times New Roman" w:hAnsi="Times New Roman"/>
                <w:sz w:val="18"/>
                <w:szCs w:val="18"/>
                <w:color w:val="0000FF"/>
                <w:w w:val="99"/>
              </w:rPr>
            </w:pPr>
            <w:hyperlink r:id="rId846">
              <w:r>
                <w:rPr>
                  <w:rFonts w:ascii="Times New Roman" w:cs="Times New Roman" w:eastAsia="Times New Roman" w:hAnsi="Times New Roman"/>
                  <w:sz w:val="18"/>
                  <w:szCs w:val="18"/>
                  <w:color w:val="0000FF"/>
                  <w:w w:val="99"/>
                </w:rPr>
                <w:t>Holdings Public Limited Company and Matthew Furman</w:t>
              </w:r>
            </w:hyperlink>
          </w:p>
        </w:tc>
        <w:tc>
          <w:tcPr>
            <w:tcW w:w="2140" w:type="dxa"/>
            <w:vAlign w:val="bottom"/>
            <w:tcBorders>
              <w:top w:val="single" w:sz="8" w:color="0000FF"/>
              <w:bottom w:val="single" w:sz="8" w:color="CFF0FC"/>
            </w:tcBorders>
            <w:gridSpan w:val="9"/>
            <w:shd w:val="clear" w:color="auto" w:fill="CFF0FC"/>
          </w:tcPr>
          <w:p>
            <w:pPr>
              <w:spacing w:after="0"/>
              <w:rPr>
                <w:sz w:val="19"/>
                <w:szCs w:val="19"/>
                <w:color w:val="auto"/>
              </w:rPr>
            </w:pPr>
          </w:p>
        </w:tc>
        <w:tc>
          <w:tcPr>
            <w:tcW w:w="580" w:type="dxa"/>
            <w:vAlign w:val="bottom"/>
            <w:tcBorders>
              <w:top w:val="single" w:sz="8" w:color="CFF0FC"/>
              <w:bottom w:val="single" w:sz="8" w:color="CFF0FC"/>
            </w:tcBorders>
            <w:gridSpan w:val="13"/>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gridSpan w:val="2"/>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4"/>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w:t>
            </w:r>
            <w:hyperlink r:id="rId847">
              <w:r>
                <w:rPr>
                  <w:rFonts w:ascii="Times New Roman" w:cs="Times New Roman" w:eastAsia="Times New Roman" w:hAnsi="Times New Roman"/>
                  <w:sz w:val="18"/>
                  <w:szCs w:val="18"/>
                  <w:color w:val="0000FF"/>
                </w:rPr>
                <w:t>Contract of Employment, dated May 11, 2009, by and between Willis Limited and Adam</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10.21</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24,</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60" w:type="dxa"/>
            <w:vAlign w:val="bottom"/>
            <w:tcBorders>
              <w:top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847">
              <w:r>
                <w:rPr>
                  <w:rFonts w:ascii="Times New Roman" w:cs="Times New Roman" w:eastAsia="Times New Roman" w:hAnsi="Times New Roman"/>
                  <w:sz w:val="18"/>
                  <w:szCs w:val="18"/>
                  <w:color w:val="0000FF"/>
                </w:rPr>
                <w:t>Garrard</w:t>
              </w:r>
            </w:hyperlink>
          </w:p>
        </w:tc>
        <w:tc>
          <w:tcPr>
            <w:tcW w:w="3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4"/>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10.23†   </w:t>
            </w:r>
            <w:hyperlink r:id="rId848">
              <w:r>
                <w:rPr>
                  <w:rFonts w:ascii="Times New Roman" w:cs="Times New Roman" w:eastAsia="Times New Roman" w:hAnsi="Times New Roman"/>
                  <w:sz w:val="18"/>
                  <w:szCs w:val="18"/>
                  <w:color w:val="0000FF"/>
                </w:rPr>
                <w:t>Form of Retention Agreement</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5,</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 w:type="dxa"/>
            <w:vAlign w:val="bottom"/>
            <w:tcBorders>
              <w:right w:val="single" w:sz="8" w:color="CFF0FC"/>
            </w:tcBorders>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0000FF"/>
            </w:tcBorders>
            <w:shd w:val="clear" w:color="auto" w:fill="CFF0FC"/>
          </w:tcPr>
          <w:p>
            <w:pPr>
              <w:spacing w:after="0"/>
              <w:rPr>
                <w:sz w:val="21"/>
                <w:szCs w:val="21"/>
                <w:color w:val="auto"/>
              </w:rPr>
            </w:pPr>
          </w:p>
        </w:tc>
        <w:tc>
          <w:tcPr>
            <w:tcW w:w="360" w:type="dxa"/>
            <w:vAlign w:val="bottom"/>
            <w:tcBorders>
              <w:top w:val="single" w:sz="8" w:color="0000FF"/>
            </w:tcBorders>
            <w:shd w:val="clear" w:color="auto" w:fill="CFF0FC"/>
          </w:tcPr>
          <w:p>
            <w:pPr>
              <w:spacing w:after="0"/>
              <w:rPr>
                <w:sz w:val="21"/>
                <w:szCs w:val="21"/>
                <w:color w:val="auto"/>
              </w:rPr>
            </w:pPr>
          </w:p>
        </w:tc>
        <w:tc>
          <w:tcPr>
            <w:tcW w:w="240" w:type="dxa"/>
            <w:vAlign w:val="bottom"/>
            <w:tcBorders>
              <w:top w:val="single" w:sz="8" w:color="0000FF"/>
            </w:tcBorders>
            <w:shd w:val="clear" w:color="auto" w:fill="CFF0FC"/>
          </w:tcPr>
          <w:p>
            <w:pPr>
              <w:spacing w:after="0"/>
              <w:rPr>
                <w:sz w:val="21"/>
                <w:szCs w:val="21"/>
                <w:color w:val="auto"/>
              </w:rPr>
            </w:pPr>
          </w:p>
        </w:tc>
        <w:tc>
          <w:tcPr>
            <w:tcW w:w="340" w:type="dxa"/>
            <w:vAlign w:val="bottom"/>
            <w:tcBorders>
              <w:top w:val="single" w:sz="8" w:color="0000FF"/>
            </w:tcBorders>
            <w:shd w:val="clear" w:color="auto" w:fill="CFF0FC"/>
          </w:tcPr>
          <w:p>
            <w:pPr>
              <w:spacing w:after="0"/>
              <w:rPr>
                <w:sz w:val="21"/>
                <w:szCs w:val="21"/>
                <w:color w:val="auto"/>
              </w:rPr>
            </w:pPr>
          </w:p>
        </w:tc>
        <w:tc>
          <w:tcPr>
            <w:tcW w:w="60" w:type="dxa"/>
            <w:vAlign w:val="bottom"/>
            <w:tcBorders>
              <w:top w:val="single" w:sz="8" w:color="0000FF"/>
            </w:tcBorders>
            <w:shd w:val="clear" w:color="auto" w:fill="CFF0FC"/>
          </w:tcPr>
          <w:p>
            <w:pPr>
              <w:spacing w:after="0"/>
              <w:rPr>
                <w:sz w:val="21"/>
                <w:szCs w:val="21"/>
                <w:color w:val="auto"/>
              </w:rPr>
            </w:pPr>
          </w:p>
        </w:tc>
        <w:tc>
          <w:tcPr>
            <w:tcW w:w="40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128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CFF0FC"/>
            </w:tcBorders>
            <w:shd w:val="clear" w:color="auto" w:fill="CFF0FC"/>
          </w:tcPr>
          <w:p>
            <w:pPr>
              <w:spacing w:after="0"/>
              <w:rPr>
                <w:sz w:val="21"/>
                <w:szCs w:val="21"/>
                <w:color w:val="auto"/>
              </w:rPr>
            </w:pPr>
          </w:p>
        </w:tc>
        <w:tc>
          <w:tcPr>
            <w:tcW w:w="480" w:type="dxa"/>
            <w:vAlign w:val="bottom"/>
            <w:tcBorders>
              <w:top w:val="single" w:sz="8" w:color="CFF0FC"/>
            </w:tcBorders>
            <w:shd w:val="clear" w:color="auto" w:fill="CFF0FC"/>
          </w:tcPr>
          <w:p>
            <w:pPr>
              <w:spacing w:after="0"/>
              <w:rPr>
                <w:sz w:val="21"/>
                <w:szCs w:val="21"/>
                <w:color w:val="auto"/>
              </w:rPr>
            </w:pPr>
          </w:p>
        </w:tc>
        <w:tc>
          <w:tcPr>
            <w:tcW w:w="48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5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CFF0FC"/>
            </w:tcBorders>
            <w:shd w:val="clear" w:color="auto" w:fill="CFF0FC"/>
          </w:tcPr>
          <w:p>
            <w:pPr>
              <w:spacing w:after="0"/>
              <w:rPr>
                <w:sz w:val="21"/>
                <w:szCs w:val="21"/>
                <w:color w:val="auto"/>
              </w:rPr>
            </w:pPr>
          </w:p>
        </w:tc>
        <w:tc>
          <w:tcPr>
            <w:tcW w:w="126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40" w:type="dxa"/>
            <w:vAlign w:val="bottom"/>
            <w:tcBorders>
              <w:top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4"/>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10.24†   </w:t>
            </w:r>
            <w:hyperlink r:id="rId849">
              <w:r>
                <w:rPr>
                  <w:rFonts w:ascii="Times New Roman" w:cs="Times New Roman" w:eastAsia="Times New Roman" w:hAnsi="Times New Roman"/>
                  <w:sz w:val="18"/>
                  <w:szCs w:val="18"/>
                  <w:color w:val="0000FF"/>
                </w:rPr>
                <w:t>Towers Watson Amended and Restated 2009 Long Term Incentive Plan</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S-8</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January 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0" w:type="dxa"/>
            <w:vAlign w:val="bottom"/>
            <w:tcBorders>
              <w:right w:val="single" w:sz="8" w:color="CFF0FC"/>
            </w:tcBorders>
          </w:tcPr>
          <w:p>
            <w:pPr>
              <w:spacing w:after="0"/>
              <w:rPr>
                <w:sz w:val="17"/>
                <w:szCs w:val="17"/>
                <w:color w:val="auto"/>
              </w:rPr>
            </w:pPr>
          </w:p>
        </w:tc>
        <w:tc>
          <w:tcPr>
            <w:tcW w:w="7620" w:type="dxa"/>
            <w:vAlign w:val="bottom"/>
            <w:gridSpan w:val="34"/>
            <w:shd w:val="clear" w:color="auto" w:fill="CFF0FC"/>
          </w:tcPr>
          <w:p>
            <w:pPr>
              <w:ind w:left="60"/>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w:t>
            </w:r>
            <w:hyperlink r:id="rId850">
              <w:r>
                <w:rPr>
                  <w:rFonts w:ascii="Times New Roman" w:cs="Times New Roman" w:eastAsia="Times New Roman" w:hAnsi="Times New Roman"/>
                  <w:sz w:val="18"/>
                  <w:szCs w:val="18"/>
                  <w:color w:val="0000FF"/>
                </w:rPr>
                <w:t>Trust Deed and Rules of the Towers Watson Limited Share Incentive Plan 2005 (U.K.)</w:t>
              </w:r>
            </w:hyperlink>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shd w:val="clear" w:color="auto" w:fill="CFF0FC"/>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10.21</w:t>
            </w:r>
          </w:p>
        </w:tc>
        <w:tc>
          <w:tcPr>
            <w:tcW w:w="1280" w:type="dxa"/>
            <w:vAlign w:val="bottom"/>
            <w:gridSpan w:val="3"/>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September 1,</w:t>
            </w: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 w:type="dxa"/>
            <w:vAlign w:val="bottom"/>
            <w:tcBorders>
              <w:right w:val="single" w:sz="8" w:color="CFF0FC"/>
            </w:tcBorders>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0000FF"/>
            </w:tcBorders>
            <w:shd w:val="clear" w:color="auto" w:fill="CFF0FC"/>
          </w:tcPr>
          <w:p>
            <w:pPr>
              <w:spacing w:after="0"/>
              <w:rPr>
                <w:sz w:val="21"/>
                <w:szCs w:val="21"/>
                <w:color w:val="auto"/>
              </w:rPr>
            </w:pPr>
          </w:p>
        </w:tc>
        <w:tc>
          <w:tcPr>
            <w:tcW w:w="360" w:type="dxa"/>
            <w:vAlign w:val="bottom"/>
            <w:tcBorders>
              <w:top w:val="single" w:sz="8" w:color="0000FF"/>
            </w:tcBorders>
            <w:shd w:val="clear" w:color="auto" w:fill="CFF0FC"/>
          </w:tcPr>
          <w:p>
            <w:pPr>
              <w:spacing w:after="0"/>
              <w:rPr>
                <w:sz w:val="21"/>
                <w:szCs w:val="21"/>
                <w:color w:val="auto"/>
              </w:rPr>
            </w:pPr>
          </w:p>
        </w:tc>
        <w:tc>
          <w:tcPr>
            <w:tcW w:w="240" w:type="dxa"/>
            <w:vAlign w:val="bottom"/>
            <w:tcBorders>
              <w:top w:val="single" w:sz="8" w:color="0000FF"/>
            </w:tcBorders>
            <w:shd w:val="clear" w:color="auto" w:fill="CFF0FC"/>
          </w:tcPr>
          <w:p>
            <w:pPr>
              <w:spacing w:after="0"/>
              <w:rPr>
                <w:sz w:val="21"/>
                <w:szCs w:val="21"/>
                <w:color w:val="auto"/>
              </w:rPr>
            </w:pPr>
          </w:p>
        </w:tc>
        <w:tc>
          <w:tcPr>
            <w:tcW w:w="340" w:type="dxa"/>
            <w:vAlign w:val="bottom"/>
            <w:tcBorders>
              <w:top w:val="single" w:sz="8" w:color="0000FF"/>
            </w:tcBorders>
            <w:shd w:val="clear" w:color="auto" w:fill="CFF0FC"/>
          </w:tcPr>
          <w:p>
            <w:pPr>
              <w:spacing w:after="0"/>
              <w:rPr>
                <w:sz w:val="21"/>
                <w:szCs w:val="21"/>
                <w:color w:val="auto"/>
              </w:rPr>
            </w:pPr>
          </w:p>
        </w:tc>
        <w:tc>
          <w:tcPr>
            <w:tcW w:w="60" w:type="dxa"/>
            <w:vAlign w:val="bottom"/>
            <w:tcBorders>
              <w:top w:val="single" w:sz="8" w:color="0000FF"/>
            </w:tcBorders>
            <w:shd w:val="clear" w:color="auto" w:fill="CFF0FC"/>
          </w:tcPr>
          <w:p>
            <w:pPr>
              <w:spacing w:after="0"/>
              <w:rPr>
                <w:sz w:val="21"/>
                <w:szCs w:val="21"/>
                <w:color w:val="auto"/>
              </w:rPr>
            </w:pPr>
          </w:p>
        </w:tc>
        <w:tc>
          <w:tcPr>
            <w:tcW w:w="40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1280" w:type="dxa"/>
            <w:vAlign w:val="bottom"/>
            <w:tcBorders>
              <w:top w:val="single" w:sz="8" w:color="0000FF"/>
            </w:tcBorders>
            <w:shd w:val="clear" w:color="auto" w:fill="CFF0FC"/>
          </w:tcPr>
          <w:p>
            <w:pPr>
              <w:spacing w:after="0"/>
              <w:rPr>
                <w:sz w:val="21"/>
                <w:szCs w:val="21"/>
                <w:color w:val="auto"/>
              </w:rPr>
            </w:pPr>
          </w:p>
        </w:tc>
        <w:tc>
          <w:tcPr>
            <w:tcW w:w="20" w:type="dxa"/>
            <w:vAlign w:val="bottom"/>
            <w:tcBorders>
              <w:top w:val="single" w:sz="8" w:color="0000FF"/>
            </w:tcBorders>
            <w:shd w:val="clear" w:color="auto" w:fill="CFF0FC"/>
          </w:tcPr>
          <w:p>
            <w:pPr>
              <w:spacing w:after="0"/>
              <w:rPr>
                <w:sz w:val="21"/>
                <w:szCs w:val="21"/>
                <w:color w:val="auto"/>
              </w:rPr>
            </w:pPr>
          </w:p>
        </w:tc>
        <w:tc>
          <w:tcPr>
            <w:tcW w:w="640" w:type="dxa"/>
            <w:vAlign w:val="bottom"/>
            <w:tcBorders>
              <w:top w:val="single" w:sz="8" w:color="0000FF"/>
            </w:tcBorders>
            <w:shd w:val="clear" w:color="auto" w:fill="CFF0FC"/>
          </w:tcPr>
          <w:p>
            <w:pPr>
              <w:spacing w:after="0"/>
              <w:rPr>
                <w:sz w:val="21"/>
                <w:szCs w:val="21"/>
                <w:color w:val="auto"/>
              </w:rPr>
            </w:pPr>
          </w:p>
        </w:tc>
        <w:tc>
          <w:tcPr>
            <w:tcW w:w="560" w:type="dxa"/>
            <w:vAlign w:val="bottom"/>
            <w:tcBorders>
              <w:top w:val="single" w:sz="8" w:color="0000FF"/>
            </w:tcBorders>
            <w:shd w:val="clear" w:color="auto" w:fill="CFF0FC"/>
          </w:tcPr>
          <w:p>
            <w:pPr>
              <w:spacing w:after="0"/>
              <w:rPr>
                <w:sz w:val="21"/>
                <w:szCs w:val="21"/>
                <w:color w:val="auto"/>
              </w:rPr>
            </w:pPr>
          </w:p>
        </w:tc>
        <w:tc>
          <w:tcPr>
            <w:tcW w:w="480" w:type="dxa"/>
            <w:vAlign w:val="bottom"/>
            <w:tcBorders>
              <w:top w:val="single" w:sz="8" w:color="0000FF"/>
            </w:tcBorders>
            <w:shd w:val="clear" w:color="auto" w:fill="CFF0FC"/>
          </w:tcPr>
          <w:p>
            <w:pPr>
              <w:spacing w:after="0"/>
              <w:rPr>
                <w:sz w:val="21"/>
                <w:szCs w:val="21"/>
                <w:color w:val="auto"/>
              </w:rPr>
            </w:pPr>
          </w:p>
        </w:tc>
        <w:tc>
          <w:tcPr>
            <w:tcW w:w="480" w:type="dxa"/>
            <w:vAlign w:val="bottom"/>
            <w:tcBorders>
              <w:top w:val="single" w:sz="8" w:color="0000FF"/>
            </w:tcBorders>
            <w:shd w:val="clear" w:color="auto" w:fill="CFF0FC"/>
          </w:tcPr>
          <w:p>
            <w:pPr>
              <w:spacing w:after="0"/>
              <w:rPr>
                <w:sz w:val="21"/>
                <w:szCs w:val="21"/>
                <w:color w:val="auto"/>
              </w:rPr>
            </w:pPr>
          </w:p>
        </w:tc>
        <w:tc>
          <w:tcPr>
            <w:tcW w:w="80" w:type="dxa"/>
            <w:vAlign w:val="bottom"/>
            <w:tcBorders>
              <w:top w:val="single" w:sz="8" w:color="0000FF"/>
            </w:tcBorders>
            <w:shd w:val="clear" w:color="auto" w:fill="CFF0FC"/>
          </w:tcPr>
          <w:p>
            <w:pPr>
              <w:spacing w:after="0"/>
              <w:rPr>
                <w:sz w:val="21"/>
                <w:szCs w:val="21"/>
                <w:color w:val="auto"/>
              </w:rPr>
            </w:pPr>
          </w:p>
        </w:tc>
        <w:tc>
          <w:tcPr>
            <w:tcW w:w="300" w:type="dxa"/>
            <w:vAlign w:val="bottom"/>
            <w:tcBorders>
              <w:top w:val="single" w:sz="8" w:color="0000FF"/>
            </w:tcBorders>
            <w:shd w:val="clear" w:color="auto" w:fill="CFF0FC"/>
          </w:tcPr>
          <w:p>
            <w:pPr>
              <w:spacing w:after="0"/>
              <w:rPr>
                <w:sz w:val="21"/>
                <w:szCs w:val="21"/>
                <w:color w:val="auto"/>
              </w:rPr>
            </w:pPr>
          </w:p>
        </w:tc>
        <w:tc>
          <w:tcPr>
            <w:tcW w:w="80" w:type="dxa"/>
            <w:vAlign w:val="bottom"/>
            <w:tcBorders>
              <w:top w:val="single" w:sz="8" w:color="0000FF"/>
            </w:tcBorders>
            <w:shd w:val="clear" w:color="auto" w:fill="CFF0FC"/>
          </w:tcPr>
          <w:p>
            <w:pPr>
              <w:spacing w:after="0"/>
              <w:rPr>
                <w:sz w:val="21"/>
                <w:szCs w:val="21"/>
                <w:color w:val="auto"/>
              </w:rPr>
            </w:pPr>
          </w:p>
        </w:tc>
        <w:tc>
          <w:tcPr>
            <w:tcW w:w="120" w:type="dxa"/>
            <w:vAlign w:val="bottom"/>
            <w:tcBorders>
              <w:top w:val="single" w:sz="8" w:color="0000FF"/>
            </w:tcBorders>
            <w:shd w:val="clear" w:color="auto" w:fill="CFF0FC"/>
          </w:tcPr>
          <w:p>
            <w:pPr>
              <w:spacing w:after="0"/>
              <w:rPr>
                <w:sz w:val="21"/>
                <w:szCs w:val="21"/>
                <w:color w:val="auto"/>
              </w:rPr>
            </w:pPr>
          </w:p>
        </w:tc>
        <w:tc>
          <w:tcPr>
            <w:tcW w:w="20" w:type="dxa"/>
            <w:vAlign w:val="bottom"/>
            <w:tcBorders>
              <w:top w:val="single" w:sz="8" w:color="0000FF"/>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5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CFF0FC"/>
            </w:tcBorders>
            <w:shd w:val="clear" w:color="auto" w:fill="CFF0FC"/>
          </w:tcPr>
          <w:p>
            <w:pPr>
              <w:spacing w:after="0"/>
              <w:rPr>
                <w:sz w:val="21"/>
                <w:szCs w:val="21"/>
                <w:color w:val="auto"/>
              </w:rPr>
            </w:pPr>
          </w:p>
        </w:tc>
        <w:tc>
          <w:tcPr>
            <w:tcW w:w="126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40" w:type="dxa"/>
            <w:vAlign w:val="bottom"/>
            <w:tcBorders>
              <w:top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4"/>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10.26†   </w:t>
            </w:r>
            <w:hyperlink r:id="rId851">
              <w:r>
                <w:rPr>
                  <w:rFonts w:ascii="Times New Roman" w:cs="Times New Roman" w:eastAsia="Times New Roman" w:hAnsi="Times New Roman"/>
                  <w:sz w:val="18"/>
                  <w:szCs w:val="18"/>
                  <w:color w:val="0000FF"/>
                </w:rPr>
                <w:t>Towers Watson Limited Share Incentive Plan 2005 Deed of Amendment (U.K.)</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10.22</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September 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0" w:type="dxa"/>
            <w:vAlign w:val="bottom"/>
            <w:tcBorders>
              <w:right w:val="single" w:sz="8" w:color="CFF0FC"/>
            </w:tcBorders>
          </w:tcPr>
          <w:p>
            <w:pPr>
              <w:spacing w:after="0"/>
              <w:rPr>
                <w:sz w:val="17"/>
                <w:szCs w:val="17"/>
                <w:color w:val="auto"/>
              </w:rPr>
            </w:pPr>
          </w:p>
        </w:tc>
        <w:tc>
          <w:tcPr>
            <w:tcW w:w="7620" w:type="dxa"/>
            <w:vAlign w:val="bottom"/>
            <w:gridSpan w:val="34"/>
            <w:shd w:val="clear" w:color="auto" w:fill="CFF0FC"/>
          </w:tcPr>
          <w:p>
            <w:pPr>
              <w:ind w:left="60"/>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w:t>
            </w:r>
            <w:hyperlink r:id="rId852">
              <w:r>
                <w:rPr>
                  <w:rFonts w:ascii="Times New Roman" w:cs="Times New Roman" w:eastAsia="Times New Roman" w:hAnsi="Times New Roman"/>
                  <w:sz w:val="18"/>
                  <w:szCs w:val="18"/>
                  <w:color w:val="0000FF"/>
                </w:rPr>
                <w:t>Towers Watson Limited Share Incentive Plan 2005 Deed to Change the Trust Deed and</w:t>
              </w:r>
            </w:hyperlink>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shd w:val="clear" w:color="auto" w:fill="CFF0FC"/>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10.10</w:t>
            </w:r>
          </w:p>
        </w:tc>
        <w:tc>
          <w:tcPr>
            <w:tcW w:w="1280" w:type="dxa"/>
            <w:vAlign w:val="bottom"/>
            <w:gridSpan w:val="3"/>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August 29,</w:t>
            </w: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320" w:type="dxa"/>
            <w:vAlign w:val="bottom"/>
            <w:tcBorders>
              <w:top w:val="single" w:sz="8" w:color="0000FF"/>
            </w:tcBorders>
            <w:gridSpan w:val="21"/>
            <w:shd w:val="clear" w:color="auto" w:fill="CFF0FC"/>
          </w:tcPr>
          <w:p>
            <w:pPr>
              <w:spacing w:after="0" w:line="195" w:lineRule="exact"/>
              <w:rPr>
                <w:rFonts w:ascii="Times New Roman" w:cs="Times New Roman" w:eastAsia="Times New Roman" w:hAnsi="Times New Roman"/>
                <w:sz w:val="18"/>
                <w:szCs w:val="18"/>
                <w:color w:val="0000FF"/>
              </w:rPr>
            </w:pPr>
            <w:hyperlink r:id="rId852">
              <w:r>
                <w:rPr>
                  <w:rFonts w:ascii="Times New Roman" w:cs="Times New Roman" w:eastAsia="Times New Roman" w:hAnsi="Times New Roman"/>
                  <w:sz w:val="18"/>
                  <w:szCs w:val="18"/>
                  <w:color w:val="0000FF"/>
                </w:rPr>
                <w:t>Rules (U.K.)</w:t>
              </w:r>
            </w:hyperlink>
          </w:p>
        </w:tc>
        <w:tc>
          <w:tcPr>
            <w:tcW w:w="520" w:type="dxa"/>
            <w:vAlign w:val="bottom"/>
            <w:tcBorders>
              <w:top w:val="single" w:sz="8" w:color="CFF0FC"/>
            </w:tcBorders>
            <w:gridSpan w:val="11"/>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CFF0FC"/>
            </w:tcBorders>
            <w:gridSpan w:val="2"/>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2012</w:t>
            </w: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4"/>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10.28†   </w:t>
            </w:r>
            <w:hyperlink r:id="rId853">
              <w:r>
                <w:rPr>
                  <w:rFonts w:ascii="Times New Roman" w:cs="Times New Roman" w:eastAsia="Times New Roman" w:hAnsi="Times New Roman"/>
                  <w:sz w:val="18"/>
                  <w:szCs w:val="18"/>
                  <w:color w:val="0000FF"/>
                </w:rPr>
                <w:t>Willis Towers Watson Non-Qualified Deferred Savings Plan for U.S. Employees (as</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November 7,</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top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853">
              <w:r>
                <w:rPr>
                  <w:rFonts w:ascii="Times New Roman" w:cs="Times New Roman" w:eastAsia="Times New Roman" w:hAnsi="Times New Roman"/>
                  <w:sz w:val="18"/>
                  <w:szCs w:val="18"/>
                  <w:color w:val="0000FF"/>
                </w:rPr>
                <w:t>amended and restated effective January 1, 2017)</w:t>
              </w:r>
            </w:hyperlink>
          </w:p>
        </w:tc>
        <w:tc>
          <w:tcPr>
            <w:tcW w:w="74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4"/>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10.29†   </w:t>
            </w:r>
            <w:hyperlink r:id="rId854">
              <w:r>
                <w:rPr>
                  <w:rFonts w:ascii="Times New Roman" w:cs="Times New Roman" w:eastAsia="Times New Roman" w:hAnsi="Times New Roman"/>
                  <w:sz w:val="18"/>
                  <w:szCs w:val="18"/>
                  <w:color w:val="0000FF"/>
                </w:rPr>
                <w:t>Amendment 2018-1 to the Willis Towers Watson Non-Qualified Deferred Savings Plan for</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99.3</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July 18, 2018</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580" w:type="dxa"/>
            <w:vAlign w:val="bottom"/>
            <w:tcBorders>
              <w:top w:val="single" w:sz="8" w:color="0000FF"/>
            </w:tcBorders>
            <w:gridSpan w:val="27"/>
            <w:shd w:val="clear" w:color="auto" w:fill="CFF0FC"/>
          </w:tcPr>
          <w:p>
            <w:pPr>
              <w:spacing w:after="0" w:line="195" w:lineRule="exact"/>
              <w:rPr>
                <w:rFonts w:ascii="Times New Roman" w:cs="Times New Roman" w:eastAsia="Times New Roman" w:hAnsi="Times New Roman"/>
                <w:sz w:val="18"/>
                <w:szCs w:val="18"/>
                <w:color w:val="0000FF"/>
              </w:rPr>
            </w:pPr>
            <w:hyperlink r:id="rId854">
              <w:r>
                <w:rPr>
                  <w:rFonts w:ascii="Times New Roman" w:cs="Times New Roman" w:eastAsia="Times New Roman" w:hAnsi="Times New Roman"/>
                  <w:sz w:val="18"/>
                  <w:szCs w:val="18"/>
                  <w:color w:val="0000FF"/>
                </w:rPr>
                <w:t>U.S. Employees</w:t>
              </w:r>
            </w:hyperlink>
          </w:p>
        </w:tc>
        <w:tc>
          <w:tcPr>
            <w:tcW w:w="260" w:type="dxa"/>
            <w:vAlign w:val="bottom"/>
            <w:tcBorders>
              <w:top w:val="single" w:sz="8" w:color="CFF0FC"/>
            </w:tcBorders>
            <w:gridSpan w:val="5"/>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4"/>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10.30†   </w:t>
            </w:r>
            <w:hyperlink r:id="rId855">
              <w:r>
                <w:rPr>
                  <w:rFonts w:ascii="Times New Roman" w:cs="Times New Roman" w:eastAsia="Times New Roman" w:hAnsi="Times New Roman"/>
                  <w:sz w:val="18"/>
                  <w:szCs w:val="18"/>
                  <w:color w:val="0000FF"/>
                </w:rPr>
                <w:t>Amendment 2020-1 to the Willis Towers Watson Non-Qualified Deferred Savings Plan for</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10.62</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23,</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top w:val="single" w:sz="8" w:color="0000FF"/>
            </w:tcBorders>
            <w:gridSpan w:val="27"/>
          </w:tcPr>
          <w:p>
            <w:pPr>
              <w:spacing w:after="0" w:line="195" w:lineRule="exact"/>
              <w:rPr>
                <w:rFonts w:ascii="Times New Roman" w:cs="Times New Roman" w:eastAsia="Times New Roman" w:hAnsi="Times New Roman"/>
                <w:sz w:val="18"/>
                <w:szCs w:val="18"/>
                <w:color w:val="0000FF"/>
              </w:rPr>
            </w:pPr>
            <w:hyperlink r:id="rId855">
              <w:r>
                <w:rPr>
                  <w:rFonts w:ascii="Times New Roman" w:cs="Times New Roman" w:eastAsia="Times New Roman" w:hAnsi="Times New Roman"/>
                  <w:sz w:val="18"/>
                  <w:szCs w:val="18"/>
                  <w:color w:val="0000FF"/>
                </w:rPr>
                <w:t>U.S. Employees</w:t>
              </w:r>
            </w:hyperlink>
          </w:p>
        </w:tc>
        <w:tc>
          <w:tcPr>
            <w:tcW w:w="2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4"/>
            <w:shd w:val="clear" w:color="auto" w:fill="CFF0FC"/>
          </w:tcPr>
          <w:p>
            <w:pPr>
              <w:ind w:left="60"/>
              <w:spacing w:after="0" w:line="189" w:lineRule="exact"/>
              <w:rPr>
                <w:sz w:val="20"/>
                <w:szCs w:val="20"/>
                <w:color w:val="auto"/>
              </w:rPr>
            </w:pPr>
            <w:r>
              <w:rPr>
                <w:rFonts w:ascii="Times New Roman" w:cs="Times New Roman" w:eastAsia="Times New Roman" w:hAnsi="Times New Roman"/>
                <w:sz w:val="18"/>
                <w:szCs w:val="18"/>
                <w:color w:val="auto"/>
              </w:rPr>
              <w:t xml:space="preserve">10.31†   </w:t>
            </w:r>
            <w:r>
              <w:rPr>
                <w:rFonts w:ascii="Times New Roman" w:cs="Times New Roman" w:eastAsia="Times New Roman" w:hAnsi="Times New Roman"/>
                <w:sz w:val="18"/>
                <w:szCs w:val="18"/>
                <w:color w:val="0000FF"/>
              </w:rPr>
              <w:t>Willis Towers Watson Non-Qualified Stable Value Excess Plan for U.S. Employees, as</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280" w:type="dxa"/>
            <w:vAlign w:val="bottom"/>
            <w:tcBorders>
              <w:top w:val="single" w:sz="8" w:color="0000FF"/>
            </w:tcBorders>
            <w:gridSpan w:val="20"/>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rPr>
              <w:t>amended and restated, effective January 1, 2024</w:t>
            </w:r>
          </w:p>
        </w:tc>
        <w:tc>
          <w:tcPr>
            <w:tcW w:w="560" w:type="dxa"/>
            <w:vAlign w:val="bottom"/>
            <w:tcBorders>
              <w:top w:val="single" w:sz="8" w:color="CFF0FC"/>
            </w:tcBorders>
            <w:gridSpan w:val="12"/>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2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4"/>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10.32†   </w:t>
            </w:r>
            <w:hyperlink r:id="rId856">
              <w:r>
                <w:rPr>
                  <w:rFonts w:ascii="Times New Roman" w:cs="Times New Roman" w:eastAsia="Times New Roman" w:hAnsi="Times New Roman"/>
                  <w:sz w:val="18"/>
                  <w:szCs w:val="18"/>
                  <w:color w:val="0000FF"/>
                </w:rPr>
                <w:t>Form of 2021 Performance-Based Restricted Share Unit Award Agreement, including the</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August 4, 2021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Borders>
              <w:top w:val="single" w:sz="8" w:color="0000FF"/>
              <w:bottom w:val="single" w:sz="8" w:color="0000FF"/>
            </w:tcBorders>
            <w:gridSpan w:val="17"/>
          </w:tcPr>
          <w:p>
            <w:pPr>
              <w:spacing w:after="0" w:line="195" w:lineRule="exact"/>
              <w:rPr>
                <w:rFonts w:ascii="Times New Roman" w:cs="Times New Roman" w:eastAsia="Times New Roman" w:hAnsi="Times New Roman"/>
                <w:sz w:val="18"/>
                <w:szCs w:val="18"/>
                <w:color w:val="0000FF"/>
              </w:rPr>
            </w:pPr>
            <w:hyperlink r:id="rId856">
              <w:r>
                <w:rPr>
                  <w:rFonts w:ascii="Times New Roman" w:cs="Times New Roman" w:eastAsia="Times New Roman" w:hAnsi="Times New Roman"/>
                  <w:sz w:val="18"/>
                  <w:szCs w:val="18"/>
                  <w:color w:val="0000FF"/>
                </w:rPr>
                <w:t>Agreement of Restrictive Covenants and Other Obligations, for Operating Committee</w:t>
              </w:r>
            </w:hyperlink>
          </w:p>
        </w:tc>
        <w:tc>
          <w:tcPr>
            <w:tcW w:w="280" w:type="dxa"/>
            <w:vAlign w:val="bottom"/>
            <w:tcBorders>
              <w:top w:val="single" w:sz="8" w:color="0000FF"/>
            </w:tcBorders>
            <w:gridSpan w:val="7"/>
          </w:tcPr>
          <w:p>
            <w:pPr>
              <w:spacing w:after="0"/>
              <w:rPr>
                <w:sz w:val="17"/>
                <w:szCs w:val="17"/>
                <w:color w:val="auto"/>
              </w:rPr>
            </w:pPr>
          </w:p>
        </w:tc>
        <w:tc>
          <w:tcPr>
            <w:tcW w:w="3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856">
              <w:r>
                <w:rPr>
                  <w:rFonts w:ascii="Times New Roman" w:cs="Times New Roman" w:eastAsia="Times New Roman" w:hAnsi="Times New Roman"/>
                  <w:sz w:val="18"/>
                  <w:szCs w:val="18"/>
                  <w:color w:val="0000FF"/>
                  <w:w w:val="99"/>
                </w:rPr>
                <w:t>Members in the United States, under the Willis Towers Watson Amended and Restated 2012</w:t>
              </w:r>
            </w:hyperlink>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32"/>
          </w:tcPr>
          <w:p>
            <w:pPr>
              <w:spacing w:after="0" w:line="195" w:lineRule="exact"/>
              <w:rPr>
                <w:rFonts w:ascii="Times New Roman" w:cs="Times New Roman" w:eastAsia="Times New Roman" w:hAnsi="Times New Roman"/>
                <w:sz w:val="18"/>
                <w:szCs w:val="18"/>
                <w:color w:val="0000FF"/>
              </w:rPr>
            </w:pPr>
            <w:hyperlink r:id="rId856">
              <w:r>
                <w:rPr>
                  <w:rFonts w:ascii="Times New Roman" w:cs="Times New Roman" w:eastAsia="Times New Roman" w:hAnsi="Times New Roman"/>
                  <w:sz w:val="18"/>
                  <w:szCs w:val="18"/>
                  <w:color w:val="0000FF"/>
                </w:rPr>
                <w:t>Equity Incentive Plan</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4"/>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10.33†   </w:t>
            </w:r>
            <w:hyperlink r:id="rId857">
              <w:r>
                <w:rPr>
                  <w:rFonts w:ascii="Times New Roman" w:cs="Times New Roman" w:eastAsia="Times New Roman" w:hAnsi="Times New Roman"/>
                  <w:sz w:val="18"/>
                  <w:szCs w:val="18"/>
                  <w:color w:val="0000FF"/>
                </w:rPr>
                <w:t>Form of 2021 Performance-Based Restricted Share Unit Award Agreement, including the</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August 4, 2021</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6220" w:type="dxa"/>
            <w:vAlign w:val="bottom"/>
            <w:tcBorders>
              <w:top w:val="single" w:sz="8" w:color="0000FF"/>
              <w:bottom w:val="single" w:sz="8" w:color="0000FF"/>
            </w:tcBorders>
            <w:gridSpan w:val="17"/>
            <w:shd w:val="clear" w:color="auto" w:fill="CFF0FC"/>
          </w:tcPr>
          <w:p>
            <w:pPr>
              <w:spacing w:after="0" w:line="195" w:lineRule="exact"/>
              <w:rPr>
                <w:rFonts w:ascii="Times New Roman" w:cs="Times New Roman" w:eastAsia="Times New Roman" w:hAnsi="Times New Roman"/>
                <w:sz w:val="18"/>
                <w:szCs w:val="18"/>
                <w:color w:val="0000FF"/>
              </w:rPr>
            </w:pPr>
            <w:hyperlink r:id="rId857">
              <w:r>
                <w:rPr>
                  <w:rFonts w:ascii="Times New Roman" w:cs="Times New Roman" w:eastAsia="Times New Roman" w:hAnsi="Times New Roman"/>
                  <w:sz w:val="18"/>
                  <w:szCs w:val="18"/>
                  <w:color w:val="0000FF"/>
                </w:rPr>
                <w:t>Agreement of Restrictive Covenants and Other Obligations, for Operating Committee</w:t>
              </w:r>
            </w:hyperlink>
          </w:p>
        </w:tc>
        <w:tc>
          <w:tcPr>
            <w:tcW w:w="280" w:type="dxa"/>
            <w:vAlign w:val="bottom"/>
            <w:tcBorders>
              <w:top w:val="single" w:sz="8" w:color="0000FF"/>
              <w:bottom w:val="single" w:sz="8" w:color="CFF0FC"/>
            </w:tcBorders>
            <w:gridSpan w:val="7"/>
            <w:shd w:val="clear" w:color="auto" w:fill="CFF0FC"/>
          </w:tcPr>
          <w:p>
            <w:pPr>
              <w:spacing w:after="0"/>
              <w:rPr>
                <w:sz w:val="17"/>
                <w:szCs w:val="17"/>
                <w:color w:val="auto"/>
              </w:rPr>
            </w:pPr>
          </w:p>
        </w:tc>
        <w:tc>
          <w:tcPr>
            <w:tcW w:w="340" w:type="dxa"/>
            <w:vAlign w:val="bottom"/>
            <w:tcBorders>
              <w:top w:val="single" w:sz="8" w:color="CFF0FC"/>
              <w:bottom w:val="single" w:sz="8" w:color="CFF0FC"/>
            </w:tcBorders>
            <w:gridSpan w:val="8"/>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660" w:type="dxa"/>
            <w:vAlign w:val="bottom"/>
            <w:tcBorders>
              <w:bottom w:val="single" w:sz="8" w:color="0000FF"/>
            </w:tcBorders>
            <w:gridSpan w:val="28"/>
            <w:shd w:val="clear" w:color="auto" w:fill="CFF0FC"/>
          </w:tcPr>
          <w:p>
            <w:pPr>
              <w:spacing w:after="0" w:line="195" w:lineRule="exact"/>
              <w:rPr>
                <w:rFonts w:ascii="Times New Roman" w:cs="Times New Roman" w:eastAsia="Times New Roman" w:hAnsi="Times New Roman"/>
                <w:sz w:val="18"/>
                <w:szCs w:val="18"/>
                <w:color w:val="0000FF"/>
                <w:w w:val="99"/>
              </w:rPr>
            </w:pPr>
            <w:hyperlink r:id="rId857">
              <w:r>
                <w:rPr>
                  <w:rFonts w:ascii="Times New Roman" w:cs="Times New Roman" w:eastAsia="Times New Roman" w:hAnsi="Times New Roman"/>
                  <w:sz w:val="18"/>
                  <w:szCs w:val="18"/>
                  <w:color w:val="0000FF"/>
                  <w:w w:val="99"/>
                </w:rPr>
                <w:t>Members outside the United States, under the Willis Towers Watson Amended and Restated</w:t>
              </w:r>
            </w:hyperlink>
          </w:p>
        </w:tc>
        <w:tc>
          <w:tcPr>
            <w:tcW w:w="180" w:type="dxa"/>
            <w:vAlign w:val="bottom"/>
            <w:tcBorders>
              <w:bottom w:val="single" w:sz="8" w:color="CFF0FC"/>
            </w:tcBorders>
            <w:gridSpan w:val="4"/>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40" w:type="dxa"/>
            <w:vAlign w:val="bottom"/>
            <w:gridSpan w:val="32"/>
            <w:shd w:val="clear" w:color="auto" w:fill="CFF0FC"/>
          </w:tcPr>
          <w:p>
            <w:pPr>
              <w:spacing w:after="0" w:line="195" w:lineRule="exact"/>
              <w:rPr>
                <w:rFonts w:ascii="Times New Roman" w:cs="Times New Roman" w:eastAsia="Times New Roman" w:hAnsi="Times New Roman"/>
                <w:sz w:val="18"/>
                <w:szCs w:val="18"/>
                <w:color w:val="0000FF"/>
              </w:rPr>
            </w:pPr>
            <w:hyperlink r:id="rId857">
              <w:r>
                <w:rPr>
                  <w:rFonts w:ascii="Times New Roman" w:cs="Times New Roman" w:eastAsia="Times New Roman" w:hAnsi="Times New Roman"/>
                  <w:sz w:val="18"/>
                  <w:szCs w:val="18"/>
                  <w:color w:val="0000FF"/>
                </w:rPr>
                <w:t>2012 Equity Incentive Plan</w:t>
              </w:r>
            </w:hyperlink>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4"/>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10.34†   </w:t>
            </w:r>
            <w:hyperlink r:id="rId858">
              <w:r>
                <w:rPr>
                  <w:rFonts w:ascii="Times New Roman" w:cs="Times New Roman" w:eastAsia="Times New Roman" w:hAnsi="Times New Roman"/>
                  <w:sz w:val="18"/>
                  <w:szCs w:val="18"/>
                  <w:color w:val="0000FF"/>
                </w:rPr>
                <w:t>Form of 2022 Time-Based Restricted Share Unit Award Agreement for Executive Officers</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60" w:type="dxa"/>
            <w:vAlign w:val="bottom"/>
            <w:tcBorders>
              <w:top w:val="single" w:sz="8" w:color="0000FF"/>
            </w:tcBorders>
            <w:gridSpan w:val="26"/>
          </w:tcPr>
          <w:p>
            <w:pPr>
              <w:spacing w:after="0" w:line="195" w:lineRule="exact"/>
              <w:rPr>
                <w:rFonts w:ascii="Times New Roman" w:cs="Times New Roman" w:eastAsia="Times New Roman" w:hAnsi="Times New Roman"/>
                <w:sz w:val="18"/>
                <w:szCs w:val="18"/>
                <w:color w:val="0000FF"/>
              </w:rPr>
            </w:pPr>
            <w:hyperlink r:id="rId858">
              <w:r>
                <w:rPr>
                  <w:rFonts w:ascii="Times New Roman" w:cs="Times New Roman" w:eastAsia="Times New Roman" w:hAnsi="Times New Roman"/>
                  <w:sz w:val="18"/>
                  <w:szCs w:val="18"/>
                  <w:color w:val="0000FF"/>
                </w:rPr>
                <w:t>under the Willis Towers Watson Amended and Restated 2012 Equity Incentive Plan</w:t>
              </w:r>
            </w:hyperlink>
          </w:p>
        </w:tc>
        <w:tc>
          <w:tcPr>
            <w:tcW w:w="2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4"/>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10.35†   </w:t>
            </w:r>
            <w:hyperlink r:id="rId859">
              <w:r>
                <w:rPr>
                  <w:rFonts w:ascii="Times New Roman" w:cs="Times New Roman" w:eastAsia="Times New Roman" w:hAnsi="Times New Roman"/>
                  <w:sz w:val="18"/>
                  <w:szCs w:val="18"/>
                  <w:color w:val="0000FF"/>
                </w:rPr>
                <w:t>Form of 2022 Performance-Based Restricted Share Unit Award Agreement for Executive</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CFF0FC"/>
            </w:tcBorders>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480" w:type="dxa"/>
            <w:vAlign w:val="bottom"/>
            <w:gridSpan w:val="23"/>
            <w:shd w:val="clear" w:color="auto" w:fill="0000FF"/>
          </w:tcPr>
          <w:p>
            <w:pPr>
              <w:spacing w:after="0" w:line="20" w:lineRule="exact"/>
              <w:rPr>
                <w:sz w:val="1"/>
                <w:szCs w:val="1"/>
                <w:color w:val="auto"/>
              </w:rPr>
            </w:pPr>
          </w:p>
        </w:tc>
        <w:tc>
          <w:tcPr>
            <w:tcW w:w="180" w:type="dxa"/>
            <w:vAlign w:val="bottom"/>
            <w:gridSpan w:val="5"/>
            <w:shd w:val="clear" w:color="auto" w:fill="CFF0FC"/>
          </w:tcPr>
          <w:p>
            <w:pPr>
              <w:spacing w:after="0" w:line="20" w:lineRule="exact"/>
              <w:rPr>
                <w:sz w:val="1"/>
                <w:szCs w:val="1"/>
                <w:color w:val="auto"/>
              </w:rPr>
            </w:pPr>
          </w:p>
        </w:tc>
        <w:tc>
          <w:tcPr>
            <w:tcW w:w="180" w:type="dxa"/>
            <w:vAlign w:val="bottom"/>
            <w:gridSpan w:val="4"/>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60" w:type="dxa"/>
            <w:vAlign w:val="bottom"/>
            <w:gridSpan w:val="2"/>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660" w:type="dxa"/>
            <w:vAlign w:val="bottom"/>
            <w:tcBorders>
              <w:bottom w:val="single" w:sz="8" w:color="0000FF"/>
            </w:tcBorders>
            <w:gridSpan w:val="28"/>
            <w:shd w:val="clear" w:color="auto" w:fill="CFF0FC"/>
          </w:tcPr>
          <w:p>
            <w:pPr>
              <w:spacing w:after="0" w:line="195" w:lineRule="exact"/>
              <w:rPr>
                <w:rFonts w:ascii="Times New Roman" w:cs="Times New Roman" w:eastAsia="Times New Roman" w:hAnsi="Times New Roman"/>
                <w:sz w:val="18"/>
                <w:szCs w:val="18"/>
                <w:color w:val="0000FF"/>
                <w:w w:val="99"/>
              </w:rPr>
            </w:pPr>
            <w:hyperlink r:id="rId859">
              <w:r>
                <w:rPr>
                  <w:rFonts w:ascii="Times New Roman" w:cs="Times New Roman" w:eastAsia="Times New Roman" w:hAnsi="Times New Roman"/>
                  <w:sz w:val="18"/>
                  <w:szCs w:val="18"/>
                  <w:color w:val="0000FF"/>
                  <w:w w:val="99"/>
                </w:rPr>
                <w:t>Officers under the Willis Towers Watson Amended and Restated 2012 Equity Incentive Plan</w:t>
              </w:r>
            </w:hyperlink>
          </w:p>
        </w:tc>
        <w:tc>
          <w:tcPr>
            <w:tcW w:w="180" w:type="dxa"/>
            <w:vAlign w:val="bottom"/>
            <w:tcBorders>
              <w:bottom w:val="single" w:sz="8" w:color="CFF0FC"/>
            </w:tcBorders>
            <w:gridSpan w:val="4"/>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00" w:type="dxa"/>
            <w:vAlign w:val="bottom"/>
            <w:gridSpan w:val="13"/>
          </w:tcPr>
          <w:p>
            <w:pPr>
              <w:jc w:val="right"/>
              <w:ind w:right="440"/>
              <w:spacing w:after="0"/>
              <w:rPr>
                <w:sz w:val="20"/>
                <w:szCs w:val="20"/>
                <w:color w:val="auto"/>
              </w:rPr>
            </w:pPr>
            <w:r>
              <w:rPr>
                <w:rFonts w:ascii="Times New Roman" w:cs="Times New Roman" w:eastAsia="Times New Roman" w:hAnsi="Times New Roman"/>
                <w:sz w:val="18"/>
                <w:szCs w:val="18"/>
                <w:color w:val="auto"/>
              </w:rPr>
              <w:t>131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33" w:name="page134"/>
    <w:bookmarkEnd w:id="133"/>
    <w:tbl>
      <w:tblPr>
        <w:tblLayout w:type="fixed"/>
        <w:tblInd w:w="2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20" w:type="dxa"/>
            <w:vAlign w:val="bottom"/>
            <w:gridSpan w:val="20"/>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4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gridSpan w:val="20"/>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10.36†</w:t>
            </w:r>
          </w:p>
        </w:tc>
        <w:tc>
          <w:tcPr>
            <w:tcW w:w="140" w:type="dxa"/>
            <w:vAlign w:val="bottom"/>
          </w:tcPr>
          <w:p>
            <w:pPr>
              <w:spacing w:after="0"/>
              <w:rPr>
                <w:sz w:val="17"/>
                <w:szCs w:val="17"/>
                <w:color w:val="auto"/>
              </w:rPr>
            </w:pPr>
          </w:p>
        </w:tc>
        <w:tc>
          <w:tcPr>
            <w:tcW w:w="656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862">
              <w:r>
                <w:rPr>
                  <w:rFonts w:ascii="Times New Roman" w:cs="Times New Roman" w:eastAsia="Times New Roman" w:hAnsi="Times New Roman"/>
                  <w:sz w:val="18"/>
                  <w:szCs w:val="18"/>
                  <w:color w:val="0000FF"/>
                  <w:w w:val="99"/>
                </w:rPr>
                <w:t>Form of 2023 Time-Based Restricted Share Unit Award Agreement for Executive Officers</w:t>
              </w:r>
            </w:hyperlink>
          </w:p>
        </w:tc>
        <w:tc>
          <w:tcPr>
            <w:tcW w:w="300" w:type="dxa"/>
            <w:vAlign w:val="bottom"/>
            <w:gridSpan w:val="6"/>
          </w:tcPr>
          <w:p>
            <w:pPr>
              <w:spacing w:after="0"/>
              <w:rPr>
                <w:sz w:val="17"/>
                <w:szCs w:val="17"/>
                <w:color w:val="auto"/>
              </w:rPr>
            </w:pPr>
          </w:p>
        </w:tc>
        <w:tc>
          <w:tcPr>
            <w:tcW w:w="5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70"/>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3"/>
          </w:tcPr>
          <w:p>
            <w:pPr>
              <w:ind w:left="140"/>
              <w:spacing w:after="0" w:line="195" w:lineRule="exact"/>
              <w:rPr>
                <w:sz w:val="20"/>
                <w:szCs w:val="20"/>
                <w:color w:val="auto"/>
              </w:rPr>
            </w:pPr>
            <w:r>
              <w:rPr>
                <w:rFonts w:ascii="Times New Roman" w:cs="Times New Roman" w:eastAsia="Times New Roman" w:hAnsi="Times New Roman"/>
                <w:sz w:val="18"/>
                <w:szCs w:val="18"/>
                <w:color w:val="auto"/>
              </w:rPr>
              <w:t>April 27, 2023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24"/>
          </w:tcPr>
          <w:p>
            <w:pPr>
              <w:spacing w:after="0" w:line="195" w:lineRule="exact"/>
              <w:rPr>
                <w:rFonts w:ascii="Times New Roman" w:cs="Times New Roman" w:eastAsia="Times New Roman" w:hAnsi="Times New Roman"/>
                <w:sz w:val="18"/>
                <w:szCs w:val="18"/>
                <w:color w:val="0000FF"/>
              </w:rPr>
            </w:pPr>
            <w:hyperlink r:id="rId862">
              <w:r>
                <w:rPr>
                  <w:rFonts w:ascii="Times New Roman" w:cs="Times New Roman" w:eastAsia="Times New Roman" w:hAnsi="Times New Roman"/>
                  <w:sz w:val="18"/>
                  <w:szCs w:val="18"/>
                  <w:color w:val="0000FF"/>
                </w:rPr>
                <w:t>under the Willis Towers Watson Amended and Restated 2012 Equity Incentive Plan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10.37†</w:t>
            </w:r>
          </w:p>
        </w:tc>
        <w:tc>
          <w:tcPr>
            <w:tcW w:w="140" w:type="dxa"/>
            <w:vAlign w:val="bottom"/>
            <w:tcBorders>
              <w:bottom w:val="single" w:sz="8" w:color="CFF0FC"/>
            </w:tcBorders>
            <w:shd w:val="clear" w:color="auto" w:fill="CFF0FC"/>
          </w:tcPr>
          <w:p>
            <w:pPr>
              <w:spacing w:after="0"/>
              <w:rPr>
                <w:sz w:val="16"/>
                <w:szCs w:val="16"/>
                <w:color w:val="auto"/>
              </w:rPr>
            </w:pPr>
          </w:p>
        </w:tc>
        <w:tc>
          <w:tcPr>
            <w:tcW w:w="6480" w:type="dxa"/>
            <w:vAlign w:val="bottom"/>
            <w:tcBorders>
              <w:bottom w:val="single" w:sz="8" w:color="0000FF"/>
            </w:tcBorders>
            <w:gridSpan w:val="15"/>
            <w:shd w:val="clear" w:color="auto" w:fill="CFF0FC"/>
          </w:tcPr>
          <w:p>
            <w:pPr>
              <w:spacing w:after="0" w:line="189" w:lineRule="exact"/>
              <w:rPr>
                <w:rFonts w:ascii="Times New Roman" w:cs="Times New Roman" w:eastAsia="Times New Roman" w:hAnsi="Times New Roman"/>
                <w:sz w:val="18"/>
                <w:szCs w:val="18"/>
                <w:color w:val="0000FF"/>
              </w:rPr>
            </w:pPr>
            <w:hyperlink r:id="rId863">
              <w:r>
                <w:rPr>
                  <w:rFonts w:ascii="Times New Roman" w:cs="Times New Roman" w:eastAsia="Times New Roman" w:hAnsi="Times New Roman"/>
                  <w:sz w:val="18"/>
                  <w:szCs w:val="18"/>
                  <w:color w:val="0000FF"/>
                </w:rPr>
                <w:t>Form of 2023 Performance-Based Restricted Share Unit Award Agreement for Executive</w:t>
              </w:r>
            </w:hyperlink>
          </w:p>
        </w:tc>
        <w:tc>
          <w:tcPr>
            <w:tcW w:w="380" w:type="dxa"/>
            <w:vAlign w:val="bottom"/>
            <w:tcBorders>
              <w:bottom w:val="single" w:sz="8" w:color="CFF0FC"/>
            </w:tcBorders>
            <w:gridSpan w:val="9"/>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tcBorders>
              <w:bottom w:val="single" w:sz="8" w:color="CFF0FC"/>
            </w:tcBorders>
            <w:gridSpan w:val="2"/>
            <w:shd w:val="clear" w:color="auto" w:fill="CFF0FC"/>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4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April 27, 2023</w:t>
            </w: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660" w:type="dxa"/>
            <w:vAlign w:val="bottom"/>
            <w:tcBorders>
              <w:bottom w:val="single" w:sz="8" w:color="0000FF"/>
            </w:tcBorders>
            <w:gridSpan w:val="21"/>
            <w:shd w:val="clear" w:color="auto" w:fill="CFF0FC"/>
          </w:tcPr>
          <w:p>
            <w:pPr>
              <w:spacing w:after="0" w:line="195" w:lineRule="exact"/>
              <w:rPr>
                <w:rFonts w:ascii="Times New Roman" w:cs="Times New Roman" w:eastAsia="Times New Roman" w:hAnsi="Times New Roman"/>
                <w:sz w:val="18"/>
                <w:szCs w:val="18"/>
                <w:color w:val="0000FF"/>
                <w:w w:val="99"/>
              </w:rPr>
            </w:pPr>
            <w:hyperlink r:id="rId863">
              <w:r>
                <w:rPr>
                  <w:rFonts w:ascii="Times New Roman" w:cs="Times New Roman" w:eastAsia="Times New Roman" w:hAnsi="Times New Roman"/>
                  <w:sz w:val="18"/>
                  <w:szCs w:val="18"/>
                  <w:color w:val="0000FF"/>
                  <w:w w:val="99"/>
                </w:rPr>
                <w:t>Officers under the Willis Towers Watson Amended and Restated 2012 Equity Incentive Plan</w:t>
              </w:r>
            </w:hyperlink>
          </w:p>
        </w:tc>
        <w:tc>
          <w:tcPr>
            <w:tcW w:w="200" w:type="dxa"/>
            <w:vAlign w:val="bottom"/>
            <w:tcBorders>
              <w:bottom w:val="single" w:sz="8" w:color="CFF0FC"/>
            </w:tcBorders>
            <w:gridSpan w:val="3"/>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16"/>
                <w:szCs w:val="16"/>
                <w:color w:val="auto"/>
              </w:rPr>
            </w:pPr>
          </w:p>
        </w:tc>
        <w:tc>
          <w:tcPr>
            <w:tcW w:w="6640" w:type="dxa"/>
            <w:vAlign w:val="bottom"/>
            <w:tcBorders>
              <w:bottom w:val="single" w:sz="8" w:color="0000FF"/>
            </w:tcBorders>
            <w:gridSpan w:val="20"/>
          </w:tcPr>
          <w:p>
            <w:pPr>
              <w:spacing w:after="0" w:line="189" w:lineRule="exact"/>
              <w:rPr>
                <w:rFonts w:ascii="Times New Roman" w:cs="Times New Roman" w:eastAsia="Times New Roman" w:hAnsi="Times New Roman"/>
                <w:sz w:val="18"/>
                <w:szCs w:val="18"/>
                <w:color w:val="0000FF"/>
                <w:w w:val="99"/>
              </w:rPr>
            </w:pPr>
            <w:hyperlink r:id="rId864">
              <w:r>
                <w:rPr>
                  <w:rFonts w:ascii="Times New Roman" w:cs="Times New Roman" w:eastAsia="Times New Roman" w:hAnsi="Times New Roman"/>
                  <w:sz w:val="18"/>
                  <w:szCs w:val="18"/>
                  <w:color w:val="0000FF"/>
                  <w:w w:val="99"/>
                </w:rPr>
                <w:t>Willis Towers Watson Public Limited Company Severance and Change in Control Pay Plan</w:t>
              </w:r>
            </w:hyperlink>
          </w:p>
        </w:tc>
        <w:tc>
          <w:tcPr>
            <w:tcW w:w="220" w:type="dxa"/>
            <w:vAlign w:val="bottom"/>
            <w:gridSpan w:val="4"/>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2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4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rPr>
            </w:pPr>
            <w:hyperlink r:id="rId864">
              <w:r>
                <w:rPr>
                  <w:rFonts w:ascii="Times New Roman" w:cs="Times New Roman" w:eastAsia="Times New Roman" w:hAnsi="Times New Roman"/>
                  <w:sz w:val="18"/>
                  <w:szCs w:val="18"/>
                  <w:color w:val="0000FF"/>
                </w:rPr>
                <w:t>for US Executives, adopted March 8, 2020 and as amended June 5, 2020 and February 22,</w:t>
              </w:r>
            </w:hyperlink>
          </w:p>
        </w:tc>
        <w:tc>
          <w:tcPr>
            <w:tcW w:w="32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gridSpan w:val="3"/>
          </w:tcPr>
          <w:p>
            <w:pPr>
              <w:ind w:left="140"/>
              <w:spacing w:after="0" w:line="195" w:lineRule="exact"/>
              <w:rPr>
                <w:rFonts w:ascii="Times New Roman" w:cs="Times New Roman" w:eastAsia="Times New Roman" w:hAnsi="Times New Roman"/>
                <w:sz w:val="18"/>
                <w:szCs w:val="18"/>
                <w:color w:val="0000FF"/>
              </w:rPr>
            </w:pPr>
            <w:hyperlink r:id="rId864">
              <w:r>
                <w:rPr>
                  <w:rFonts w:ascii="Times New Roman" w:cs="Times New Roman" w:eastAsia="Times New Roman" w:hAnsi="Times New Roman"/>
                  <w:sz w:val="18"/>
                  <w:szCs w:val="18"/>
                  <w:color w:val="0000FF"/>
                </w:rPr>
                <w:t>2022</w:t>
              </w:r>
            </w:hyperlink>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10.39†</w:t>
            </w:r>
          </w:p>
        </w:tc>
        <w:tc>
          <w:tcPr>
            <w:tcW w:w="140" w:type="dxa"/>
            <w:vAlign w:val="bottom"/>
            <w:tcBorders>
              <w:bottom w:val="single" w:sz="8" w:color="CFF0FC"/>
            </w:tcBorders>
            <w:shd w:val="clear" w:color="auto" w:fill="CFF0FC"/>
          </w:tcPr>
          <w:p>
            <w:pPr>
              <w:spacing w:after="0"/>
              <w:rPr>
                <w:sz w:val="16"/>
                <w:szCs w:val="16"/>
                <w:color w:val="auto"/>
              </w:rPr>
            </w:pPr>
          </w:p>
        </w:tc>
        <w:tc>
          <w:tcPr>
            <w:tcW w:w="6640" w:type="dxa"/>
            <w:vAlign w:val="bottom"/>
            <w:tcBorders>
              <w:bottom w:val="single" w:sz="8" w:color="0000FF"/>
            </w:tcBorders>
            <w:gridSpan w:val="20"/>
            <w:shd w:val="clear" w:color="auto" w:fill="CFF0FC"/>
          </w:tcPr>
          <w:p>
            <w:pPr>
              <w:spacing w:after="0" w:line="189" w:lineRule="exact"/>
              <w:rPr>
                <w:rFonts w:ascii="Times New Roman" w:cs="Times New Roman" w:eastAsia="Times New Roman" w:hAnsi="Times New Roman"/>
                <w:sz w:val="18"/>
                <w:szCs w:val="18"/>
                <w:color w:val="0000FF"/>
                <w:w w:val="99"/>
              </w:rPr>
            </w:pPr>
            <w:hyperlink r:id="rId865">
              <w:r>
                <w:rPr>
                  <w:rFonts w:ascii="Times New Roman" w:cs="Times New Roman" w:eastAsia="Times New Roman" w:hAnsi="Times New Roman"/>
                  <w:sz w:val="18"/>
                  <w:szCs w:val="18"/>
                  <w:color w:val="0000FF"/>
                  <w:w w:val="99"/>
                </w:rPr>
                <w:t>Willis Towers Watson Public Limited Company Severance and Change in Control Pay Plan</w:t>
              </w:r>
            </w:hyperlink>
          </w:p>
        </w:tc>
        <w:tc>
          <w:tcPr>
            <w:tcW w:w="220" w:type="dxa"/>
            <w:vAlign w:val="bottom"/>
            <w:tcBorders>
              <w:bottom w:val="single" w:sz="8" w:color="CFF0FC"/>
            </w:tcBorders>
            <w:gridSpan w:val="4"/>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tcBorders>
              <w:bottom w:val="single" w:sz="8" w:color="CFF0FC"/>
            </w:tcBorders>
            <w:gridSpan w:val="2"/>
            <w:shd w:val="clear" w:color="auto" w:fill="CFF0FC"/>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4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640" w:type="dxa"/>
            <w:vAlign w:val="bottom"/>
            <w:tcBorders>
              <w:bottom w:val="single" w:sz="8" w:color="0000FF"/>
            </w:tcBorders>
            <w:gridSpan w:val="20"/>
            <w:shd w:val="clear" w:color="auto" w:fill="CFF0FC"/>
          </w:tcPr>
          <w:p>
            <w:pPr>
              <w:spacing w:after="0" w:line="195" w:lineRule="exact"/>
              <w:rPr>
                <w:rFonts w:ascii="Times New Roman" w:cs="Times New Roman" w:eastAsia="Times New Roman" w:hAnsi="Times New Roman"/>
                <w:sz w:val="18"/>
                <w:szCs w:val="18"/>
                <w:color w:val="0000FF"/>
              </w:rPr>
            </w:pPr>
            <w:hyperlink r:id="rId865">
              <w:r>
                <w:rPr>
                  <w:rFonts w:ascii="Times New Roman" w:cs="Times New Roman" w:eastAsia="Times New Roman" w:hAnsi="Times New Roman"/>
                  <w:sz w:val="18"/>
                  <w:szCs w:val="18"/>
                  <w:color w:val="0000FF"/>
                </w:rPr>
                <w:t>for Non-US Executives, adopted March 8, 2020 and as amended June 5, 2020 and February</w:t>
              </w:r>
            </w:hyperlink>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0000FF"/>
            </w:tcBorders>
            <w:gridSpan w:val="2"/>
            <w:shd w:val="clear" w:color="auto" w:fill="CFF0FC"/>
          </w:tcPr>
          <w:p>
            <w:pPr>
              <w:spacing w:after="0" w:line="195" w:lineRule="exact"/>
              <w:rPr>
                <w:rFonts w:ascii="Times New Roman" w:cs="Times New Roman" w:eastAsia="Times New Roman" w:hAnsi="Times New Roman"/>
                <w:sz w:val="18"/>
                <w:szCs w:val="18"/>
                <w:color w:val="0000FF"/>
                <w:w w:val="98"/>
              </w:rPr>
            </w:pPr>
            <w:hyperlink r:id="rId865">
              <w:r>
                <w:rPr>
                  <w:rFonts w:ascii="Times New Roman" w:cs="Times New Roman" w:eastAsia="Times New Roman" w:hAnsi="Times New Roman"/>
                  <w:sz w:val="18"/>
                  <w:szCs w:val="18"/>
                  <w:color w:val="0000FF"/>
                  <w:w w:val="98"/>
                </w:rPr>
                <w:t>22, 2022</w:t>
              </w:r>
            </w:hyperlink>
          </w:p>
        </w:tc>
        <w:tc>
          <w:tcPr>
            <w:tcW w:w="7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10.40†</w:t>
            </w:r>
          </w:p>
        </w:tc>
        <w:tc>
          <w:tcPr>
            <w:tcW w:w="140" w:type="dxa"/>
            <w:vAlign w:val="bottom"/>
          </w:tcPr>
          <w:p>
            <w:pPr>
              <w:spacing w:after="0"/>
              <w:rPr>
                <w:sz w:val="16"/>
                <w:szCs w:val="16"/>
                <w:color w:val="auto"/>
              </w:rPr>
            </w:pPr>
          </w:p>
        </w:tc>
        <w:tc>
          <w:tcPr>
            <w:tcW w:w="6680" w:type="dxa"/>
            <w:vAlign w:val="bottom"/>
            <w:tcBorders>
              <w:bottom w:val="single" w:sz="8" w:color="0000FF"/>
            </w:tcBorders>
            <w:gridSpan w:val="22"/>
          </w:tcPr>
          <w:p>
            <w:pPr>
              <w:spacing w:after="0" w:line="189" w:lineRule="exact"/>
              <w:rPr>
                <w:rFonts w:ascii="Times New Roman" w:cs="Times New Roman" w:eastAsia="Times New Roman" w:hAnsi="Times New Roman"/>
                <w:sz w:val="18"/>
                <w:szCs w:val="18"/>
                <w:color w:val="0000FF"/>
                <w:w w:val="99"/>
              </w:rPr>
            </w:pPr>
            <w:hyperlink r:id="rId843">
              <w:r>
                <w:rPr>
                  <w:rFonts w:ascii="Times New Roman" w:cs="Times New Roman" w:eastAsia="Times New Roman" w:hAnsi="Times New Roman"/>
                  <w:sz w:val="18"/>
                  <w:szCs w:val="18"/>
                  <w:color w:val="0000FF"/>
                  <w:w w:val="99"/>
                </w:rPr>
                <w:t>Willis Towers Watson Public Limited Company Compensation Policy and Share Ownership</w:t>
              </w:r>
            </w:hyperlink>
          </w:p>
        </w:tc>
        <w:tc>
          <w:tcPr>
            <w:tcW w:w="180" w:type="dxa"/>
            <w:vAlign w:val="bottom"/>
            <w:gridSpan w:val="2"/>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July 28, 2022</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24"/>
          </w:tcPr>
          <w:p>
            <w:pPr>
              <w:spacing w:after="0" w:line="195" w:lineRule="exact"/>
              <w:rPr>
                <w:rFonts w:ascii="Times New Roman" w:cs="Times New Roman" w:eastAsia="Times New Roman" w:hAnsi="Times New Roman"/>
                <w:sz w:val="18"/>
                <w:szCs w:val="18"/>
                <w:color w:val="0000FF"/>
              </w:rPr>
            </w:pPr>
            <w:hyperlink r:id="rId843">
              <w:r>
                <w:rPr>
                  <w:rFonts w:ascii="Times New Roman" w:cs="Times New Roman" w:eastAsia="Times New Roman" w:hAnsi="Times New Roman"/>
                  <w:sz w:val="18"/>
                  <w:szCs w:val="18"/>
                  <w:color w:val="0000FF"/>
                </w:rPr>
                <w:t>Guidelines for Non-Employee Directors (as amended May 2022)</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gridSpan w:val="2"/>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FF0FC"/>
          </w:tcPr>
          <w:p>
            <w:pPr>
              <w:spacing w:after="0"/>
              <w:rPr>
                <w:sz w:val="16"/>
                <w:szCs w:val="16"/>
                <w:color w:val="auto"/>
              </w:rPr>
            </w:pPr>
          </w:p>
        </w:tc>
        <w:tc>
          <w:tcPr>
            <w:tcW w:w="6860" w:type="dxa"/>
            <w:vAlign w:val="bottom"/>
            <w:gridSpan w:val="2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List of Subsidiaries</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6"/>
                <w:szCs w:val="16"/>
                <w:color w:val="auto"/>
              </w:rPr>
            </w:pPr>
          </w:p>
        </w:tc>
        <w:tc>
          <w:tcPr>
            <w:tcW w:w="6860" w:type="dxa"/>
            <w:vAlign w:val="bottom"/>
            <w:gridSpan w:val="24"/>
          </w:tcPr>
          <w:p>
            <w:pPr>
              <w:spacing w:after="0" w:line="189" w:lineRule="exact"/>
              <w:rPr>
                <w:rFonts w:ascii="Times New Roman" w:cs="Times New Roman" w:eastAsia="Times New Roman" w:hAnsi="Times New Roman"/>
                <w:sz w:val="18"/>
                <w:szCs w:val="18"/>
                <w:color w:val="0000FF"/>
              </w:rPr>
            </w:pPr>
            <w:hyperlink r:id="rId866">
              <w:r>
                <w:rPr>
                  <w:rFonts w:ascii="Times New Roman" w:cs="Times New Roman" w:eastAsia="Times New Roman" w:hAnsi="Times New Roman"/>
                  <w:sz w:val="18"/>
                  <w:szCs w:val="18"/>
                  <w:color w:val="0000FF"/>
                </w:rPr>
                <w:t>List of Issuers and Guarantor Subsidiaries</w:t>
              </w:r>
            </w:hyperlink>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2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October 26,</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Borders>
              <w:bottom w:val="single" w:sz="8" w:color="CFF0FC"/>
            </w:tcBorders>
            <w:gridSpan w:val="2"/>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bottom w:val="single" w:sz="8" w:color="CFF0FC"/>
            </w:tcBorders>
            <w:shd w:val="clear" w:color="auto" w:fill="CFF0FC"/>
          </w:tcPr>
          <w:p>
            <w:pPr>
              <w:spacing w:after="0"/>
              <w:rPr>
                <w:sz w:val="19"/>
                <w:szCs w:val="19"/>
                <w:color w:val="auto"/>
              </w:rPr>
            </w:pPr>
          </w:p>
        </w:tc>
        <w:tc>
          <w:tcPr>
            <w:tcW w:w="2540" w:type="dxa"/>
            <w:vAlign w:val="bottom"/>
            <w:tcBorders>
              <w:bottom w:val="single" w:sz="8" w:color="0000FF"/>
            </w:tcBorders>
            <w:gridSpan w:val="4"/>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Consent of Deloitte &amp; Touche LLP</w:t>
            </w:r>
          </w:p>
        </w:tc>
        <w:tc>
          <w:tcPr>
            <w:tcW w:w="4320" w:type="dxa"/>
            <w:vAlign w:val="bottom"/>
            <w:tcBorders>
              <w:bottom w:val="single" w:sz="8" w:color="CFF0FC"/>
            </w:tcBorders>
            <w:gridSpan w:val="20"/>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gridSpan w:val="2"/>
            <w:shd w:val="clear" w:color="auto" w:fill="CFF0FC"/>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9"/>
        </w:trPr>
        <w:tc>
          <w:tcPr>
            <w:tcW w:w="6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6"/>
                <w:szCs w:val="16"/>
                <w:color w:val="auto"/>
              </w:rPr>
            </w:pPr>
          </w:p>
        </w:tc>
        <w:tc>
          <w:tcPr>
            <w:tcW w:w="6440" w:type="dxa"/>
            <w:vAlign w:val="bottom"/>
            <w:tcBorders>
              <w:bottom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pursuant to Rules</w:t>
            </w:r>
          </w:p>
        </w:tc>
        <w:tc>
          <w:tcPr>
            <w:tcW w:w="420" w:type="dxa"/>
            <w:vAlign w:val="bottom"/>
            <w:gridSpan w:val="10"/>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00" w:type="dxa"/>
            <w:vAlign w:val="bottom"/>
            <w:tcBorders>
              <w:bottom w:val="single" w:sz="8" w:color="0000FF"/>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13a-14(a) and 15(d)-14(a) of the Securities Exchange Act of 1934, as adopted pursuant to</w:t>
            </w:r>
          </w:p>
        </w:tc>
        <w:tc>
          <w:tcPr>
            <w:tcW w:w="36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gridSpan w:val="2"/>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bottom w:val="single" w:sz="8" w:color="CFF0FC"/>
            </w:tcBorders>
            <w:shd w:val="clear" w:color="auto" w:fill="CFF0FC"/>
          </w:tcPr>
          <w:p>
            <w:pPr>
              <w:spacing w:after="0"/>
              <w:rPr>
                <w:sz w:val="16"/>
                <w:szCs w:val="16"/>
                <w:color w:val="auto"/>
              </w:rPr>
            </w:pPr>
          </w:p>
        </w:tc>
        <w:tc>
          <w:tcPr>
            <w:tcW w:w="6360" w:type="dxa"/>
            <w:vAlign w:val="bottom"/>
            <w:tcBorders>
              <w:bottom w:val="single" w:sz="8" w:color="0000FF"/>
            </w:tcBorders>
            <w:gridSpan w:val="1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Financial Officer, Andrew J. Krasner, pursuant to</w:t>
            </w:r>
          </w:p>
        </w:tc>
        <w:tc>
          <w:tcPr>
            <w:tcW w:w="500" w:type="dxa"/>
            <w:vAlign w:val="bottom"/>
            <w:tcBorders>
              <w:bottom w:val="single" w:sz="8" w:color="CFF0FC"/>
            </w:tcBorders>
            <w:gridSpan w:val="11"/>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100" w:type="dxa"/>
            <w:vAlign w:val="bottom"/>
            <w:tcBorders>
              <w:bottom w:val="single" w:sz="8" w:color="0000FF"/>
            </w:tcBorders>
            <w:gridSpan w:val="11"/>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rPr>
              <w:t>Rules 13a-14(a) and 15(d)-14(a) of the Securities Exchange Act of 1934, as adopted</w:t>
            </w:r>
          </w:p>
        </w:tc>
        <w:tc>
          <w:tcPr>
            <w:tcW w:w="760" w:type="dxa"/>
            <w:vAlign w:val="bottom"/>
            <w:tcBorders>
              <w:bottom w:val="single" w:sz="8" w:color="CFF0FC"/>
            </w:tcBorders>
            <w:gridSpan w:val="13"/>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24"/>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114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8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6"/>
                <w:szCs w:val="16"/>
                <w:color w:val="auto"/>
              </w:rPr>
            </w:pPr>
          </w:p>
        </w:tc>
        <w:tc>
          <w:tcPr>
            <w:tcW w:w="6720" w:type="dxa"/>
            <w:vAlign w:val="bottom"/>
            <w:tcBorders>
              <w:bottom w:val="single" w:sz="8" w:color="0000FF"/>
            </w:tcBorders>
            <w:gridSpan w:val="23"/>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pursuant to 18 U.S.C.</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 Act of 2002</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gridSpan w:val="2"/>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bottom w:val="single" w:sz="8" w:color="CFF0FC"/>
            </w:tcBorders>
            <w:shd w:val="clear" w:color="auto" w:fill="CFF0FC"/>
          </w:tcPr>
          <w:p>
            <w:pPr>
              <w:spacing w:after="0"/>
              <w:rPr>
                <w:sz w:val="16"/>
                <w:szCs w:val="16"/>
                <w:color w:val="auto"/>
              </w:rPr>
            </w:pPr>
          </w:p>
        </w:tc>
        <w:tc>
          <w:tcPr>
            <w:tcW w:w="6580" w:type="dxa"/>
            <w:vAlign w:val="bottom"/>
            <w:tcBorders>
              <w:bottom w:val="single" w:sz="8" w:color="0000FF"/>
            </w:tcBorders>
            <w:gridSpan w:val="19"/>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Financial Officer, Andrew J. Krasner, pursuant to 18</w:t>
            </w:r>
          </w:p>
        </w:tc>
        <w:tc>
          <w:tcPr>
            <w:tcW w:w="280" w:type="dxa"/>
            <w:vAlign w:val="bottom"/>
            <w:tcBorders>
              <w:bottom w:val="single" w:sz="8" w:color="CFF0FC"/>
            </w:tcBorders>
            <w:gridSpan w:val="5"/>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640" w:type="dxa"/>
            <w:vAlign w:val="bottom"/>
            <w:tcBorders>
              <w:bottom w:val="single" w:sz="8" w:color="0000FF"/>
            </w:tcBorders>
            <w:gridSpan w:val="20"/>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 of the Sarbanes-Oxley Act of 2002</w:t>
            </w:r>
          </w:p>
        </w:tc>
        <w:tc>
          <w:tcPr>
            <w:tcW w:w="220" w:type="dxa"/>
            <w:vAlign w:val="bottom"/>
            <w:tcBorders>
              <w:bottom w:val="single" w:sz="8" w:color="CFF0FC"/>
            </w:tcBorders>
            <w:gridSpan w:val="4"/>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97.1†</w:t>
            </w:r>
          </w:p>
        </w:tc>
        <w:tc>
          <w:tcPr>
            <w:tcW w:w="140" w:type="dxa"/>
            <w:vAlign w:val="bottom"/>
          </w:tcPr>
          <w:p>
            <w:pPr>
              <w:spacing w:after="0"/>
              <w:rPr>
                <w:sz w:val="16"/>
                <w:szCs w:val="16"/>
                <w:color w:val="auto"/>
              </w:rPr>
            </w:pPr>
          </w:p>
        </w:tc>
        <w:tc>
          <w:tcPr>
            <w:tcW w:w="6260" w:type="dxa"/>
            <w:vAlign w:val="bottom"/>
            <w:tcBorders>
              <w:bottom w:val="single" w:sz="8" w:color="0000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w w:val="99"/>
              </w:rPr>
              <w:t>Willis Towers Watson Public Limited Company Compensation Recoupment Policy, as</w:t>
            </w:r>
          </w:p>
        </w:tc>
        <w:tc>
          <w:tcPr>
            <w:tcW w:w="600" w:type="dxa"/>
            <w:vAlign w:val="bottom"/>
            <w:gridSpan w:val="12"/>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amended and restated, adopted and effective as of November 28, 2023</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shd w:val="clear" w:color="auto" w:fill="CFF0FC"/>
          </w:tcPr>
          <w:p>
            <w:pPr>
              <w:spacing w:after="0"/>
              <w:rPr>
                <w:sz w:val="18"/>
                <w:szCs w:val="18"/>
                <w:color w:val="auto"/>
              </w:rPr>
            </w:pPr>
          </w:p>
        </w:tc>
        <w:tc>
          <w:tcPr>
            <w:tcW w:w="6860" w:type="dxa"/>
            <w:vAlign w:val="bottom"/>
            <w:gridSpan w:val="24"/>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60" w:type="dxa"/>
            <w:vAlign w:val="bottom"/>
            <w:gridSpan w:val="24"/>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w:t>
            </w:r>
          </w:p>
        </w:tc>
        <w:tc>
          <w:tcPr>
            <w:tcW w:w="140" w:type="dxa"/>
            <w:vAlign w:val="bottom"/>
          </w:tcPr>
          <w:p>
            <w:pPr>
              <w:spacing w:after="0"/>
              <w:rPr>
                <w:sz w:val="18"/>
                <w:szCs w:val="18"/>
                <w:color w:val="auto"/>
              </w:rPr>
            </w:pPr>
          </w:p>
        </w:tc>
        <w:tc>
          <w:tcPr>
            <w:tcW w:w="6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40" w:type="dxa"/>
            <w:vAlign w:val="bottom"/>
            <w:shd w:val="clear" w:color="auto" w:fill="CFF0FC"/>
          </w:tcPr>
          <w:p>
            <w:pPr>
              <w:spacing w:after="0"/>
              <w:rPr>
                <w:sz w:val="21"/>
                <w:szCs w:val="21"/>
                <w:color w:val="auto"/>
              </w:rPr>
            </w:pPr>
          </w:p>
        </w:tc>
        <w:tc>
          <w:tcPr>
            <w:tcW w:w="6860" w:type="dxa"/>
            <w:vAlign w:val="bottom"/>
            <w:gridSpan w:val="24"/>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firstLine="8"/>
        <w:spacing w:after="0" w:line="257" w:lineRule="auto"/>
        <w:tabs>
          <w:tab w:leader="none" w:pos="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certifications furnished in Exhibits 32.1 and 32.2) are deemed to accompany this Annual Report on Form 10-K and will not be deemed “filed” for purposes of Section 18 of the Securities Exchange Act of 1934, as amended, or otherwise subject to the liability of that section, except to the extent that the registrant specifically incorporates it by reference.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8"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of the exhibits and schedules to this Exhibit have been omitted in accordance with Regulation S-K Item 601(a)(5). We agree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95059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6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5" w:right="339" w:bottom="1440" w:gutter="0" w:footer="0" w:header="0"/>
        </w:sectPr>
      </w:pPr>
    </w:p>
    <w:bookmarkStart w:id="134" w:name="page135"/>
    <w:bookmarkEnd w:id="134"/>
    <w:p>
      <w:pPr>
        <w:spacing w:after="0" w:line="288" w:lineRule="auto"/>
        <w:rPr>
          <w:sz w:val="20"/>
          <w:szCs w:val="20"/>
          <w:color w:val="auto"/>
        </w:rPr>
      </w:pPr>
      <w:r>
        <w:rPr>
          <w:rFonts w:ascii="Times New Roman" w:cs="Times New Roman" w:eastAsia="Times New Roman" w:hAnsi="Times New Roman"/>
          <w:sz w:val="17"/>
          <w:szCs w:val="17"/>
          <w:color w:val="auto"/>
        </w:rPr>
        <w:t>All exhibits that are incorporated by reference herein to a filing with the SEC are filed under SEC File No. 001-16503, except for filings made more than seven years ago which are filed under: SEC File No. 001-16503, for any filings that were made by Willis Group Holdings or the Company; SEC File No. 001-34594, for any filings that were made by Towers Watson; and SEC File No. 001-16159, for any filings that were made by Watson Wyatt Worldwide.</w:t>
      </w:r>
    </w:p>
    <w:p>
      <w:pPr>
        <w:spacing w:after="0" w:line="1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3"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69" w:right="1440" w:bottom="1440" w:gutter="0" w:footer="0" w:header="0"/>
        </w:sectPr>
      </w:pPr>
    </w:p>
    <w:bookmarkStart w:id="136" w:name="page137"/>
    <w:bookmarkEnd w:id="13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260" w:lineRule="exact"/>
        <w:rPr>
          <w:sz w:val="20"/>
          <w:szCs w:val="20"/>
          <w:color w:val="auto"/>
        </w:rPr>
      </w:pPr>
    </w:p>
    <w:p>
      <w:pPr>
        <w:ind w:left="6040"/>
        <w:spacing w:after="0"/>
        <w:tabs>
          <w:tab w:leader="none" w:pos="8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26035</wp:posOffset>
            </wp:positionV>
            <wp:extent cx="30308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71">
                      <a:extLst>
                        <a:ext uri="{28A0092B-C50C-407E-A947-70E740481C1C}"/>
                      </a:extLst>
                    </a:blip>
                    <a:srcRect/>
                    <a:stretch>
                      <a:fillRect/>
                    </a:stretch>
                  </pic:blipFill>
                  <pic:spPr bwMode="auto">
                    <a:xfrm>
                      <a:off x="0" y="0"/>
                      <a:ext cx="3030855" cy="8255"/>
                    </a:xfrm>
                    <a:prstGeom prst="rect">
                      <a:avLst/>
                    </a:prstGeom>
                    <a:noFill/>
                  </pic:spPr>
                </pic:pic>
              </a:graphicData>
            </a:graphic>
          </wp:anchor>
        </w:drawing>
      </w:r>
    </w:p>
    <w:p>
      <w:pPr>
        <w:spacing w:after="0" w:line="29"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color w:val="auto"/>
        </w:rPr>
        <w:t>Carl Hess</w:t>
      </w:r>
    </w:p>
    <w:p>
      <w:pPr>
        <w:spacing w:after="0" w:line="34"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1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160"/>
          </w:cols>
          <w:pgMar w:left="320" w:top="1007" w:right="419" w:bottom="1440" w:gutter="0" w:footer="0" w:header="0"/>
        </w:sectPr>
      </w:pPr>
    </w:p>
    <w:p>
      <w:pPr>
        <w:spacing w:after="0" w:line="32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 Carl Hess</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Carl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72">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 Joseph Kurpis</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Joseph Kurpis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73">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7"/>
          <w:szCs w:val="17"/>
          <w:i w:val="1"/>
          <w:iCs w:val="1"/>
          <w:color w:val="auto"/>
        </w:rPr>
        <w:t>Principal Accounting Officer and Controller</w:t>
      </w:r>
    </w:p>
    <w:p>
      <w:pPr>
        <w:spacing w:after="0" w:line="23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 Dame Inga Beale</w:t>
      </w:r>
    </w:p>
    <w:p>
      <w:pPr>
        <w:spacing w:after="0" w:line="3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Dame Inga Beale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74">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 Stephen Chipman</w:t>
      </w:r>
    </w:p>
    <w:p>
      <w:pPr>
        <w:spacing w:after="0" w:line="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Stephen Chipman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75">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 Jacqueline Hunt</w:t>
      </w:r>
    </w:p>
    <w:p>
      <w:pPr>
        <w:spacing w:after="0" w:line="3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Jacqueline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76">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 Michelle Swanback</w:t>
      </w:r>
    </w:p>
    <w:p>
      <w:pPr>
        <w:spacing w:after="0" w:line="3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Michelle Swanback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77">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 Fredric Tomczyk</w:t>
      </w:r>
    </w:p>
    <w:p>
      <w:pPr>
        <w:spacing w:after="0" w:line="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Fredric Tomczyk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78">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Andrew Krasner</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Andrew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79">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 Fumbi Chima</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Fumbi Chima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80">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Michael Hammond</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Michael Hammond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81">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Paul Reilly</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Paul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82">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 Paul Thomas</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Paul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83">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1103" w:lineRule="exact"/>
        <w:rPr>
          <w:sz w:val="20"/>
          <w:szCs w:val="20"/>
          <w:color w:val="auto"/>
        </w:rPr>
      </w:pPr>
    </w:p>
    <w:p>
      <w:pPr>
        <w:sectPr>
          <w:pgSz w:w="11900" w:h="16838" w:orient="portrait"/>
          <w:cols w:equalWidth="0" w:num="2">
            <w:col w:w="6920" w:space="720"/>
            <w:col w:w="3520"/>
          </w:cols>
          <w:pgMar w:left="320" w:top="1007" w:right="419" w:bottom="1440" w:gutter="0" w:footer="0" w:header="0"/>
          <w:type w:val="continuous"/>
        </w:sect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7" w:right="41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Exhibit 10.31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Willis Towers Watson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Stable Value Excess Plan for U.S. Employees</w:t>
      </w:r>
    </w:p>
    <w:p>
      <w:pPr>
        <w:spacing w:after="0" w:line="205" w:lineRule="exact"/>
        <w:rPr>
          <w:sz w:val="20"/>
          <w:szCs w:val="20"/>
          <w:color w:val="auto"/>
        </w:rPr>
      </w:pPr>
    </w:p>
    <w:p>
      <w:pPr>
        <w:jc w:val="both"/>
        <w:ind w:firstLine="8"/>
        <w:spacing w:after="0" w:line="236" w:lineRule="auto"/>
        <w:tabs>
          <w:tab w:leader="none" w:pos="50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Establishment and Purpose of Plan</w:t>
      </w:r>
      <w:r>
        <w:rPr>
          <w:rFonts w:ascii="Times New Roman" w:cs="Times New Roman" w:eastAsia="Times New Roman" w:hAnsi="Times New Roman"/>
          <w:sz w:val="22"/>
          <w:szCs w:val="22"/>
          <w:color w:val="auto"/>
        </w:rPr>
        <w:t>. The Willis Towers Watson Non-Qualified Stable Value Excess Plan for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has been adopted and established, effective July 1, 2017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as an unfunded deferred compensation plan for a select group of key management or highly compensated employees of Willis NA, Inc. and certain of its affiliates. The purpose of the Plan is to provide a select group of management or highly compensated employees (within the meaning of Sections 201(2), 301(A)(3), and 401(A) (1) of ERISA) of the Company who contribute significantly to the future business success of the Company with “top-hat” supplemental and deferred compensation benefits through the accrual of a Non-Contributory or Contributory Stable Value Benefit.</w:t>
      </w:r>
    </w:p>
    <w:p>
      <w:pPr>
        <w:spacing w:after="0" w:line="173"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2.01</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Acceleration Event</w:t>
      </w:r>
      <w:r>
        <w:rPr>
          <w:rFonts w:ascii="Times New Roman" w:cs="Times New Roman" w:eastAsia="Times New Roman" w:hAnsi="Times New Roman"/>
          <w:sz w:val="22"/>
          <w:szCs w:val="22"/>
          <w:color w:val="000000"/>
        </w:rPr>
        <w:t>” has the meaning set forth in Section 11.</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2.02</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Affiliate</w:t>
      </w:r>
      <w:r>
        <w:rPr>
          <w:rFonts w:ascii="Times New Roman" w:cs="Times New Roman" w:eastAsia="Times New Roman" w:hAnsi="Times New Roman"/>
          <w:sz w:val="22"/>
          <w:szCs w:val="22"/>
          <w:color w:val="000000"/>
        </w:rPr>
        <w:t>” means any corporation, trade, or business which is treated as a single employer with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Company under Code Section 414(b) or 414(c) and any other entity designated by the Committee as an “Affiliate” for purposes of the Plan.</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2.03</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Base Salary</w:t>
      </w:r>
      <w:r>
        <w:rPr>
          <w:rFonts w:ascii="Times New Roman" w:cs="Times New Roman" w:eastAsia="Times New Roman" w:hAnsi="Times New Roman"/>
          <w:sz w:val="22"/>
          <w:szCs w:val="22"/>
          <w:color w:val="000000"/>
        </w:rPr>
        <w:t>” means the annual rate of base pay paid by the Company to or for the benefit of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Participant for services rendered, including, as applicable, overtime, bonuses paid to a Participant who passes an actuarial exam, and bonuses paid in lieu of a raise, provided that such amounts are paid on substantially the same terms as base pay.</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2.04</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Board</w:t>
      </w:r>
      <w:r>
        <w:rPr>
          <w:rFonts w:ascii="Times New Roman" w:cs="Times New Roman" w:eastAsia="Times New Roman" w:hAnsi="Times New Roman"/>
          <w:sz w:val="22"/>
          <w:szCs w:val="22"/>
          <w:color w:val="000000"/>
        </w:rPr>
        <w:t>” means the Board of Directors of the Company, as constituted from time to time.</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2.05</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Bonus Compensation</w:t>
      </w:r>
      <w:r>
        <w:rPr>
          <w:rFonts w:ascii="Times New Roman" w:cs="Times New Roman" w:eastAsia="Times New Roman" w:hAnsi="Times New Roman"/>
          <w:sz w:val="22"/>
          <w:szCs w:val="22"/>
          <w:color w:val="000000"/>
        </w:rPr>
        <w:t>” means compensation earned by a Participant for services rendered by a Participant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under any bonus or cash incentive plan maintained by the Company relating to a service period of one year or less, which would be included as compensation under the Pension Plan, without regard to the limit under Code Section 401(a)(17).</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2.06</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Claimant</w:t>
      </w:r>
      <w:r>
        <w:rPr>
          <w:rFonts w:ascii="Times New Roman" w:cs="Times New Roman" w:eastAsia="Times New Roman" w:hAnsi="Times New Roman"/>
          <w:sz w:val="22"/>
          <w:szCs w:val="22"/>
          <w:color w:val="000000"/>
        </w:rPr>
        <w:t>” has the meaning set forth in Section 14.01.</w:t>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2.07</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Code</w:t>
      </w:r>
      <w:r>
        <w:rPr>
          <w:rFonts w:ascii="Times New Roman" w:cs="Times New Roman" w:eastAsia="Times New Roman" w:hAnsi="Times New Roman"/>
          <w:sz w:val="22"/>
          <w:szCs w:val="22"/>
          <w:color w:val="000000"/>
        </w:rPr>
        <w:t>” means the U.S. Internal Revenue Code of 1986, as amended, or any successor statute, and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Treasury Regulations and other authoritative guidance issued thereunder.</w:t>
      </w:r>
    </w:p>
    <w:p>
      <w:pPr>
        <w:spacing w:after="0" w:line="15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010000"/>
        </w:rPr>
        <w:t>Section 2.08</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Committee</w:t>
      </w:r>
      <w:r>
        <w:rPr>
          <w:rFonts w:ascii="Times New Roman" w:cs="Times New Roman" w:eastAsia="Times New Roman" w:hAnsi="Times New Roman"/>
          <w:sz w:val="22"/>
          <w:szCs w:val="22"/>
          <w:color w:val="000000"/>
        </w:rPr>
        <w:t>” means the Willis Towers Watson U.S. Benefit Plans Administration Committee (or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successor thereto or other committee that is appointed to administer the Plan), provided that with respect to the participation of any employee who is not an executive officer (as defined under Rule 3b-7 of the Securities Exchange Act of 1934, as amended) of the Company, “Committee” shall in addition mean the Chief Executive Officer of the Company. With respect to matters required by either Companies Act of 1963 of Ireland or by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38" w:name="page139"/>
    <w:bookmarkEnd w:id="138"/>
    <w:p>
      <w:pPr>
        <w:jc w:val="both"/>
        <w:spacing w:after="0" w:line="239" w:lineRule="auto"/>
        <w:rPr>
          <w:sz w:val="20"/>
          <w:szCs w:val="20"/>
          <w:color w:val="auto"/>
        </w:rPr>
      </w:pPr>
      <w:r>
        <w:rPr>
          <w:rFonts w:ascii="Times New Roman" w:cs="Times New Roman" w:eastAsia="Times New Roman" w:hAnsi="Times New Roman"/>
          <w:sz w:val="22"/>
          <w:szCs w:val="22"/>
          <w:color w:val="auto"/>
        </w:rPr>
        <w:t>securities laws or corporate governance standards of the NASDAQ Stock Market, to be determined by the committee of members of the Board of Directors of WTW that administers the EIP, the Committee hereby delegates its authority to the committee of the Board of Directors of WTW that administers the EIP, which will serve as plan administrator and have all the authority of the Committee with respect to such matters.</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2.09</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Company</w:t>
      </w:r>
      <w:r>
        <w:rPr>
          <w:rFonts w:ascii="Times New Roman" w:cs="Times New Roman" w:eastAsia="Times New Roman" w:hAnsi="Times New Roman"/>
          <w:sz w:val="22"/>
          <w:szCs w:val="22"/>
          <w:color w:val="000000"/>
        </w:rPr>
        <w:t>” means Willis NA, or any successor thereto and any Affiliate designated by the Committee as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sponsor of the Plan.</w:t>
      </w:r>
    </w:p>
    <w:p>
      <w:pPr>
        <w:spacing w:after="0" w:line="15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010000"/>
        </w:rPr>
        <w:t>Section 2.10</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Contributory Eligible Employee</w:t>
      </w:r>
      <w:r>
        <w:rPr>
          <w:rFonts w:ascii="Times New Roman" w:cs="Times New Roman" w:eastAsia="Times New Roman" w:hAnsi="Times New Roman"/>
          <w:sz w:val="22"/>
          <w:szCs w:val="22"/>
          <w:color w:val="000000"/>
        </w:rPr>
        <w:t>” means, unless determined otherwise by the Company in its discretion,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 Contributory Employee who (a) is an employee at Willis Towers Watson Level 38 as determined by the Committee, (b) has Eligible Compensation for the applicable Plan Year, and (c) was hired by the Company prior to January 1, 2024 and has been employed by the Company for at least 12 months; provided that certain employees with unique compensation arrangements (such as certain producers), as determined by the Chief Executive Officer of the Company in its sole discretion, shall be excluded from the definition of Contributory Eligible Employee. Notwithstanding the foregoing, employees who are paid on the bi-weekly payroll shall be excluded from the definition of Contributory Eligible Employee.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010000"/>
        </w:rPr>
        <w:t>Section 2.11</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Contributory Employee</w:t>
      </w:r>
      <w:r>
        <w:rPr>
          <w:rFonts w:ascii="Times New Roman" w:cs="Times New Roman" w:eastAsia="Times New Roman" w:hAnsi="Times New Roman"/>
          <w:sz w:val="22"/>
          <w:szCs w:val="22"/>
          <w:color w:val="000000"/>
        </w:rPr>
        <w:t>” means, effective January 1, 2024, a U.S. employee of the Company or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Affiliate who is eligible to participate in the Pension Plan, regardless of whether such participation is under the Contributory Formula (as defined in the Pension Plan). For Plan Years prior to January 1, 2024 “Contributory Employee” means a U.S. employee of the Company or any Affiliate who is eligible to participate in the Pension Plan under the Contributory Formula (as defined in the Pension Plan).</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2.12</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Contributory Participant</w:t>
      </w:r>
      <w:r>
        <w:rPr>
          <w:rFonts w:ascii="Times New Roman" w:cs="Times New Roman" w:eastAsia="Times New Roman" w:hAnsi="Times New Roman"/>
          <w:sz w:val="22"/>
          <w:szCs w:val="22"/>
          <w:color w:val="000000"/>
        </w:rPr>
        <w:t>” means a Contributory Eligible Employee who elects to participate in the Plan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by filing a Participation Election in accordance with Section 4.01, a New Contributory Participant, and any former Contributory Eligible Employee who has a balance greater than zero in his or her Stable Value Account.</w:t>
      </w:r>
    </w:p>
    <w:p>
      <w:pPr>
        <w:spacing w:after="0" w:line="16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2.13</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Contributory Stable Value Benefit</w:t>
      </w:r>
      <w:r>
        <w:rPr>
          <w:rFonts w:ascii="Times New Roman" w:cs="Times New Roman" w:eastAsia="Times New Roman" w:hAnsi="Times New Roman"/>
          <w:sz w:val="22"/>
          <w:szCs w:val="22"/>
          <w:color w:val="000000"/>
        </w:rPr>
        <w:t>” means the benefit a Contributory Participant accrues under the Plan,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as determined in Section 7.01.</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2.14</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Disability</w:t>
      </w:r>
      <w:r>
        <w:rPr>
          <w:rFonts w:ascii="Times New Roman" w:cs="Times New Roman" w:eastAsia="Times New Roman" w:hAnsi="Times New Roman"/>
          <w:sz w:val="22"/>
          <w:szCs w:val="22"/>
          <w:color w:val="000000"/>
        </w:rPr>
        <w:t>” means that the Participant is determined to be disabled in accordance with the Company’s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long-term disability plan.</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2.15</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Dividend Equivalent Rights</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b w:val="1"/>
          <w:bCs w:val="1"/>
          <w:color w:val="000000"/>
        </w:rPr>
        <w:t>DERs</w:t>
      </w:r>
      <w:r>
        <w:rPr>
          <w:rFonts w:ascii="Times New Roman" w:cs="Times New Roman" w:eastAsia="Times New Roman" w:hAnsi="Times New Roman"/>
          <w:sz w:val="22"/>
          <w:szCs w:val="22"/>
          <w:color w:val="000000"/>
        </w:rPr>
        <w:t>” shall have the meaning set forth in the EIP.</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2.16</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EIP</w:t>
      </w:r>
      <w:r>
        <w:rPr>
          <w:rFonts w:ascii="Times New Roman" w:cs="Times New Roman" w:eastAsia="Times New Roman" w:hAnsi="Times New Roman"/>
          <w:sz w:val="22"/>
          <w:szCs w:val="22"/>
          <w:color w:val="000000"/>
        </w:rPr>
        <w:t>” means the Willis Towers Watson Public Limited Company 2012 Equity Incentive Plan, as amended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and restated from time to time, or in the event of a merger, consolidation, or other corporate transaction, the successor to such plan.</w:t>
      </w:r>
    </w:p>
    <w:p>
      <w:pPr>
        <w:spacing w:after="0" w:line="166" w:lineRule="exact"/>
        <w:rPr>
          <w:sz w:val="20"/>
          <w:szCs w:val="20"/>
          <w:color w:val="auto"/>
        </w:rPr>
      </w:pPr>
    </w:p>
    <w:p>
      <w:pPr>
        <w:jc w:val="both"/>
        <w:ind w:firstLine="749"/>
        <w:spacing w:after="0" w:line="311" w:lineRule="auto"/>
        <w:rPr>
          <w:sz w:val="20"/>
          <w:szCs w:val="20"/>
          <w:color w:val="auto"/>
        </w:rPr>
      </w:pPr>
      <w:r>
        <w:rPr>
          <w:rFonts w:ascii="Times New Roman" w:cs="Times New Roman" w:eastAsia="Times New Roman" w:hAnsi="Times New Roman"/>
          <w:sz w:val="20"/>
          <w:szCs w:val="20"/>
          <w:b w:val="1"/>
          <w:bCs w:val="1"/>
          <w:color w:val="010000"/>
        </w:rPr>
        <w:t>Section 2.17</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color w:val="000000"/>
        </w:rPr>
        <w:t>Eligible Compensation</w:t>
      </w:r>
      <w:r>
        <w:rPr>
          <w:rFonts w:ascii="Times New Roman" w:cs="Times New Roman" w:eastAsia="Times New Roman" w:hAnsi="Times New Roman"/>
          <w:sz w:val="20"/>
          <w:szCs w:val="20"/>
          <w:color w:val="000000"/>
        </w:rPr>
        <w:t>” means, in general, for Plan Years beginning on or after January 1, 2024,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amount of an Eligible Employee’s Base Salary that exceeds the limit under Code Section 401(a)(17) for the applicable Plan Year.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9" w:name="page140"/>
    <w:bookmarkEnd w:id="139"/>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Plan Years prior to January 1, 2024, Eligible Compensation means, in general, the amount of an Eligible Employee’s Base Salary plus Bonus Compensation that exceeds the limit under Code Section 401(a)(17) for the applicable Plan Year, provided that the following shall apply:</w:t>
      </w:r>
    </w:p>
    <w:p>
      <w:pPr>
        <w:spacing w:after="0" w:line="168" w:lineRule="exact"/>
        <w:rPr>
          <w:sz w:val="20"/>
          <w:szCs w:val="20"/>
          <w:color w:val="auto"/>
        </w:rPr>
      </w:pPr>
    </w:p>
    <w:p>
      <w:pPr>
        <w:jc w:val="both"/>
        <w:ind w:firstLine="1505"/>
        <w:spacing w:after="0" w:line="237" w:lineRule="auto"/>
        <w:tabs>
          <w:tab w:leader="none" w:pos="2037"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Bonus Compensation and Timing of Enrollment</w:t>
      </w:r>
      <w:r>
        <w:rPr>
          <w:rFonts w:ascii="Times New Roman" w:cs="Times New Roman" w:eastAsia="Times New Roman" w:hAnsi="Times New Roman"/>
          <w:sz w:val="22"/>
          <w:szCs w:val="22"/>
          <w:color w:val="auto"/>
        </w:rPr>
        <w:t>. With respect to Contributory Eligible Employees,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that, as of the last day of the applicable Enrollment Period, (i) there is less than six months before the end of the performance period for which Bonus Compensation is earned or (ii) the amount of Bonus Compensation has become readily ascertainable, Eligible Compensation means the amount of a Contributory Eligible Employee’s Base Salary that, when added to the Contributory Eligible Employee’s Bonus Compensation paid during the applicable Plan Year, has exceeded the Code Section 401(a)(17) limit for the applicable Plan Year.</w:t>
      </w:r>
    </w:p>
    <w:p>
      <w:pPr>
        <w:spacing w:after="0" w:line="173" w:lineRule="exact"/>
        <w:rPr>
          <w:rFonts w:ascii="Times New Roman" w:cs="Times New Roman" w:eastAsia="Times New Roman" w:hAnsi="Times New Roman"/>
          <w:sz w:val="22"/>
          <w:szCs w:val="22"/>
          <w:color w:val="010000"/>
        </w:rPr>
      </w:pPr>
    </w:p>
    <w:p>
      <w:pPr>
        <w:jc w:val="both"/>
        <w:ind w:firstLine="1505"/>
        <w:spacing w:after="0" w:line="237" w:lineRule="auto"/>
        <w:tabs>
          <w:tab w:leader="none" w:pos="2037"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Initial Plan Year</w:t>
      </w:r>
      <w:r>
        <w:rPr>
          <w:rFonts w:ascii="Times New Roman" w:cs="Times New Roman" w:eastAsia="Times New Roman" w:hAnsi="Times New Roman"/>
          <w:sz w:val="22"/>
          <w:szCs w:val="22"/>
          <w:color w:val="auto"/>
        </w:rPr>
        <w:t>. For Contributory Eligible Employees, Eligible Compensation for the initial Plan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relate only to Base Salary paid during the initial Plan Year that exceeds the limit under Code Section 401(a)(17). For Non-Contributory Eligible Employees, Eligible Compensation for the initial Plan Year shall relate to Base Salary plus Bonus Compensation paid during the entire 2017 calendar year that exceeds the limit under Code Section 401(a)(17), but, for the avoidance of doubt, only Eligible Compensation paid during the applicable calendar quarter shall be considered for purposes of determining the Non-Contributory Stable Value Benefit under Section 6.01.</w:t>
      </w:r>
    </w:p>
    <w:p>
      <w:pPr>
        <w:spacing w:after="0" w:line="173" w:lineRule="exact"/>
        <w:rPr>
          <w:rFonts w:ascii="Times New Roman" w:cs="Times New Roman" w:eastAsia="Times New Roman" w:hAnsi="Times New Roman"/>
          <w:sz w:val="22"/>
          <w:szCs w:val="22"/>
          <w:color w:val="010000"/>
        </w:rPr>
      </w:pPr>
    </w:p>
    <w:p>
      <w:pPr>
        <w:jc w:val="both"/>
        <w:ind w:firstLine="1505"/>
        <w:spacing w:after="0"/>
        <w:tabs>
          <w:tab w:leader="none" w:pos="2037"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Participation for Partial Plan Years</w:t>
      </w:r>
      <w:r>
        <w:rPr>
          <w:rFonts w:ascii="Times New Roman" w:cs="Times New Roman" w:eastAsia="Times New Roman" w:hAnsi="Times New Roman"/>
          <w:sz w:val="22"/>
          <w:szCs w:val="22"/>
          <w:color w:val="auto"/>
        </w:rPr>
        <w:t>. For a New Contributory Participant who commences participation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3.03, Eligible Compensation for such Plan Year shall relate only to Base Salary plus Bonus Compensation (subject to subsection (a) above) that is paid after the date such participation commences that exceeds the limit under Code Section 401(a)(17).</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2.18</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Eligible Employee</w:t>
      </w:r>
      <w:r>
        <w:rPr>
          <w:rFonts w:ascii="Times New Roman" w:cs="Times New Roman" w:eastAsia="Times New Roman" w:hAnsi="Times New Roman"/>
          <w:sz w:val="22"/>
          <w:szCs w:val="22"/>
          <w:color w:val="000000"/>
        </w:rPr>
        <w:t>” means a Contributory Eligible Employee or, prior to January 1, 2024, a Non-Contributory Eligible Employee, as applicable.</w:t>
      </w:r>
    </w:p>
    <w:p>
      <w:pPr>
        <w:spacing w:after="0" w:line="151"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2.19</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Enrollment Period</w:t>
      </w:r>
      <w:r>
        <w:rPr>
          <w:rFonts w:ascii="Times New Roman" w:cs="Times New Roman" w:eastAsia="Times New Roman" w:hAnsi="Times New Roman"/>
          <w:sz w:val="22"/>
          <w:szCs w:val="22"/>
          <w:color w:val="000000"/>
        </w:rPr>
        <w:t>” means the period(s) established by the Committee with respect to each Plan Year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during which a Participation Election must be submitted by a Contributory Eligible Employee in accordance with the requirements of Code Section 409A, as follows:</w:t>
      </w:r>
    </w:p>
    <w:p>
      <w:pPr>
        <w:spacing w:after="0" w:line="166" w:lineRule="exact"/>
        <w:rPr>
          <w:sz w:val="20"/>
          <w:szCs w:val="20"/>
          <w:color w:val="auto"/>
        </w:rPr>
      </w:pPr>
    </w:p>
    <w:p>
      <w:pPr>
        <w:jc w:val="both"/>
        <w:ind w:firstLine="1505"/>
        <w:spacing w:after="0" w:line="246" w:lineRule="auto"/>
        <w:tabs>
          <w:tab w:leader="none" w:pos="2037"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General Rule</w:t>
      </w:r>
      <w:r>
        <w:rPr>
          <w:rFonts w:ascii="Times New Roman" w:cs="Times New Roman" w:eastAsia="Times New Roman" w:hAnsi="Times New Roman"/>
          <w:sz w:val="22"/>
          <w:szCs w:val="22"/>
          <w:color w:val="auto"/>
        </w:rPr>
        <w:t>. Except as provided in (b) or (c) below, the Enrollment Period shall end no later than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last day of the Plan Year immediately preceding the Plan Year in which the services will be rendered to which the Eligible Compensation subject to the Participation Election relates.</w:t>
      </w:r>
    </w:p>
    <w:p>
      <w:pPr>
        <w:spacing w:after="0" w:line="165" w:lineRule="exact"/>
        <w:rPr>
          <w:rFonts w:ascii="Times New Roman" w:cs="Times New Roman" w:eastAsia="Times New Roman" w:hAnsi="Times New Roman"/>
          <w:sz w:val="22"/>
          <w:szCs w:val="22"/>
          <w:color w:val="010000"/>
        </w:rPr>
      </w:pPr>
    </w:p>
    <w:p>
      <w:pPr>
        <w:jc w:val="both"/>
        <w:ind w:firstLine="1505"/>
        <w:spacing w:after="0"/>
        <w:tabs>
          <w:tab w:leader="none" w:pos="2037"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Performance-Based Compensation</w:t>
      </w:r>
      <w:r>
        <w:rPr>
          <w:rFonts w:ascii="Times New Roman" w:cs="Times New Roman" w:eastAsia="Times New Roman" w:hAnsi="Times New Roman"/>
          <w:sz w:val="22"/>
          <w:szCs w:val="22"/>
          <w:color w:val="auto"/>
        </w:rPr>
        <w:t>. If any Bonus Compensation constitutes “performance-based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within the meaning of Treas. Reg. Section 1.409A-1(e), then, in order for such Bonus Compensation to be included as Eligible Compensation, the Enrollment Period shall end no later than six months before the end of the performance period for which the Bonus Compensation is earned (and in no event later than the date on which the amount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0" w:name="page141"/>
    <w:bookmarkEnd w:id="140"/>
    <w:p>
      <w:pPr>
        <w:jc w:val="both"/>
        <w:spacing w:after="0" w:line="239" w:lineRule="auto"/>
        <w:rPr>
          <w:sz w:val="20"/>
          <w:szCs w:val="20"/>
          <w:color w:val="auto"/>
        </w:rPr>
      </w:pPr>
      <w:r>
        <w:rPr>
          <w:rFonts w:ascii="Times New Roman" w:cs="Times New Roman" w:eastAsia="Times New Roman" w:hAnsi="Times New Roman"/>
          <w:sz w:val="22"/>
          <w:szCs w:val="22"/>
          <w:color w:val="auto"/>
        </w:rPr>
        <w:t>of the Bonus Compensation becomes readily ascertainable). For the avoidance of doubt, a Contributory Employee must be employed by the Company as a Contributory Eligible Employee and must have established performance goals in writing, in each case by March 30 of the applicable performance period beginning on January 1, in order for Bonus Compensation to be included as Eligible Compensation.</w:t>
      </w:r>
    </w:p>
    <w:p>
      <w:pPr>
        <w:spacing w:after="0" w:line="175" w:lineRule="exact"/>
        <w:rPr>
          <w:sz w:val="20"/>
          <w:szCs w:val="20"/>
          <w:color w:val="auto"/>
        </w:rPr>
      </w:pPr>
    </w:p>
    <w:p>
      <w:pPr>
        <w:ind w:left="2040" w:hanging="535"/>
        <w:spacing w:after="0"/>
        <w:tabs>
          <w:tab w:leader="none" w:pos="2040"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Initial Enrollment Period</w:t>
      </w:r>
      <w:r>
        <w:rPr>
          <w:rFonts w:ascii="Times New Roman" w:cs="Times New Roman" w:eastAsia="Times New Roman" w:hAnsi="Times New Roman"/>
          <w:sz w:val="22"/>
          <w:szCs w:val="22"/>
          <w:color w:val="auto"/>
        </w:rPr>
        <w:t>. The initial Enrollment Period shall end no later than the Effective Date.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2.20</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ERISA</w:t>
      </w:r>
      <w:r>
        <w:rPr>
          <w:rFonts w:ascii="Times New Roman" w:cs="Times New Roman" w:eastAsia="Times New Roman" w:hAnsi="Times New Roman"/>
          <w:sz w:val="22"/>
          <w:szCs w:val="22"/>
          <w:color w:val="000000"/>
        </w:rPr>
        <w:t>” means the Employee Retirement Income Security Act of 1974, as amended from time to time.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2.21</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FICA Amount</w:t>
      </w:r>
      <w:r>
        <w:rPr>
          <w:rFonts w:ascii="Times New Roman" w:cs="Times New Roman" w:eastAsia="Times New Roman" w:hAnsi="Times New Roman"/>
          <w:sz w:val="22"/>
          <w:szCs w:val="22"/>
          <w:color w:val="000000"/>
        </w:rPr>
        <w:t>” has the meaning set forth in Section 11.02.</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010000"/>
        </w:rPr>
        <w:t>Section 2.22</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Non-Contributory Eligible Employee</w:t>
      </w:r>
      <w:r>
        <w:rPr>
          <w:rFonts w:ascii="Times New Roman" w:cs="Times New Roman" w:eastAsia="Times New Roman" w:hAnsi="Times New Roman"/>
          <w:sz w:val="22"/>
          <w:szCs w:val="22"/>
          <w:color w:val="000000"/>
        </w:rPr>
        <w:t>” means, unless determined otherwise by the Company in its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discretion, a Non-Contributory Employee who (a) is an employee at or above Level 50 for the initial Plan Year or Willis Towers Watson Level 38 (or the equivalent of a Level 50), in either case as determined by the Committee, (b) has Eligible Compensation for the applicable Plan Year; provided that, effective January 1, 2024, no employee shall be a Non-Contributory Eligible Employee. Notwithstanding the foregoing, employees who are paid on the bi-weekly payroll shall be excluded from the definition of Non-Contributory Eligible Employee.</w:t>
      </w:r>
    </w:p>
    <w:p>
      <w:pPr>
        <w:spacing w:after="0" w:line="173"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2.23</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Non-Contributory Employee</w:t>
      </w:r>
      <w:r>
        <w:rPr>
          <w:rFonts w:ascii="Times New Roman" w:cs="Times New Roman" w:eastAsia="Times New Roman" w:hAnsi="Times New Roman"/>
          <w:sz w:val="22"/>
          <w:szCs w:val="22"/>
          <w:color w:val="000000"/>
        </w:rPr>
        <w:t>” means a U.S. employee of the Company or any Affiliate who is eligible to</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participate in the Pension Plan under a formula other than the Contributory Formula (as defined in the Pension Plan).</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2.24</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Non-Contributory Participant</w:t>
      </w:r>
      <w:r>
        <w:rPr>
          <w:rFonts w:ascii="Times New Roman" w:cs="Times New Roman" w:eastAsia="Times New Roman" w:hAnsi="Times New Roman"/>
          <w:sz w:val="22"/>
          <w:szCs w:val="22"/>
          <w:color w:val="000000"/>
        </w:rPr>
        <w:t>” means a Non-Contributory Eligible Employee and any former Non-Contributory Eligible Employee who has a balance greater than zero in his or her Stable Value Account.</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2.25</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Non-Contributory Stable Value Benefit</w:t>
      </w:r>
      <w:r>
        <w:rPr>
          <w:rFonts w:ascii="Times New Roman" w:cs="Times New Roman" w:eastAsia="Times New Roman" w:hAnsi="Times New Roman"/>
          <w:sz w:val="22"/>
          <w:szCs w:val="22"/>
          <w:color w:val="000000"/>
        </w:rPr>
        <w:t>” means the benefit a Non-Contributory Eligible Employee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accrues under the Plan, as determined in Section 6.01.</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2.26</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Ordinary Shares</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b w:val="1"/>
          <w:bCs w:val="1"/>
          <w:color w:val="000000"/>
        </w:rPr>
        <w:t>Shares</w:t>
      </w:r>
      <w:r>
        <w:rPr>
          <w:rFonts w:ascii="Times New Roman" w:cs="Times New Roman" w:eastAsia="Times New Roman" w:hAnsi="Times New Roman"/>
          <w:sz w:val="22"/>
          <w:szCs w:val="22"/>
          <w:color w:val="000000"/>
        </w:rPr>
        <w:t>” means the ordinary shares of the Company, with a nominal value of</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$0.000304635.</w:t>
      </w:r>
    </w:p>
    <w:p>
      <w:pPr>
        <w:spacing w:after="0" w:line="151"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2.27</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Participant</w:t>
      </w:r>
      <w:r>
        <w:rPr>
          <w:rFonts w:ascii="Times New Roman" w:cs="Times New Roman" w:eastAsia="Times New Roman" w:hAnsi="Times New Roman"/>
          <w:sz w:val="22"/>
          <w:szCs w:val="22"/>
          <w:color w:val="000000"/>
        </w:rPr>
        <w:t>” means an individual who participates in the Plan as a Non-Contributory Participant or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Contributory Participant, as applicable.</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2.28</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Participant Contribution</w:t>
      </w:r>
      <w:r>
        <w:rPr>
          <w:rFonts w:ascii="Times New Roman" w:cs="Times New Roman" w:eastAsia="Times New Roman" w:hAnsi="Times New Roman"/>
          <w:sz w:val="22"/>
          <w:szCs w:val="22"/>
          <w:color w:val="000000"/>
        </w:rPr>
        <w:t>” means 2% of a Contributory Participant’s Eligible Compensation for a Plan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2.29</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Participation Election</w:t>
      </w:r>
      <w:r>
        <w:rPr>
          <w:rFonts w:ascii="Times New Roman" w:cs="Times New Roman" w:eastAsia="Times New Roman" w:hAnsi="Times New Roman"/>
          <w:sz w:val="22"/>
          <w:szCs w:val="22"/>
          <w:color w:val="000000"/>
        </w:rPr>
        <w:t>” means an election by a Contributory Eligible Employee to participate in the Plan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during a Plan Year. Any election shall be irrevocable and, except as otherwise provided by the Committee, shall carry over from Plan Year to Plan Year unless changed or revoked during the applicable Enrollment Period.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1" w:name="page142"/>
    <w:bookmarkEnd w:id="141"/>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2.30</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Payment Date</w:t>
      </w:r>
      <w:r>
        <w:rPr>
          <w:rFonts w:ascii="Times New Roman" w:cs="Times New Roman" w:eastAsia="Times New Roman" w:hAnsi="Times New Roman"/>
          <w:sz w:val="22"/>
          <w:szCs w:val="22"/>
          <w:color w:val="000000"/>
        </w:rPr>
        <w:t>” means the first business day of the month on which the NASDAQ Stock Market is open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for business following a Payment Event.</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2.31</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Payment Event</w:t>
      </w:r>
      <w:r>
        <w:rPr>
          <w:rFonts w:ascii="Times New Roman" w:cs="Times New Roman" w:eastAsia="Times New Roman" w:hAnsi="Times New Roman"/>
          <w:sz w:val="22"/>
          <w:szCs w:val="22"/>
          <w:color w:val="000000"/>
        </w:rPr>
        <w:t>” has the meaning set forth in Section 10.01.</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2.32</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Pension Plan</w:t>
      </w:r>
      <w:r>
        <w:rPr>
          <w:rFonts w:ascii="Times New Roman" w:cs="Times New Roman" w:eastAsia="Times New Roman" w:hAnsi="Times New Roman"/>
          <w:sz w:val="22"/>
          <w:szCs w:val="22"/>
          <w:color w:val="000000"/>
        </w:rPr>
        <w:t>” means the Willis Towers Watson Pension Plan for U.S. Employees.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2.33</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Plan</w:t>
      </w:r>
      <w:r>
        <w:rPr>
          <w:rFonts w:ascii="Times New Roman" w:cs="Times New Roman" w:eastAsia="Times New Roman" w:hAnsi="Times New Roman"/>
          <w:sz w:val="22"/>
          <w:szCs w:val="22"/>
          <w:color w:val="000000"/>
        </w:rPr>
        <w:t>” means this Willis Towers Watson Non-Qualified Stable Value Excess Plan for U.S. Employees.</w:t>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2.34</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Plan Year</w:t>
      </w:r>
      <w:r>
        <w:rPr>
          <w:rFonts w:ascii="Times New Roman" w:cs="Times New Roman" w:eastAsia="Times New Roman" w:hAnsi="Times New Roman"/>
          <w:sz w:val="22"/>
          <w:szCs w:val="22"/>
          <w:color w:val="000000"/>
        </w:rPr>
        <w:t>” means the twelve consecutive month period which begins on January 1 and ends on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following December 31; provided that the initial Plan Year shall begin on the Effective Date and end on December 31, 2017.</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2.35</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Quarterly Determination Date</w:t>
      </w:r>
      <w:r>
        <w:rPr>
          <w:rFonts w:ascii="Times New Roman" w:cs="Times New Roman" w:eastAsia="Times New Roman" w:hAnsi="Times New Roman"/>
          <w:sz w:val="22"/>
          <w:szCs w:val="22"/>
          <w:color w:val="000000"/>
        </w:rPr>
        <w:t>” means the last day of each calendar quarter of a Plan Year in which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Non-Contributory Eligible Employee participates in the Plan, a Contributory Participant has a Participation Election in effect, or the Stub Tear for a New Contributory Employee, as applicable.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2.36</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RSUs</w:t>
      </w:r>
      <w:r>
        <w:rPr>
          <w:rFonts w:ascii="Times New Roman" w:cs="Times New Roman" w:eastAsia="Times New Roman" w:hAnsi="Times New Roman"/>
          <w:sz w:val="22"/>
          <w:szCs w:val="22"/>
          <w:color w:val="000000"/>
        </w:rPr>
        <w:t>” means restricted share units granted pursuant to Section 10 of the EIP.</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2.37</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Separation from Service</w:t>
      </w:r>
      <w:r>
        <w:rPr>
          <w:rFonts w:ascii="Times New Roman" w:cs="Times New Roman" w:eastAsia="Times New Roman" w:hAnsi="Times New Roman"/>
          <w:sz w:val="22"/>
          <w:szCs w:val="22"/>
          <w:color w:val="000000"/>
        </w:rPr>
        <w:t>” has the meaning set forth in Code Section 409A(a)(2)(A)(i) and Treas. Reg.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1.409A-1(h).</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2.38</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Shortfall</w:t>
      </w:r>
      <w:r>
        <w:rPr>
          <w:rFonts w:ascii="Times New Roman" w:cs="Times New Roman" w:eastAsia="Times New Roman" w:hAnsi="Times New Roman"/>
          <w:sz w:val="22"/>
          <w:szCs w:val="22"/>
          <w:color w:val="000000"/>
        </w:rPr>
        <w:t>” has the meaning set forth in Section 9.01.</w:t>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2.39</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Stable Value Account</w:t>
      </w:r>
      <w:r>
        <w:rPr>
          <w:rFonts w:ascii="Times New Roman" w:cs="Times New Roman" w:eastAsia="Times New Roman" w:hAnsi="Times New Roman"/>
          <w:sz w:val="22"/>
          <w:szCs w:val="22"/>
          <w:color w:val="000000"/>
        </w:rPr>
        <w:t>” means a hypothetical bookkeeping account(s) established in the name of each</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Participant and maintained by the Company to reflect the Participant’s interests under the Plan.</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2.40</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Stable Value Allocation</w:t>
      </w:r>
      <w:r>
        <w:rPr>
          <w:rFonts w:ascii="Times New Roman" w:cs="Times New Roman" w:eastAsia="Times New Roman" w:hAnsi="Times New Roman"/>
          <w:sz w:val="22"/>
          <w:szCs w:val="22"/>
          <w:color w:val="000000"/>
        </w:rPr>
        <w:t>” has the meaning set forth in Section 7.03.</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2.41</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State, Local, and Foreign Tax Amount</w:t>
      </w:r>
      <w:r>
        <w:rPr>
          <w:rFonts w:ascii="Times New Roman" w:cs="Times New Roman" w:eastAsia="Times New Roman" w:hAnsi="Times New Roman"/>
          <w:sz w:val="22"/>
          <w:szCs w:val="22"/>
          <w:color w:val="000000"/>
        </w:rPr>
        <w:t>” has the meaning set forth in Section 11.05.</w:t>
      </w:r>
    </w:p>
    <w:p>
      <w:pPr>
        <w:spacing w:after="0" w:line="205"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2.42</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Valuation Date</w:t>
      </w:r>
      <w:r>
        <w:rPr>
          <w:rFonts w:ascii="Times New Roman" w:cs="Times New Roman" w:eastAsia="Times New Roman" w:hAnsi="Times New Roman"/>
          <w:sz w:val="22"/>
          <w:szCs w:val="22"/>
          <w:color w:val="000000"/>
        </w:rPr>
        <w:t>” means each day of the Plan Year on which the NASDAQ Stock Market is open for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business.</w:t>
      </w:r>
    </w:p>
    <w:p>
      <w:pPr>
        <w:spacing w:after="0" w:line="151"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2.43</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WTW</w:t>
      </w:r>
      <w:r>
        <w:rPr>
          <w:rFonts w:ascii="Times New Roman" w:cs="Times New Roman" w:eastAsia="Times New Roman" w:hAnsi="Times New Roman"/>
          <w:sz w:val="22"/>
          <w:szCs w:val="22"/>
          <w:color w:val="000000"/>
        </w:rPr>
        <w:t>” means Willis Towers Watson plc, formerly Willis Group Holdings plc, a company incorporated in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Ireland under registered number 475616, or any successor thereto.</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Section 2.44</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Year of Service</w:t>
      </w:r>
      <w:r>
        <w:rPr>
          <w:rFonts w:ascii="Times New Roman" w:cs="Times New Roman" w:eastAsia="Times New Roman" w:hAnsi="Times New Roman"/>
          <w:sz w:val="22"/>
          <w:szCs w:val="22"/>
          <w:color w:val="000000"/>
        </w:rPr>
        <w:t>” means a Period of Service equal to one year, as determined under the Pension Plan.</w:t>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2.45</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Year of Vesting Service</w:t>
      </w:r>
      <w:r>
        <w:rPr>
          <w:rFonts w:ascii="Times New Roman" w:cs="Times New Roman" w:eastAsia="Times New Roman" w:hAnsi="Times New Roman"/>
          <w:sz w:val="22"/>
          <w:szCs w:val="22"/>
          <w:color w:val="000000"/>
        </w:rPr>
        <w:t>” means a Period of Service equal to one year, as determined under the Pension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Plan with respect to the vesting of accrued benefits.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2" w:name="page143"/>
    <w:bookmarkEnd w:id="142"/>
    <w:p>
      <w:pPr>
        <w:ind w:left="520" w:hanging="512"/>
        <w:spacing w:after="0"/>
        <w:tabs>
          <w:tab w:leader="none" w:pos="5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Eligibility</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3.01</w:t>
      </w:r>
      <w:r>
        <w:rPr>
          <w:rFonts w:ascii="Times New Roman" w:cs="Times New Roman" w:eastAsia="Times New Roman" w:hAnsi="Times New Roman"/>
          <w:sz w:val="22"/>
          <w:szCs w:val="22"/>
          <w:b w:val="1"/>
          <w:bCs w:val="1"/>
          <w:color w:val="000000"/>
        </w:rPr>
        <w:t>Requirements for Non-Contributory Employee Participation</w:t>
      </w:r>
      <w:r>
        <w:rPr>
          <w:rFonts w:ascii="Times New Roman" w:cs="Times New Roman" w:eastAsia="Times New Roman" w:hAnsi="Times New Roman"/>
          <w:sz w:val="22"/>
          <w:szCs w:val="22"/>
          <w:color w:val="000000"/>
        </w:rPr>
        <w:t>. All Non-Contributory Eligible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Employees shall participate in the Plan commencing as of the first day of the Plan Year; provided that, effective January 1, 2024, no additional Non-Contributory Eligible Employees shall participate in the Plan. Non-Contributory Eligible Employees shall not be required to complete a Participation Election.</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3.02</w:t>
      </w:r>
      <w:r>
        <w:rPr>
          <w:rFonts w:ascii="Times New Roman" w:cs="Times New Roman" w:eastAsia="Times New Roman" w:hAnsi="Times New Roman"/>
          <w:sz w:val="22"/>
          <w:szCs w:val="22"/>
          <w:b w:val="1"/>
          <w:bCs w:val="1"/>
          <w:color w:val="000000"/>
        </w:rPr>
        <w:t>Requirements for Contributory Employee Participation</w:t>
      </w:r>
      <w:r>
        <w:rPr>
          <w:rFonts w:ascii="Times New Roman" w:cs="Times New Roman" w:eastAsia="Times New Roman" w:hAnsi="Times New Roman"/>
          <w:sz w:val="22"/>
          <w:szCs w:val="22"/>
          <w:color w:val="000000"/>
        </w:rPr>
        <w:t>. Subject to Section 3.03, any Contributory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Eligible Employee may participate in the Plan commencing as of the first day of the Plan Year.</w:t>
      </w:r>
    </w:p>
    <w:p>
      <w:pPr>
        <w:spacing w:after="0" w:line="15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010000"/>
        </w:rPr>
        <w:t>Section 3.03</w:t>
      </w:r>
      <w:r>
        <w:rPr>
          <w:rFonts w:ascii="Times New Roman" w:cs="Times New Roman" w:eastAsia="Times New Roman" w:hAnsi="Times New Roman"/>
          <w:sz w:val="22"/>
          <w:szCs w:val="22"/>
          <w:b w:val="1"/>
          <w:bCs w:val="1"/>
          <w:color w:val="000000"/>
        </w:rPr>
        <w:t>Newly Eligible Contributory Employees</w:t>
      </w:r>
      <w:r>
        <w:rPr>
          <w:rFonts w:ascii="Times New Roman" w:cs="Times New Roman" w:eastAsia="Times New Roman" w:hAnsi="Times New Roman"/>
          <w:sz w:val="22"/>
          <w:szCs w:val="22"/>
          <w:color w:val="000000"/>
        </w:rPr>
        <w:t>. Any Contributory Employee who will first satisfy the one-year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requirement set forth in Section 2.10(c) during a Plan Year (but later than January 1 of such Plan Year) and otherwise qualifies as a Contributory Eligible Employee (a “</w:t>
      </w:r>
      <w:r>
        <w:rPr>
          <w:rFonts w:ascii="Times New Roman" w:cs="Times New Roman" w:eastAsia="Times New Roman" w:hAnsi="Times New Roman"/>
          <w:sz w:val="22"/>
          <w:szCs w:val="22"/>
          <w:b w:val="1"/>
          <w:bCs w:val="1"/>
          <w:color w:val="000000"/>
        </w:rPr>
        <w:t>New Contributory Participant</w:t>
      </w:r>
      <w:r>
        <w:rPr>
          <w:rFonts w:ascii="Times New Roman" w:cs="Times New Roman" w:eastAsia="Times New Roman" w:hAnsi="Times New Roman"/>
          <w:sz w:val="22"/>
          <w:szCs w:val="22"/>
          <w:color w:val="000000"/>
        </w:rPr>
        <w:t>”) shall automatically participate in the Plan (subject to Section 7.04 herein) commencing as of the date such Contributory Employee satisfies such one-year requirement and for the remainder of such Plan Year (such portion of a Plan Year, the “</w:t>
      </w:r>
      <w:r>
        <w:rPr>
          <w:rFonts w:ascii="Times New Roman" w:cs="Times New Roman" w:eastAsia="Times New Roman" w:hAnsi="Times New Roman"/>
          <w:sz w:val="22"/>
          <w:szCs w:val="22"/>
          <w:b w:val="1"/>
          <w:bCs w:val="1"/>
          <w:color w:val="000000"/>
        </w:rPr>
        <w:t>Stub Year</w:t>
      </w:r>
      <w:r>
        <w:rPr>
          <w:rFonts w:ascii="Times New Roman" w:cs="Times New Roman" w:eastAsia="Times New Roman" w:hAnsi="Times New Roman"/>
          <w:sz w:val="22"/>
          <w:szCs w:val="22"/>
          <w:color w:val="000000"/>
        </w:rPr>
        <w:t>”). Such New Contributory Participant shall be required to complete a Participation Election during the applicable Enrollment Period pursuant to Section 4.01 in order to participate with respect to any Plan Year other than the Stub Year.</w:t>
      </w:r>
    </w:p>
    <w:p>
      <w:pPr>
        <w:spacing w:after="0" w:line="17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3.04</w:t>
      </w:r>
      <w:r>
        <w:rPr>
          <w:rFonts w:ascii="Times New Roman" w:cs="Times New Roman" w:eastAsia="Times New Roman" w:hAnsi="Times New Roman"/>
          <w:sz w:val="22"/>
          <w:szCs w:val="22"/>
          <w:b w:val="1"/>
          <w:bCs w:val="1"/>
          <w:color w:val="000000"/>
        </w:rPr>
        <w:t>Cessation of Participation</w:t>
      </w:r>
      <w:r>
        <w:rPr>
          <w:rFonts w:ascii="Times New Roman" w:cs="Times New Roman" w:eastAsia="Times New Roman" w:hAnsi="Times New Roman"/>
          <w:sz w:val="22"/>
          <w:szCs w:val="22"/>
          <w:color w:val="000000"/>
        </w:rPr>
        <w:t>. If a Contributory Participant ceases to be a Contributory Eligible Employee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during a Plan Year, then the Contributory Participant’s Participation Election shall be cancelled as of the end of the Plan Year. If a Non-Contributory Participant ceases to be a Non-Contributory Eligible Employee during a Plan Year, then the Non-Contributory Participant shall cease to accrue a Non-Contributory Stable Value Benefit as of the end of the Plan Year.</w:t>
      </w:r>
    </w:p>
    <w:p>
      <w:pPr>
        <w:spacing w:after="0" w:line="175"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Contributory Employee Enrollment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4.01</w:t>
      </w:r>
      <w:r>
        <w:rPr>
          <w:rFonts w:ascii="Times New Roman" w:cs="Times New Roman" w:eastAsia="Times New Roman" w:hAnsi="Times New Roman"/>
          <w:sz w:val="22"/>
          <w:szCs w:val="22"/>
          <w:b w:val="1"/>
          <w:bCs w:val="1"/>
          <w:color w:val="000000"/>
        </w:rPr>
        <w:t>Enrollment Procedures</w:t>
      </w:r>
      <w:r>
        <w:rPr>
          <w:rFonts w:ascii="Times New Roman" w:cs="Times New Roman" w:eastAsia="Times New Roman" w:hAnsi="Times New Roman"/>
          <w:sz w:val="22"/>
          <w:szCs w:val="22"/>
          <w:color w:val="000000"/>
        </w:rPr>
        <w:t>. Except as set forth in Section 3.03 above, a Contributory Eligible Employee may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become a Contributory Participant in the Plan by completing a Participation Election and submitting it in accordance with Plan procedures during the Enrollment Period.</w:t>
      </w:r>
    </w:p>
    <w:p>
      <w:pPr>
        <w:spacing w:after="0" w:line="166"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010000"/>
        </w:rPr>
        <w:t>Section 4.02</w:t>
      </w:r>
      <w:r>
        <w:rPr>
          <w:rFonts w:ascii="Times New Roman" w:cs="Times New Roman" w:eastAsia="Times New Roman" w:hAnsi="Times New Roman"/>
          <w:sz w:val="20"/>
          <w:szCs w:val="20"/>
          <w:b w:val="1"/>
          <w:bCs w:val="1"/>
          <w:color w:val="000000"/>
        </w:rPr>
        <w:t>Continued Enrollment Until Cancellation</w:t>
      </w:r>
      <w:r>
        <w:rPr>
          <w:rFonts w:ascii="Times New Roman" w:cs="Times New Roman" w:eastAsia="Times New Roman" w:hAnsi="Times New Roman"/>
          <w:sz w:val="20"/>
          <w:szCs w:val="20"/>
          <w:color w:val="000000"/>
        </w:rPr>
        <w:t>. The Participation Election will continue in effect for the entire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Plan Year and subsequent Plan Years unless the Contributory Participant cancels such Participation Election during the applicable Enrollment Period. Upon a cancellation of the Participation Election, the Contributory Participant will cease to make Participant Contributions and cease to accrue a Contributory Stable Value Benefit effective on the first day of the next Plan Year.</w:t>
      </w:r>
    </w:p>
    <w:p>
      <w:pPr>
        <w:spacing w:after="0" w:line="144" w:lineRule="exact"/>
        <w:rPr>
          <w:sz w:val="20"/>
          <w:szCs w:val="20"/>
          <w:color w:val="auto"/>
        </w:rPr>
      </w:pPr>
    </w:p>
    <w:p>
      <w:pPr>
        <w:jc w:val="both"/>
        <w:ind w:firstLine="8"/>
        <w:spacing w:after="0" w:line="282" w:lineRule="auto"/>
        <w:tabs>
          <w:tab w:leader="none" w:pos="50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Stable Value Account</w:t>
      </w:r>
      <w:r>
        <w:rPr>
          <w:rFonts w:ascii="Times New Roman" w:cs="Times New Roman" w:eastAsia="Times New Roman" w:hAnsi="Times New Roman"/>
          <w:sz w:val="20"/>
          <w:szCs w:val="20"/>
          <w:color w:val="auto"/>
        </w:rPr>
        <w:t>. The Company shall establish and maintain a Stable Value Account for each Participant.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establish more than one Stable Value Account on behalf of any Participant as deemed necessary by the Committee for administrative purposes. The Stable Value Account(s) are established and maintained for bookkeeping purposes only.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3" w:name="page144"/>
    <w:bookmarkEnd w:id="143"/>
    <w:p>
      <w:pPr>
        <w:ind w:left="520" w:hanging="512"/>
        <w:spacing w:after="0"/>
        <w:tabs>
          <w:tab w:leader="none" w:pos="5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Non-Contributory Stable Value Benefit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6.01</w:t>
      </w:r>
      <w:r>
        <w:rPr>
          <w:rFonts w:ascii="Times New Roman" w:cs="Times New Roman" w:eastAsia="Times New Roman" w:hAnsi="Times New Roman"/>
          <w:sz w:val="22"/>
          <w:szCs w:val="22"/>
          <w:b w:val="1"/>
          <w:bCs w:val="1"/>
          <w:color w:val="000000"/>
        </w:rPr>
        <w:t>Determination of Non-Contributory Stable Value Benefit</w:t>
      </w:r>
      <w:r>
        <w:rPr>
          <w:rFonts w:ascii="Times New Roman" w:cs="Times New Roman" w:eastAsia="Times New Roman" w:hAnsi="Times New Roman"/>
          <w:sz w:val="22"/>
          <w:szCs w:val="22"/>
          <w:color w:val="000000"/>
        </w:rPr>
        <w:t>. On each Quarterly Determination Date,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Non-Contributory Stable Value Benefit for each Non-Contributory Eligible Employee shall be determined, and shall be equal to the amount set forth below:</w:t>
      </w:r>
    </w:p>
    <w:p>
      <w:pPr>
        <w:spacing w:after="0" w:line="170" w:lineRule="exact"/>
        <w:rPr>
          <w:sz w:val="20"/>
          <w:szCs w:val="20"/>
          <w:color w:val="auto"/>
        </w:rPr>
      </w:pPr>
    </w:p>
    <w:p>
      <w:pPr>
        <w:ind w:firstLine="1505"/>
        <w:spacing w:after="0" w:line="258" w:lineRule="auto"/>
        <w:tabs>
          <w:tab w:leader="none" w:pos="2037"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16.5% of Eligible Compensation payable during such quarter if the Non-Contributory Eligible Employee has less than 10 Years of Service;</w:t>
      </w:r>
    </w:p>
    <w:p>
      <w:pPr>
        <w:spacing w:after="0" w:line="157" w:lineRule="exact"/>
        <w:rPr>
          <w:rFonts w:ascii="Times New Roman" w:cs="Times New Roman" w:eastAsia="Times New Roman" w:hAnsi="Times New Roman"/>
          <w:sz w:val="22"/>
          <w:szCs w:val="22"/>
          <w:color w:val="010000"/>
        </w:rPr>
      </w:pPr>
    </w:p>
    <w:p>
      <w:pPr>
        <w:ind w:firstLine="1505"/>
        <w:spacing w:after="0" w:line="258" w:lineRule="auto"/>
        <w:tabs>
          <w:tab w:leader="none" w:pos="2037"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18% of Eligible Compensation payable during such quarter if the Non-Contributory Eligible Employee has at least 10 but less than 20 Years of Service; and</w:t>
      </w:r>
    </w:p>
    <w:p>
      <w:pPr>
        <w:spacing w:after="0" w:line="157" w:lineRule="exact"/>
        <w:rPr>
          <w:rFonts w:ascii="Times New Roman" w:cs="Times New Roman" w:eastAsia="Times New Roman" w:hAnsi="Times New Roman"/>
          <w:sz w:val="22"/>
          <w:szCs w:val="22"/>
          <w:color w:val="010000"/>
        </w:rPr>
      </w:pPr>
    </w:p>
    <w:p>
      <w:pPr>
        <w:ind w:firstLine="1505"/>
        <w:spacing w:after="0" w:line="258" w:lineRule="auto"/>
        <w:tabs>
          <w:tab w:leader="none" w:pos="2037"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20% of Eligible Compensation payable during such quarter if the Non-Contributory Eligible Employee has at least 20 Years of Service.</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There will be a 5% compound reduction to the Non-Contributory Stable Value Benefit for each year by which the Quarterly Determination Date precedes the date that the Non-Contributory Eligible Employee shall attain age 65, as shown in the table in Appendix A for whole ages at the Quarterly Determination Date. The reduction factor for non-whole ages at the Quarterly Determination Date shall be determined based on an interpolation of the factors for the two nearest whole ages. The Non-Contributory Stable Value Benefit will be unreduced if the Quarterly Determination Date is on or after the date that the Non-Contributory Eligible Employee attains age 65.</w:t>
      </w:r>
    </w:p>
    <w:p>
      <w:pPr>
        <w:spacing w:after="0" w:line="17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6.02</w:t>
      </w:r>
      <w:r>
        <w:rPr>
          <w:rFonts w:ascii="Times New Roman" w:cs="Times New Roman" w:eastAsia="Times New Roman" w:hAnsi="Times New Roman"/>
          <w:sz w:val="22"/>
          <w:szCs w:val="22"/>
          <w:b w:val="1"/>
          <w:bCs w:val="1"/>
          <w:color w:val="000000"/>
        </w:rPr>
        <w:t>Credit to Stable Value Account</w:t>
      </w:r>
      <w:r>
        <w:rPr>
          <w:rFonts w:ascii="Times New Roman" w:cs="Times New Roman" w:eastAsia="Times New Roman" w:hAnsi="Times New Roman"/>
          <w:sz w:val="22"/>
          <w:szCs w:val="22"/>
          <w:color w:val="000000"/>
        </w:rPr>
        <w:t>. The amount of each Non-Contributory Eligible Employee’s Non-Contributory Stable Value Benefit with respect to each quarter during a Plan Year shall be determined as of each Quarterly Determination Date and shall be credited to the Non-Contributory Eligible Employee’s Stable Value Account in accordance with Section 9.01.</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6.03</w:t>
      </w:r>
      <w:r>
        <w:rPr>
          <w:rFonts w:ascii="Times New Roman" w:cs="Times New Roman" w:eastAsia="Times New Roman" w:hAnsi="Times New Roman"/>
          <w:sz w:val="22"/>
          <w:szCs w:val="22"/>
          <w:b w:val="1"/>
          <w:bCs w:val="1"/>
          <w:color w:val="000000"/>
        </w:rPr>
        <w:t>Cessation of Non-Contributory Benefit</w:t>
      </w:r>
      <w:r>
        <w:rPr>
          <w:rFonts w:ascii="Times New Roman" w:cs="Times New Roman" w:eastAsia="Times New Roman" w:hAnsi="Times New Roman"/>
          <w:sz w:val="22"/>
          <w:szCs w:val="22"/>
          <w:color w:val="000000"/>
        </w:rPr>
        <w:t>. Effective January 1, 2024, no additional Non-Contributory Stable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Value Benefit shall be credited to any Stable Value Account.</w:t>
      </w:r>
    </w:p>
    <w:p>
      <w:pPr>
        <w:spacing w:after="0" w:line="151"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Contributory Stable Value Benefit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7.01</w:t>
      </w:r>
      <w:r>
        <w:rPr>
          <w:rFonts w:ascii="Times New Roman" w:cs="Times New Roman" w:eastAsia="Times New Roman" w:hAnsi="Times New Roman"/>
          <w:sz w:val="22"/>
          <w:szCs w:val="22"/>
          <w:b w:val="1"/>
          <w:bCs w:val="1"/>
          <w:color w:val="000000"/>
        </w:rPr>
        <w:t>Determination of Contributory Stable Value Benefit</w:t>
      </w:r>
      <w:r>
        <w:rPr>
          <w:rFonts w:ascii="Times New Roman" w:cs="Times New Roman" w:eastAsia="Times New Roman" w:hAnsi="Times New Roman"/>
          <w:sz w:val="22"/>
          <w:szCs w:val="22"/>
          <w:color w:val="000000"/>
        </w:rPr>
        <w:t>. (A) Except with respect to a New Contributory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Participant during a Stub Year, for Plan Years prior to January 1, 2024, on each Quarterly Determination Date, the Contributory Stable Value Benefit for each Contributory Participant who has a Participation Election in effect shall be determined, and shall be equal to the amount set forth below:</w:t>
      </w:r>
    </w:p>
    <w:p>
      <w:pPr>
        <w:spacing w:after="0" w:line="179" w:lineRule="exact"/>
        <w:rPr>
          <w:sz w:val="20"/>
          <w:szCs w:val="20"/>
          <w:color w:val="auto"/>
        </w:rPr>
      </w:pPr>
    </w:p>
    <w:p>
      <w:pPr>
        <w:ind w:left="2040" w:hanging="535"/>
        <w:spacing w:after="0"/>
        <w:tabs>
          <w:tab w:leader="none" w:pos="2040"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14.5% of Eligible Compensation payable during such quarter if the Contributory Participant has less than</w:t>
      </w:r>
    </w:p>
    <w:p>
      <w:pPr>
        <w:spacing w:after="0" w:line="36"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10 Years of Service;</w:t>
      </w:r>
    </w:p>
    <w:p>
      <w:pPr>
        <w:spacing w:after="0" w:line="181" w:lineRule="exact"/>
        <w:rPr>
          <w:rFonts w:ascii="Times New Roman" w:cs="Times New Roman" w:eastAsia="Times New Roman" w:hAnsi="Times New Roman"/>
          <w:sz w:val="20"/>
          <w:szCs w:val="20"/>
          <w:color w:val="010000"/>
        </w:rPr>
      </w:pPr>
    </w:p>
    <w:p>
      <w:pPr>
        <w:ind w:firstLine="1505"/>
        <w:spacing w:after="0" w:line="258" w:lineRule="auto"/>
        <w:tabs>
          <w:tab w:leader="none" w:pos="2037"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16% of Eligible Compensation payable during such quarter if the Contributory Participant has at least 10 but less than 20 Years of Service;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4" w:name="page145"/>
    <w:bookmarkEnd w:id="144"/>
    <w:p>
      <w:pPr>
        <w:ind w:left="2040" w:hanging="535"/>
        <w:spacing w:after="0"/>
        <w:tabs>
          <w:tab w:leader="none" w:pos="2040"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17.5% of Eligible Compensation payable during such quarter if the Contributory Participant has at least</w:t>
      </w:r>
    </w:p>
    <w:p>
      <w:pPr>
        <w:spacing w:after="0" w:line="13"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20 Years of Service.</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There will be a 5% compound reduction to the Contributory Stable Value Benefit for each year by which the Quarterly Determination Date precedes the date that the Contributory Participant shall attain age 65, as shown in the table in Appendix A for whole ages at the Quarterly Determination Date. The reduction factor for non-whole ages at the Quarterly Determination Date shall be determined based on an interpolation of the factors for the two nearest whole ages. The Contributory Stable Value Benefit will be unreduced if the Quarterly Determination Date is on or after the date that the Contributory Participant attains age 65.</w:t>
      </w:r>
    </w:p>
    <w:p>
      <w:pPr>
        <w:spacing w:after="0" w:line="179" w:lineRule="exact"/>
        <w:rPr>
          <w:sz w:val="20"/>
          <w:szCs w:val="20"/>
          <w:color w:val="auto"/>
        </w:rPr>
      </w:pPr>
    </w:p>
    <w:p>
      <w:pPr>
        <w:jc w:val="both"/>
        <w:ind w:firstLine="8"/>
        <w:spacing w:after="0" w:line="244" w:lineRule="auto"/>
        <w:tabs>
          <w:tab w:leader="none" w:pos="43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 New Contributory Participant during a Stub Year, effective January 1, 2024, the Contributory Stable Value Benefit for each Contributory Participant who has a Participation Election in effect shall be determined, and shall be equal to the amount set forth below:</w:t>
      </w:r>
    </w:p>
    <w:p>
      <w:pPr>
        <w:spacing w:after="0" w:line="17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11.5% of Eligible Compensation payable during such quarter if the Contributory Participant has less than</w:t>
      </w:r>
    </w:p>
    <w:p>
      <w:pPr>
        <w:spacing w:after="0" w:line="36"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10 Years of Service;</w:t>
      </w:r>
    </w:p>
    <w:p>
      <w:pPr>
        <w:spacing w:after="0" w:line="181" w:lineRule="exact"/>
        <w:rPr>
          <w:rFonts w:ascii="Times New Roman" w:cs="Times New Roman" w:eastAsia="Times New Roman" w:hAnsi="Times New Roman"/>
          <w:sz w:val="20"/>
          <w:szCs w:val="20"/>
          <w:color w:val="010000"/>
        </w:rPr>
      </w:pPr>
    </w:p>
    <w:p>
      <w:pPr>
        <w:ind w:firstLine="1505"/>
        <w:spacing w:after="0" w:line="258" w:lineRule="auto"/>
        <w:tabs>
          <w:tab w:leader="none" w:pos="2037"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13% of Eligible Compensation payable during such quarter if the Contributory Participant has at least 10 but less than 20 Years of Service; and</w:t>
      </w:r>
    </w:p>
    <w:p>
      <w:pPr>
        <w:spacing w:after="0" w:line="157"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1"/>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15% of Eligible Compensation payable during such quarter if the Contributory Participant has at least 20</w:t>
      </w:r>
    </w:p>
    <w:p>
      <w:pPr>
        <w:spacing w:after="0" w:line="36"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Years of Service.</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There will be a 5% compound reduction to the Contributory Stable Value Benefit for each year by which the Quarterly Determination Date precedes the date that the Contributory Participant shall attain age 65, as shown in the table in Appendix A for whole ages at the Quarterly Determination Date. The reduction factor for non-whole ages at the Quarterly Determination Date shall be determined based on an interpolation of the factors for the two nearest whole ages. The Contributory Stable Value Benefit will be unreduced if the Quarterly Determination Date is on or after the date that the Contributory Participant attains age 65.</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010000"/>
        </w:rPr>
        <w:t>Section 7.02</w:t>
      </w:r>
      <w:r>
        <w:rPr>
          <w:rFonts w:ascii="Times New Roman" w:cs="Times New Roman" w:eastAsia="Times New Roman" w:hAnsi="Times New Roman"/>
          <w:sz w:val="22"/>
          <w:szCs w:val="22"/>
          <w:b w:val="1"/>
          <w:bCs w:val="1"/>
          <w:color w:val="000000"/>
        </w:rPr>
        <w:t>Contributory Participant Contributions</w:t>
      </w:r>
      <w:r>
        <w:rPr>
          <w:rFonts w:ascii="Times New Roman" w:cs="Times New Roman" w:eastAsia="Times New Roman" w:hAnsi="Times New Roman"/>
          <w:sz w:val="22"/>
          <w:szCs w:val="22"/>
          <w:color w:val="000000"/>
        </w:rPr>
        <w:t>. Except with respect to a New Contributory Participant during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Stub Year, each Plan Year in which a Contributory Participant has a Participation Election in effect, the Participant Contributions, if any, shall be deducted from the Contributory Participant’s Eligible Compensation and allocated to the Contributory Participant’s Stable Value Account. Unless otherwise specified by the Committee, Participant Contributions shall be contributed to the Contributory Participant’s Stable Value Account as of the payroll date of the corresponding Eligible Compensation. With respect to the Plan Year that begins on the Effective Date and ends on December 31, 2017, Participant Contributions for Contributory Participants who already participate in a deferred compensation arrangement that would be aggregated with this Plan for purposes of Code Section 409A will be deducted from such Contributory Participant’s Eligible Compensation on an after-tax basis, or will be $0, as determined by the Company in its sole discretion.</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7.03</w:t>
      </w:r>
      <w:r>
        <w:rPr>
          <w:rFonts w:ascii="Times New Roman" w:cs="Times New Roman" w:eastAsia="Times New Roman" w:hAnsi="Times New Roman"/>
          <w:sz w:val="22"/>
          <w:szCs w:val="22"/>
          <w:b w:val="1"/>
          <w:bCs w:val="1"/>
          <w:color w:val="000000"/>
        </w:rPr>
        <w:t>Stable Value Allocation</w:t>
      </w:r>
      <w:r>
        <w:rPr>
          <w:rFonts w:ascii="Times New Roman" w:cs="Times New Roman" w:eastAsia="Times New Roman" w:hAnsi="Times New Roman"/>
          <w:sz w:val="22"/>
          <w:szCs w:val="22"/>
          <w:color w:val="000000"/>
        </w:rPr>
        <w:t>. Except with respect to a New Contributory Participant during a Stub Year, for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each Contributory Participant who has a Participation Election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5" w:name="page146"/>
    <w:bookmarkEnd w:id="145"/>
    <w:p>
      <w:pPr>
        <w:jc w:val="both"/>
        <w:spacing w:after="0" w:line="237" w:lineRule="auto"/>
        <w:rPr>
          <w:sz w:val="20"/>
          <w:szCs w:val="20"/>
          <w:color w:val="auto"/>
        </w:rPr>
      </w:pPr>
      <w:r>
        <w:rPr>
          <w:rFonts w:ascii="Times New Roman" w:cs="Times New Roman" w:eastAsia="Times New Roman" w:hAnsi="Times New Roman"/>
          <w:sz w:val="22"/>
          <w:szCs w:val="22"/>
          <w:color w:val="auto"/>
        </w:rPr>
        <w:t>in effect during a Plan Year, the amount of such Contributory Participant’s Contributory Stable Value Benefit with respect to each quarter during the applicable Plan Year shall be determined as of each Quarterly Determination Date, and an amount equal to the excess, if any, of the Contributory Stable Value Benefit determined as set forth above with respect to such quarter over the Participant Contributions credited during such quarter (the “</w:t>
      </w:r>
      <w:r>
        <w:rPr>
          <w:rFonts w:ascii="Times New Roman" w:cs="Times New Roman" w:eastAsia="Times New Roman" w:hAnsi="Times New Roman"/>
          <w:sz w:val="22"/>
          <w:szCs w:val="22"/>
          <w:b w:val="1"/>
          <w:bCs w:val="1"/>
          <w:color w:val="auto"/>
        </w:rPr>
        <w:t>Stable Value Allocation</w:t>
      </w:r>
      <w:r>
        <w:rPr>
          <w:rFonts w:ascii="Times New Roman" w:cs="Times New Roman" w:eastAsia="Times New Roman" w:hAnsi="Times New Roman"/>
          <w:sz w:val="22"/>
          <w:szCs w:val="22"/>
          <w:color w:val="auto"/>
        </w:rPr>
        <w:t>”) shall be credited to the Contributory Participant’s Stable Value Account in accordance with Section 9.01.</w:t>
      </w:r>
    </w:p>
    <w:p>
      <w:pPr>
        <w:spacing w:after="0" w:line="17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0"/>
          <w:szCs w:val="20"/>
          <w:b w:val="1"/>
          <w:bCs w:val="1"/>
          <w:color w:val="010000"/>
        </w:rPr>
        <w:t>Section 7.04</w:t>
      </w:r>
      <w:r>
        <w:rPr>
          <w:rFonts w:ascii="Times New Roman" w:cs="Times New Roman" w:eastAsia="Times New Roman" w:hAnsi="Times New Roman"/>
          <w:sz w:val="20"/>
          <w:szCs w:val="20"/>
          <w:b w:val="1"/>
          <w:bCs w:val="1"/>
          <w:color w:val="000000"/>
        </w:rPr>
        <w:t>Stable Value Benefit During the Stub Year for New Contributory Participants</w:t>
      </w:r>
      <w:r>
        <w:rPr>
          <w:rFonts w:ascii="Times New Roman" w:cs="Times New Roman" w:eastAsia="Times New Roman" w:hAnsi="Times New Roman"/>
          <w:sz w:val="20"/>
          <w:szCs w:val="20"/>
          <w:color w:val="000000"/>
        </w:rPr>
        <w:t>. Notwithstanding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foregoing, with respect to the Stub Year for a New Contributory Participant, on each Quarterly Determination Date during the Stub Year, the Contributory Stable Value Benefit for such New Contributory Participant shall be determined, and (a) for Plan Years prior to January 1, 2024, shall be equal to 12.5% of Eligible Compensation payable to such New Contributory Participant during such quarter and (b) for the Plan Year beginning January 1, 2024, shall be equal to 9.5% of Eligible Compensation payable to such New Contributory Participant during such quarter. There will be a 5% compound reduction to the Contributory Stable Value Benefit for each year by which the Quarterly Determination Date precedes the date that the New Contributory Participant shall attain age 65, as shown in the table in Appendix A for whole ages at the Quarterly Determination Date. The reduction factor for non-whole ages at the Quarterly Determination Date shall be determined based on an interpolation of the factors for the two nearest whole ages. The Contributory Stable Value Benefit will be unreduced if the Quarterly Determination Date is on or after the date that the New Contributory Participant attains age 65. The amount of each New Contributory Participant’s Contributory Stable Value Benefit with respect to each quarter during the Stub Year shall be credited to the New Contributory Participant’s Contributory Stable Value Account in accordance with Section 9.01. For all Plan Years following the Stub Year, the Contributory Stable Value Benefit shall be determined pursuant to Sections 7.01, 7.02, and 7.03.</w:t>
      </w:r>
    </w:p>
    <w:p>
      <w:pPr>
        <w:spacing w:after="0" w:line="200" w:lineRule="exact"/>
        <w:rPr>
          <w:sz w:val="20"/>
          <w:szCs w:val="20"/>
          <w:color w:val="auto"/>
        </w:rPr>
      </w:pPr>
    </w:p>
    <w:p>
      <w:pPr>
        <w:spacing w:after="0" w:line="212"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20"/>
          <w:szCs w:val="20"/>
          <w:b w:val="1"/>
          <w:bCs w:val="1"/>
          <w:color w:val="010000"/>
        </w:rPr>
        <w:t>Section 8.01</w:t>
      </w:r>
      <w:r>
        <w:rPr>
          <w:rFonts w:ascii="Times New Roman" w:cs="Times New Roman" w:eastAsia="Times New Roman" w:hAnsi="Times New Roman"/>
          <w:sz w:val="20"/>
          <w:szCs w:val="20"/>
          <w:b w:val="1"/>
          <w:bCs w:val="1"/>
          <w:color w:val="000000"/>
        </w:rPr>
        <w:t>Vesting of Non-Contributory Stable Value Benefit</w:t>
      </w:r>
      <w:r>
        <w:rPr>
          <w:rFonts w:ascii="Times New Roman" w:cs="Times New Roman" w:eastAsia="Times New Roman" w:hAnsi="Times New Roman"/>
          <w:sz w:val="20"/>
          <w:szCs w:val="20"/>
          <w:color w:val="000000"/>
        </w:rPr>
        <w:t>. Unless otherwise determined by the Committee, a</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Non-Contributory Participant shall vest in the Non-Contributory Stable Value Benefit attributable to a Plan Year on the earlier of</w:t>
      </w:r>
    </w:p>
    <w:p>
      <w:pPr>
        <w:spacing w:after="0" w:line="2" w:lineRule="exact"/>
        <w:rPr>
          <w:sz w:val="20"/>
          <w:szCs w:val="20"/>
          <w:color w:val="auto"/>
        </w:rPr>
      </w:pPr>
    </w:p>
    <w:p>
      <w:pPr>
        <w:jc w:val="both"/>
        <w:ind w:firstLine="8"/>
        <w:spacing w:after="0" w:line="235" w:lineRule="auto"/>
        <w:tabs>
          <w:tab w:leader="none" w:pos="30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day of the second Plan Year following the applicable Plan Year; (b) the date the Non-Contributory Participant attains age 55 if such Non-Contributory Participant has 10 Years of Vesting Service ; (c) the date the Non-Contributory Participant attains age 65 if such Non-Contributory Participant has 5 Years of Vesting Service; (d) death; or (e) Disability.</w:t>
      </w:r>
    </w:p>
    <w:p>
      <w:pPr>
        <w:spacing w:after="0" w:line="1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8.02</w:t>
      </w:r>
      <w:r>
        <w:rPr>
          <w:rFonts w:ascii="Times New Roman" w:cs="Times New Roman" w:eastAsia="Times New Roman" w:hAnsi="Times New Roman"/>
          <w:sz w:val="22"/>
          <w:szCs w:val="22"/>
          <w:b w:val="1"/>
          <w:bCs w:val="1"/>
          <w:color w:val="000000"/>
        </w:rPr>
        <w:t>Vesting of Participant Contributions</w:t>
      </w:r>
      <w:r>
        <w:rPr>
          <w:rFonts w:ascii="Times New Roman" w:cs="Times New Roman" w:eastAsia="Times New Roman" w:hAnsi="Times New Roman"/>
          <w:sz w:val="22"/>
          <w:szCs w:val="22"/>
          <w:color w:val="000000"/>
        </w:rPr>
        <w:t>. Contributory Participants shall be fully vested in Participant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Contributions at all time.</w:t>
      </w:r>
    </w:p>
    <w:p>
      <w:pPr>
        <w:spacing w:after="0" w:line="15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010000"/>
        </w:rPr>
        <w:t>Section 8.03</w:t>
      </w:r>
      <w:r>
        <w:rPr>
          <w:rFonts w:ascii="Times New Roman" w:cs="Times New Roman" w:eastAsia="Times New Roman" w:hAnsi="Times New Roman"/>
          <w:sz w:val="22"/>
          <w:szCs w:val="22"/>
          <w:b w:val="1"/>
          <w:bCs w:val="1"/>
          <w:color w:val="000000"/>
        </w:rPr>
        <w:t>Vesting of Stable Value Allocation</w:t>
      </w:r>
      <w:r>
        <w:rPr>
          <w:rFonts w:ascii="Times New Roman" w:cs="Times New Roman" w:eastAsia="Times New Roman" w:hAnsi="Times New Roman"/>
          <w:sz w:val="22"/>
          <w:szCs w:val="22"/>
          <w:color w:val="000000"/>
        </w:rPr>
        <w:t>. Unless otherwise determined by the Committee, a Contributory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Participant shall vest in the Stable Value Allocation attributable to a Plan Year on the earlier of (a) the last day of the second Plan Year following the applicable Plan Year; (b) the date the Contributory Participant attains age 55 if such Contributory Participant has 10 Years of Vesting Service; (c) the date the Contributory Participant attains age 65 if such Contributory Participant has 5 Years of Vesting Service; (d) death; or (e) Disability.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6" w:name="page147"/>
    <w:bookmarkEnd w:id="146"/>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8.04</w:t>
      </w:r>
      <w:r>
        <w:rPr>
          <w:rFonts w:ascii="Times New Roman" w:cs="Times New Roman" w:eastAsia="Times New Roman" w:hAnsi="Times New Roman"/>
          <w:sz w:val="22"/>
          <w:szCs w:val="22"/>
          <w:b w:val="1"/>
          <w:bCs w:val="1"/>
          <w:color w:val="000000"/>
        </w:rPr>
        <w:t>Vesting of Burwell Stable Value Allocation</w:t>
      </w:r>
      <w:r>
        <w:rPr>
          <w:rFonts w:ascii="Times New Roman" w:cs="Times New Roman" w:eastAsia="Times New Roman" w:hAnsi="Times New Roman"/>
          <w:sz w:val="22"/>
          <w:szCs w:val="22"/>
          <w:color w:val="000000"/>
        </w:rPr>
        <w:t>. Notwithstanding the forgoing, the Stable Value Allocation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that is allocated to the Stable Value Account of Michael J. Burwell (“</w:t>
      </w:r>
      <w:r>
        <w:rPr>
          <w:rFonts w:ascii="Times New Roman" w:cs="Times New Roman" w:eastAsia="Times New Roman" w:hAnsi="Times New Roman"/>
          <w:sz w:val="22"/>
          <w:szCs w:val="22"/>
          <w:u w:val="single" w:color="auto"/>
          <w:color w:val="000000"/>
        </w:rPr>
        <w:t>Burwell</w:t>
      </w:r>
      <w:r>
        <w:rPr>
          <w:rFonts w:ascii="Times New Roman" w:cs="Times New Roman" w:eastAsia="Times New Roman" w:hAnsi="Times New Roman"/>
          <w:sz w:val="22"/>
          <w:szCs w:val="22"/>
          <w:color w:val="000000"/>
        </w:rPr>
        <w:t>”) shall vest on the earlier of (a) the date Burwell has 5 Years of Vesting Service; (b) death; or (c) Disability.</w:t>
      </w:r>
    </w:p>
    <w:p>
      <w:pPr>
        <w:spacing w:after="0" w:line="166"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Investment in Shares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010000"/>
        </w:rPr>
        <w:t>Section 9.01</w:t>
      </w:r>
      <w:r>
        <w:rPr>
          <w:rFonts w:ascii="Times New Roman" w:cs="Times New Roman" w:eastAsia="Times New Roman" w:hAnsi="Times New Roman"/>
          <w:sz w:val="22"/>
          <w:szCs w:val="22"/>
          <w:b w:val="1"/>
          <w:bCs w:val="1"/>
          <w:color w:val="000000"/>
        </w:rPr>
        <w:t>Conversion to Notional Shares</w:t>
      </w:r>
      <w:r>
        <w:rPr>
          <w:rFonts w:ascii="Times New Roman" w:cs="Times New Roman" w:eastAsia="Times New Roman" w:hAnsi="Times New Roman"/>
          <w:sz w:val="22"/>
          <w:szCs w:val="22"/>
          <w:color w:val="000000"/>
        </w:rPr>
        <w:t>. Each Stable Value Account shall be deemed invested in Ordinary Shares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as of the Quarterly Determination Date or as soon as practicable thereafter. For the period between the time the Participant Contributions are credited to the Stable Value Account and the time the Participant Contributions are deemed to be invested in Ordinary Shares, the deferral shall, unless otherwise determined by the Committee, be credited with interest determined based on the prime rate of interest determined as of the first business day of the applicable calendar year. In the event of changes in the outstanding Ordinary Shares or in the capital structure of the Company by reason of any share or extraordinary cash dividend, share split, reverse share split, an extraordinary corporate transaction such as any recapitalization, reorganization, merger, consolidation, combination, exchange, or other relevant change in capitalization, the Ordinary Shares credited to each Participant’s Stable Value Account will be equitably adjusted or substituted, as to the number, price, or kind of Ordinary Share or other consideration. An adjustment under this provision may have the effect of reducing the price at which Ordinary Shares may be acquired to less than their nominal value (the “</w:t>
      </w:r>
      <w:r>
        <w:rPr>
          <w:rFonts w:ascii="Times New Roman" w:cs="Times New Roman" w:eastAsia="Times New Roman" w:hAnsi="Times New Roman"/>
          <w:sz w:val="22"/>
          <w:szCs w:val="22"/>
          <w:b w:val="1"/>
          <w:bCs w:val="1"/>
          <w:color w:val="000000"/>
        </w:rPr>
        <w:t>Shortfall</w:t>
      </w:r>
      <w:r>
        <w:rPr>
          <w:rFonts w:ascii="Times New Roman" w:cs="Times New Roman" w:eastAsia="Times New Roman" w:hAnsi="Times New Roman"/>
          <w:sz w:val="22"/>
          <w:szCs w:val="22"/>
          <w:color w:val="000000"/>
        </w:rPr>
        <w:t>”), but only if and to the extent that the Board shall be authorized to capitalize from the reserves of the Company a sum equal to the Shortfall and to apply that sum in paying up that amount on the Ordinary Shares. For the avoidance of doubt, the amount to be paid up on an Ordinary Share issued pursuant to the Plan may never be less than the nominal value of the Ordinary Share.</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010000"/>
        </w:rPr>
        <w:t>Section 9.02</w:t>
      </w:r>
      <w:r>
        <w:rPr>
          <w:rFonts w:ascii="Times New Roman" w:cs="Times New Roman" w:eastAsia="Times New Roman" w:hAnsi="Times New Roman"/>
          <w:sz w:val="22"/>
          <w:szCs w:val="22"/>
          <w:b w:val="1"/>
          <w:bCs w:val="1"/>
          <w:color w:val="000000"/>
        </w:rPr>
        <w:t>Deemed Earnings</w:t>
      </w:r>
      <w:r>
        <w:rPr>
          <w:rFonts w:ascii="Times New Roman" w:cs="Times New Roman" w:eastAsia="Times New Roman" w:hAnsi="Times New Roman"/>
          <w:sz w:val="22"/>
          <w:szCs w:val="22"/>
          <w:color w:val="000000"/>
        </w:rPr>
        <w:t>. Each Stable Value Account shall be adjusted based on the performance of the Ordinary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Shares. The Stable Value Account of a Participant who has ceased to be an Eligible Employee shall continue to be credited with earnings and losses until the applicable Payment Date. The distribution to a Participant on the distribution date shall be based on the value of the Participant’s Stable Value Account as of the applicable Payment Date, to the extent vested less the nominal value of the Ordinary Shares distributed. Dividends, if any, which are awarded for Ordinary Shares will be credited to Participant Stable Value Accounts and deemed invested in Ordinary Shares, and shall vest on the same schedule as the underlying Ordinary Shares pursuant to Section 8.</w:t>
      </w:r>
    </w:p>
    <w:p>
      <w:pPr>
        <w:spacing w:after="0" w:line="17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9.03</w:t>
      </w:r>
      <w:r>
        <w:rPr>
          <w:rFonts w:ascii="Times New Roman" w:cs="Times New Roman" w:eastAsia="Times New Roman" w:hAnsi="Times New Roman"/>
          <w:sz w:val="22"/>
          <w:szCs w:val="22"/>
          <w:b w:val="1"/>
          <w:bCs w:val="1"/>
          <w:color w:val="000000"/>
        </w:rPr>
        <w:t>Nature of Accounts</w:t>
      </w:r>
      <w:r>
        <w:rPr>
          <w:rFonts w:ascii="Times New Roman" w:cs="Times New Roman" w:eastAsia="Times New Roman" w:hAnsi="Times New Roman"/>
          <w:sz w:val="22"/>
          <w:szCs w:val="22"/>
          <w:color w:val="000000"/>
        </w:rPr>
        <w:t>. Stable Value Accounts may not actually be invested in Ordinary Shares and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Participants do not have any real or beneficial ownership in Ordinary Shares prior to a Payment Event. A Participant’s Stable Value Account is solely a device for the measurement and determination of the amounts to be paid to the Participant pursuant to the Plan and shall not constitute or be treated as a trust fund of any kind.</w:t>
      </w:r>
    </w:p>
    <w:p>
      <w:pPr>
        <w:spacing w:after="0" w:line="17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9.04</w:t>
      </w:r>
      <w:r>
        <w:rPr>
          <w:rFonts w:ascii="Times New Roman" w:cs="Times New Roman" w:eastAsia="Times New Roman" w:hAnsi="Times New Roman"/>
          <w:sz w:val="22"/>
          <w:szCs w:val="22"/>
          <w:b w:val="1"/>
          <w:bCs w:val="1"/>
          <w:color w:val="000000"/>
        </w:rPr>
        <w:t>RSUs</w:t>
      </w:r>
      <w:r>
        <w:rPr>
          <w:rFonts w:ascii="Times New Roman" w:cs="Times New Roman" w:eastAsia="Times New Roman" w:hAnsi="Times New Roman"/>
          <w:sz w:val="22"/>
          <w:szCs w:val="22"/>
          <w:color w:val="000000"/>
        </w:rPr>
        <w:t>. Notwithstanding anything to the contrary in Section 9.01 and Section 9.02, a Participant’s Stable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Value Account may be credited with RSUs granted pursuant to the EIP in lieu of notional Ordinary Shares, in which case such RSUs shall include DERs that shall be deemed reinvested in additional RSUs unless provided otherwise by the Committee. Such RSUs (including any RSUs credited pursuant to DERs) shall vest as set forth in Section 8 of this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7" w:name="page148"/>
    <w:bookmarkEnd w:id="147"/>
    <w:p>
      <w:pPr>
        <w:jc w:val="both"/>
        <w:spacing w:after="0" w:line="236" w:lineRule="auto"/>
        <w:rPr>
          <w:sz w:val="20"/>
          <w:szCs w:val="20"/>
          <w:color w:val="auto"/>
        </w:rPr>
      </w:pPr>
      <w:r>
        <w:rPr>
          <w:rFonts w:ascii="Times New Roman" w:cs="Times New Roman" w:eastAsia="Times New Roman" w:hAnsi="Times New Roman"/>
          <w:sz w:val="22"/>
          <w:szCs w:val="22"/>
          <w:color w:val="auto"/>
        </w:rPr>
        <w:t>Plan and shall be payable at the times and subject to the terms set forth in Sections 9, 10 and 11 of this Plan, and shall be subject to the terms of the EIP. This Plan shall constitute the Award Agreement with respect to any such RSUs and in the event that the Company determines there to be a conflict between the terms of this Plan and the EIP with respect to such RSUs or DERs, the terms of the Willis Towers Watson 2012 EIP shall control. A Participant shall have no rights in, to, or as a holder of Ordinary Shares with respect to any unissued securities covered by any RSUs until the date the Participant becomes the holder of record of such securities.</w:t>
      </w:r>
    </w:p>
    <w:p>
      <w:pPr>
        <w:spacing w:after="0" w:line="175"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10.01</w:t>
      </w:r>
      <w:r>
        <w:rPr>
          <w:rFonts w:ascii="Times New Roman" w:cs="Times New Roman" w:eastAsia="Times New Roman" w:hAnsi="Times New Roman"/>
          <w:sz w:val="22"/>
          <w:szCs w:val="22"/>
          <w:b w:val="1"/>
          <w:bCs w:val="1"/>
          <w:color w:val="000000"/>
        </w:rPr>
        <w:t>In General</w:t>
      </w:r>
      <w:r>
        <w:rPr>
          <w:rFonts w:ascii="Times New Roman" w:cs="Times New Roman" w:eastAsia="Times New Roman" w:hAnsi="Times New Roman"/>
          <w:sz w:val="22"/>
          <w:szCs w:val="22"/>
          <w:color w:val="000000"/>
        </w:rPr>
        <w:t>. Distribution of a Participant’s vested Stable Value Account shall be made on the Payment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Date following the earliest to occur of the following events (each, a “</w:t>
      </w:r>
      <w:r>
        <w:rPr>
          <w:rFonts w:ascii="Times New Roman" w:cs="Times New Roman" w:eastAsia="Times New Roman" w:hAnsi="Times New Roman"/>
          <w:sz w:val="22"/>
          <w:szCs w:val="22"/>
          <w:b w:val="1"/>
          <w:bCs w:val="1"/>
          <w:color w:val="000000"/>
        </w:rPr>
        <w:t>Payment Event</w:t>
      </w:r>
      <w:r>
        <w:rPr>
          <w:rFonts w:ascii="Times New Roman" w:cs="Times New Roman" w:eastAsia="Times New Roman" w:hAnsi="Times New Roman"/>
          <w:sz w:val="22"/>
          <w:szCs w:val="22"/>
          <w:color w:val="000000"/>
        </w:rPr>
        <w:t>”):</w:t>
      </w:r>
    </w:p>
    <w:p>
      <w:pPr>
        <w:spacing w:after="0" w:line="155" w:lineRule="exact"/>
        <w:rPr>
          <w:sz w:val="20"/>
          <w:szCs w:val="20"/>
          <w:color w:val="auto"/>
        </w:rPr>
      </w:pPr>
    </w:p>
    <w:p>
      <w:pPr>
        <w:ind w:left="2040" w:hanging="535"/>
        <w:spacing w:after="0"/>
        <w:tabs>
          <w:tab w:leader="none" w:pos="2040"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that is six (6) months after the Participant’s Separation from Service or</w:t>
      </w:r>
    </w:p>
    <w:p>
      <w:pPr>
        <w:spacing w:after="0" w:line="20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that is thirty (30) days after the Participant’s death.</w:t>
      </w:r>
    </w:p>
    <w:p>
      <w:pPr>
        <w:spacing w:after="0" w:line="20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10.02</w:t>
      </w:r>
      <w:r>
        <w:rPr>
          <w:rFonts w:ascii="Times New Roman" w:cs="Times New Roman" w:eastAsia="Times New Roman" w:hAnsi="Times New Roman"/>
          <w:sz w:val="22"/>
          <w:szCs w:val="22"/>
          <w:b w:val="1"/>
          <w:bCs w:val="1"/>
          <w:color w:val="000000"/>
        </w:rPr>
        <w:t>Timing of Valuation</w:t>
      </w:r>
      <w:r>
        <w:rPr>
          <w:rFonts w:ascii="Times New Roman" w:cs="Times New Roman" w:eastAsia="Times New Roman" w:hAnsi="Times New Roman"/>
          <w:sz w:val="22"/>
          <w:szCs w:val="22"/>
          <w:color w:val="000000"/>
        </w:rPr>
        <w:t>. The value of a Participant’s Stable Value Account on the Payment Date shall be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determined as of the applicable Payment Date.</w:t>
      </w:r>
    </w:p>
    <w:p>
      <w:pPr>
        <w:spacing w:after="0" w:line="151"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10.03</w:t>
      </w:r>
      <w:r>
        <w:rPr>
          <w:rFonts w:ascii="Times New Roman" w:cs="Times New Roman" w:eastAsia="Times New Roman" w:hAnsi="Times New Roman"/>
          <w:sz w:val="22"/>
          <w:szCs w:val="22"/>
          <w:b w:val="1"/>
          <w:bCs w:val="1"/>
          <w:color w:val="000000"/>
        </w:rPr>
        <w:t>Forfeiture of Unvested Accounts</w:t>
      </w:r>
      <w:r>
        <w:rPr>
          <w:rFonts w:ascii="Times New Roman" w:cs="Times New Roman" w:eastAsia="Times New Roman" w:hAnsi="Times New Roman"/>
          <w:sz w:val="22"/>
          <w:szCs w:val="22"/>
          <w:color w:val="000000"/>
        </w:rPr>
        <w:t>. Unless otherwise determined by the Committee, a Participant’s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unvested Stable Value Account balance shall be forfeited upon the Participant’s Separation from Service.</w:t>
      </w:r>
    </w:p>
    <w:p>
      <w:pPr>
        <w:spacing w:after="0" w:line="151"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10.04</w:t>
      </w:r>
      <w:r>
        <w:rPr>
          <w:rFonts w:ascii="Times New Roman" w:cs="Times New Roman" w:eastAsia="Times New Roman" w:hAnsi="Times New Roman"/>
          <w:sz w:val="22"/>
          <w:szCs w:val="22"/>
          <w:b w:val="1"/>
          <w:bCs w:val="1"/>
          <w:color w:val="000000"/>
        </w:rPr>
        <w:t>Timing of Distributions</w:t>
      </w:r>
      <w:r>
        <w:rPr>
          <w:rFonts w:ascii="Times New Roman" w:cs="Times New Roman" w:eastAsia="Times New Roman" w:hAnsi="Times New Roman"/>
          <w:sz w:val="22"/>
          <w:szCs w:val="22"/>
          <w:color w:val="000000"/>
        </w:rPr>
        <w:t>. Except as otherwise provided in this Plan, distribution shall be made on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Payment Date.</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10.05</w:t>
      </w:r>
      <w:r>
        <w:rPr>
          <w:rFonts w:ascii="Times New Roman" w:cs="Times New Roman" w:eastAsia="Times New Roman" w:hAnsi="Times New Roman"/>
          <w:sz w:val="22"/>
          <w:szCs w:val="22"/>
          <w:b w:val="1"/>
          <w:bCs w:val="1"/>
          <w:color w:val="000000"/>
        </w:rPr>
        <w:t>Method of Distribution</w:t>
      </w:r>
      <w:r>
        <w:rPr>
          <w:rFonts w:ascii="Times New Roman" w:cs="Times New Roman" w:eastAsia="Times New Roman" w:hAnsi="Times New Roman"/>
          <w:sz w:val="22"/>
          <w:szCs w:val="22"/>
          <w:color w:val="000000"/>
        </w:rPr>
        <w:t>. The Participant’s vested Stable Value Account shall be paid in Ordinary Shares;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provided that, if the Participant’s vested Stable Value Account balance on such Payment Event has a total value of less than $1,000, the vested Stable Value Account shall be paid in cash. Fractional shares shall be paid in cash.</w:t>
      </w:r>
    </w:p>
    <w:p>
      <w:pPr>
        <w:spacing w:after="0" w:line="166" w:lineRule="exact"/>
        <w:rPr>
          <w:sz w:val="20"/>
          <w:szCs w:val="20"/>
          <w:color w:val="auto"/>
        </w:rPr>
      </w:pPr>
    </w:p>
    <w:p>
      <w:pPr>
        <w:jc w:val="both"/>
        <w:ind w:firstLine="8"/>
        <w:spacing w:after="0" w:line="272" w:lineRule="auto"/>
        <w:tabs>
          <w:tab w:leader="none" w:pos="50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Permissible Acceleration Events</w:t>
      </w:r>
      <w:r>
        <w:rPr>
          <w:rFonts w:ascii="Times New Roman" w:cs="Times New Roman" w:eastAsia="Times New Roman" w:hAnsi="Times New Roman"/>
          <w:sz w:val="20"/>
          <w:szCs w:val="20"/>
          <w:color w:val="auto"/>
        </w:rPr>
        <w:t>. Notwithstanding anything in the Plan to the contrary, the Committee, in its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discretion, may accelerate the distribution of all or a portion of a Participant’s vested Stable Value Account upon the occurrence of any of the events (“</w:t>
      </w:r>
      <w:r>
        <w:rPr>
          <w:rFonts w:ascii="Times New Roman" w:cs="Times New Roman" w:eastAsia="Times New Roman" w:hAnsi="Times New Roman"/>
          <w:sz w:val="20"/>
          <w:szCs w:val="20"/>
          <w:b w:val="1"/>
          <w:bCs w:val="1"/>
          <w:color w:val="auto"/>
        </w:rPr>
        <w:t>Acceleration Events</w:t>
      </w:r>
      <w:r>
        <w:rPr>
          <w:rFonts w:ascii="Times New Roman" w:cs="Times New Roman" w:eastAsia="Times New Roman" w:hAnsi="Times New Roman"/>
          <w:sz w:val="20"/>
          <w:szCs w:val="20"/>
          <w:color w:val="auto"/>
        </w:rPr>
        <w:t>”) set forth in this Section 11. The Committee’s determination of whether distribution may be accelerated in accordance with this Section 11 shall be made in accordance with Treas. Reg. Section 1.409A-3(j)(4).</w:t>
      </w:r>
    </w:p>
    <w:p>
      <w:pPr>
        <w:spacing w:after="0" w:line="14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0"/>
          <w:szCs w:val="20"/>
          <w:b w:val="1"/>
          <w:bCs w:val="1"/>
          <w:color w:val="010000"/>
        </w:rPr>
        <w:t>Section 11.01</w:t>
      </w:r>
      <w:r>
        <w:rPr>
          <w:rFonts w:ascii="Times New Roman" w:cs="Times New Roman" w:eastAsia="Times New Roman" w:hAnsi="Times New Roman"/>
          <w:sz w:val="20"/>
          <w:szCs w:val="20"/>
          <w:b w:val="1"/>
          <w:bCs w:val="1"/>
          <w:color w:val="000000"/>
        </w:rPr>
        <w:t>Limited Cashouts</w:t>
      </w:r>
      <w:r>
        <w:rPr>
          <w:rFonts w:ascii="Times New Roman" w:cs="Times New Roman" w:eastAsia="Times New Roman" w:hAnsi="Times New Roman"/>
          <w:sz w:val="20"/>
          <w:szCs w:val="20"/>
          <w:color w:val="000000"/>
        </w:rPr>
        <w:t>. The Committee may accelerate distribution of a Participant’s vested Stable Value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Account to the extent that (a) the aggregate amount in the Participant’s Stable Value Account does not exceed the applicable dollar amount under Code Section 402(g)(1)(B); (b) the distribution results in the termination of the Participant’s entire interest in the Plan and any plans that are aggregated with the Plan pursuant to Treas. Reg. Section 1.409A-1(c)(2); and (c) the Committee’s decision to cash out the Participant’s Stable Value Account is evidenced in writing no later than the date of distribution.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48" w:name="page149"/>
    <w:bookmarkEnd w:id="148"/>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010000"/>
        </w:rPr>
        <w:t>Section 11.02</w:t>
      </w:r>
      <w:r>
        <w:rPr>
          <w:rFonts w:ascii="Times New Roman" w:cs="Times New Roman" w:eastAsia="Times New Roman" w:hAnsi="Times New Roman"/>
          <w:sz w:val="22"/>
          <w:szCs w:val="22"/>
          <w:b w:val="1"/>
          <w:bCs w:val="1"/>
          <w:color w:val="000000"/>
        </w:rPr>
        <w:t>Payment of Employment Taxes</w:t>
      </w:r>
      <w:r>
        <w:rPr>
          <w:rFonts w:ascii="Times New Roman" w:cs="Times New Roman" w:eastAsia="Times New Roman" w:hAnsi="Times New Roman"/>
          <w:sz w:val="22"/>
          <w:szCs w:val="22"/>
          <w:color w:val="000000"/>
        </w:rPr>
        <w:t>. The Committee may accelerate distribution of all or a portion of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Participant’s vested Stable Value Account (a) to pay the Federal Insurance Contributions Act (FICA) tax imposed under Code Sections 3101, 3121(a), and 3121(v)(2) (the “</w:t>
      </w:r>
      <w:r>
        <w:rPr>
          <w:rFonts w:ascii="Times New Roman" w:cs="Times New Roman" w:eastAsia="Times New Roman" w:hAnsi="Times New Roman"/>
          <w:sz w:val="22"/>
          <w:szCs w:val="22"/>
          <w:b w:val="1"/>
          <w:bCs w:val="1"/>
          <w:color w:val="000000"/>
        </w:rPr>
        <w:t>FICA Amount</w:t>
      </w:r>
      <w:r>
        <w:rPr>
          <w:rFonts w:ascii="Times New Roman" w:cs="Times New Roman" w:eastAsia="Times New Roman" w:hAnsi="Times New Roman"/>
          <w:sz w:val="22"/>
          <w:szCs w:val="22"/>
          <w:color w:val="000000"/>
        </w:rPr>
        <w:t>”); or (b) to pay the income tax at source on wages imposed under Code Section 3401 or the corresponding withholding provisions of applicable state, local, or foreign tax laws as a result of the payment of the FICA Amount and the additional income tax at source on wages attributable to the pyramiding Section 3401 wages and taxes; provided, however, that the total payment under this Section 11.02 shall not exceed the FICA Amount and the income tax withholding related to the FICA Amount.</w:t>
      </w:r>
    </w:p>
    <w:p>
      <w:pPr>
        <w:spacing w:after="0" w:line="17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11.03</w:t>
      </w:r>
      <w:r>
        <w:rPr>
          <w:rFonts w:ascii="Times New Roman" w:cs="Times New Roman" w:eastAsia="Times New Roman" w:hAnsi="Times New Roman"/>
          <w:sz w:val="22"/>
          <w:szCs w:val="22"/>
          <w:b w:val="1"/>
          <w:bCs w:val="1"/>
          <w:color w:val="000000"/>
        </w:rPr>
        <w:t>Distribution Upon Income Inclusion</w:t>
      </w:r>
      <w:r>
        <w:rPr>
          <w:rFonts w:ascii="Times New Roman" w:cs="Times New Roman" w:eastAsia="Times New Roman" w:hAnsi="Times New Roman"/>
          <w:sz w:val="22"/>
          <w:szCs w:val="22"/>
          <w:color w:val="000000"/>
        </w:rPr>
        <w:t>. The Committee may accelerate distribution of all or a portion of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Participant’s vested Stable Value Account to the extent that the Plan fails to meet the requirements of Code Section 409A, provided that, the amount accelerated shall not exceed the amount required to be included in income as a result of the failure to comply with Code Section 409A.</w:t>
      </w:r>
    </w:p>
    <w:p>
      <w:pPr>
        <w:spacing w:after="0" w:line="175" w:lineRule="exact"/>
        <w:rPr>
          <w:sz w:val="20"/>
          <w:szCs w:val="20"/>
          <w:color w:val="auto"/>
        </w:rPr>
      </w:pPr>
    </w:p>
    <w:p>
      <w:pPr>
        <w:jc w:val="both"/>
        <w:ind w:firstLine="749"/>
        <w:spacing w:after="0" w:line="311" w:lineRule="auto"/>
        <w:rPr>
          <w:sz w:val="20"/>
          <w:szCs w:val="20"/>
          <w:color w:val="auto"/>
        </w:rPr>
      </w:pPr>
      <w:r>
        <w:rPr>
          <w:rFonts w:ascii="Times New Roman" w:cs="Times New Roman" w:eastAsia="Times New Roman" w:hAnsi="Times New Roman"/>
          <w:sz w:val="20"/>
          <w:szCs w:val="20"/>
          <w:b w:val="1"/>
          <w:bCs w:val="1"/>
          <w:color w:val="010000"/>
        </w:rPr>
        <w:t>Section 11.04</w:t>
      </w:r>
      <w:r>
        <w:rPr>
          <w:rFonts w:ascii="Times New Roman" w:cs="Times New Roman" w:eastAsia="Times New Roman" w:hAnsi="Times New Roman"/>
          <w:sz w:val="20"/>
          <w:szCs w:val="20"/>
          <w:b w:val="1"/>
          <w:bCs w:val="1"/>
          <w:color w:val="000000"/>
        </w:rPr>
        <w:t>Termination of the Plan</w:t>
      </w:r>
      <w:r>
        <w:rPr>
          <w:rFonts w:ascii="Times New Roman" w:cs="Times New Roman" w:eastAsia="Times New Roman" w:hAnsi="Times New Roman"/>
          <w:sz w:val="20"/>
          <w:szCs w:val="20"/>
          <w:color w:val="000000"/>
        </w:rPr>
        <w:t>. The Committee may accelerate distributions of all or a portion of a Participant’s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vested Stable Value Account upon termination of the Plan in accordance with Treas. Reg. Section 1.409A-3(j)(4)(ix).</w:t>
      </w:r>
    </w:p>
    <w:p>
      <w:pPr>
        <w:spacing w:after="0" w:line="1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11.05</w:t>
      </w:r>
      <w:r>
        <w:rPr>
          <w:rFonts w:ascii="Times New Roman" w:cs="Times New Roman" w:eastAsia="Times New Roman" w:hAnsi="Times New Roman"/>
          <w:sz w:val="22"/>
          <w:szCs w:val="22"/>
          <w:b w:val="1"/>
          <w:bCs w:val="1"/>
          <w:color w:val="000000"/>
        </w:rPr>
        <w:t>Payment of State, Local, or Foreign Taxes</w:t>
      </w:r>
      <w:r>
        <w:rPr>
          <w:rFonts w:ascii="Times New Roman" w:cs="Times New Roman" w:eastAsia="Times New Roman" w:hAnsi="Times New Roman"/>
          <w:sz w:val="22"/>
          <w:szCs w:val="22"/>
          <w:color w:val="000000"/>
        </w:rPr>
        <w:t>. The Committee may accelerate distribution of all or a portion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of a Participant’s vested Stable Value Account for:</w:t>
      </w:r>
    </w:p>
    <w:p>
      <w:pPr>
        <w:spacing w:after="0" w:line="155" w:lineRule="exact"/>
        <w:rPr>
          <w:sz w:val="20"/>
          <w:szCs w:val="20"/>
          <w:color w:val="auto"/>
        </w:rPr>
      </w:pPr>
    </w:p>
    <w:p>
      <w:pPr>
        <w:jc w:val="both"/>
        <w:ind w:firstLine="1505"/>
        <w:spacing w:after="0" w:line="239" w:lineRule="auto"/>
        <w:tabs>
          <w:tab w:leader="none" w:pos="2037"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payment of state, local, or foreign tax obligations arising from participation in the Plan that relate to an amount deferred under the Plan before the amount is paid or made available to the Participant (the “</w:t>
      </w:r>
      <w:r>
        <w:rPr>
          <w:rFonts w:ascii="Times New Roman" w:cs="Times New Roman" w:eastAsia="Times New Roman" w:hAnsi="Times New Roman"/>
          <w:sz w:val="22"/>
          <w:szCs w:val="22"/>
          <w:b w:val="1"/>
          <w:bCs w:val="1"/>
          <w:color w:val="auto"/>
        </w:rPr>
        <w:t>State, Local, and 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 Amount</w:t>
      </w:r>
      <w:r>
        <w:rPr>
          <w:rFonts w:ascii="Times New Roman" w:cs="Times New Roman" w:eastAsia="Times New Roman" w:hAnsi="Times New Roman"/>
          <w:sz w:val="22"/>
          <w:szCs w:val="22"/>
          <w:color w:val="auto"/>
        </w:rPr>
        <w:t>”), provided, however, the accelerated payment amount shall not exceed the taxes due as a result of participation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and/or</w:t>
      </w:r>
    </w:p>
    <w:p>
      <w:pPr>
        <w:spacing w:after="0" w:line="178" w:lineRule="exact"/>
        <w:rPr>
          <w:rFonts w:ascii="Times New Roman" w:cs="Times New Roman" w:eastAsia="Times New Roman" w:hAnsi="Times New Roman"/>
          <w:sz w:val="22"/>
          <w:szCs w:val="22"/>
          <w:color w:val="010000"/>
        </w:rPr>
      </w:pPr>
    </w:p>
    <w:p>
      <w:pPr>
        <w:jc w:val="both"/>
        <w:ind w:firstLine="1505"/>
        <w:spacing w:after="0" w:line="239" w:lineRule="auto"/>
        <w:tabs>
          <w:tab w:leader="none" w:pos="2037"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payment of income tax at source on wages imposed under Code Section 3401 as a result of such payment and the payment of the additional income tax at source on wages imposed under Code Section 3401 attributable to the additional Section 3401 wages and taxes; provided, however, the accelerated payment amount shall not exceed the aggregate of the State, Local, and Foreign Tax Amount and the income tax withholding related to such amount.</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010000"/>
        </w:rPr>
        <w:t>Section 11.06</w:t>
      </w:r>
      <w:r>
        <w:rPr>
          <w:rFonts w:ascii="Times New Roman" w:cs="Times New Roman" w:eastAsia="Times New Roman" w:hAnsi="Times New Roman"/>
          <w:sz w:val="22"/>
          <w:szCs w:val="22"/>
          <w:b w:val="1"/>
          <w:bCs w:val="1"/>
          <w:color w:val="000000"/>
        </w:rPr>
        <w:t>Certain Offsets</w:t>
      </w:r>
      <w:r>
        <w:rPr>
          <w:rFonts w:ascii="Times New Roman" w:cs="Times New Roman" w:eastAsia="Times New Roman" w:hAnsi="Times New Roman"/>
          <w:sz w:val="22"/>
          <w:szCs w:val="22"/>
          <w:color w:val="000000"/>
        </w:rPr>
        <w:t>. The Committee may accelerate distribution of all or a portion of the Participant’s vested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Stable Value Account to satisfy a debt of the Participant to the Company or an Affiliate incurred in the ordinary course of the service relationship between the Company and the Participant, provided, however, the amount accelerated shall not exceed $5,000 and the distribution shall be made at the same time and in the same amount as the debt otherwise would have been due and collected from the Participant.</w:t>
      </w:r>
    </w:p>
    <w:p>
      <w:pPr>
        <w:spacing w:after="0" w:line="179"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 Administration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13.01</w:t>
      </w:r>
      <w:r>
        <w:rPr>
          <w:rFonts w:ascii="Times New Roman" w:cs="Times New Roman" w:eastAsia="Times New Roman" w:hAnsi="Times New Roman"/>
          <w:sz w:val="22"/>
          <w:szCs w:val="22"/>
          <w:b w:val="1"/>
          <w:bCs w:val="1"/>
          <w:color w:val="000000"/>
        </w:rPr>
        <w:t>Administration By Committee</w:t>
      </w:r>
      <w:r>
        <w:rPr>
          <w:rFonts w:ascii="Times New Roman" w:cs="Times New Roman" w:eastAsia="Times New Roman" w:hAnsi="Times New Roman"/>
          <w:sz w:val="22"/>
          <w:szCs w:val="22"/>
          <w:color w:val="000000"/>
        </w:rPr>
        <w:t>. The Plan shall be administered by the Committee, which shall have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authority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9" w:name="page150"/>
    <w:bookmarkEnd w:id="149"/>
    <w:p>
      <w:pPr>
        <w:ind w:left="2040" w:hanging="535"/>
        <w:spacing w:after="0"/>
        <w:tabs>
          <w:tab w:leader="none" w:pos="204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Construe and interpret the Plan and apply its provisions;</w:t>
      </w:r>
    </w:p>
    <w:p>
      <w:pPr>
        <w:spacing w:after="0" w:line="20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Promulgate, amend, and rescind rules and regulations relating to the administration of the Plan;</w:t>
      </w:r>
    </w:p>
    <w:p>
      <w:pPr>
        <w:spacing w:after="0" w:line="20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Authorize any person to execute, on behalf of the Company, any instrument required to carry out the</w:t>
      </w:r>
    </w:p>
    <w:p>
      <w:pPr>
        <w:spacing w:after="0" w:line="13"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purposes of the Plan;</w:t>
      </w:r>
    </w:p>
    <w:p>
      <w:pPr>
        <w:spacing w:after="0" w:line="181"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Determine the types of Eligible Compensation that will be deferred into the Plan via Participant</w:t>
      </w:r>
    </w:p>
    <w:p>
      <w:pPr>
        <w:spacing w:after="0" w:line="13"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Contributions;</w:t>
      </w:r>
    </w:p>
    <w:p>
      <w:pPr>
        <w:spacing w:after="0" w:line="181"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Select, subject to the limitations set forth in the Plan, those Employees who shall be Eligible Employees;</w:t>
      </w:r>
    </w:p>
    <w:p>
      <w:pPr>
        <w:spacing w:after="0" w:line="228" w:lineRule="exact"/>
        <w:rPr>
          <w:rFonts w:ascii="Times New Roman" w:cs="Times New Roman" w:eastAsia="Times New Roman" w:hAnsi="Times New Roman"/>
          <w:sz w:val="20"/>
          <w:szCs w:val="20"/>
          <w:color w:val="010000"/>
        </w:rPr>
      </w:pPr>
    </w:p>
    <w:p>
      <w:pPr>
        <w:ind w:right="20" w:firstLine="1505"/>
        <w:spacing w:after="0" w:line="258" w:lineRule="auto"/>
        <w:tabs>
          <w:tab w:leader="none" w:pos="2037"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Interpret, administer, reconcile any inconsistency in, correct any defect in, and/or supply any omission in the Plan and any instrument, Participation Election, or agreement relating to the Plan; and</w:t>
      </w:r>
    </w:p>
    <w:p>
      <w:pPr>
        <w:spacing w:after="0" w:line="157" w:lineRule="exact"/>
        <w:rPr>
          <w:rFonts w:ascii="Times New Roman" w:cs="Times New Roman" w:eastAsia="Times New Roman" w:hAnsi="Times New Roman"/>
          <w:sz w:val="22"/>
          <w:szCs w:val="22"/>
          <w:color w:val="010000"/>
        </w:rPr>
      </w:pPr>
    </w:p>
    <w:p>
      <w:pPr>
        <w:ind w:firstLine="1505"/>
        <w:spacing w:after="0" w:line="258" w:lineRule="auto"/>
        <w:tabs>
          <w:tab w:leader="none" w:pos="2037"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Exercise discretion to make any and all other determinations which it determines to be necessary or advisable for the administration of the Plan.</w:t>
      </w:r>
    </w:p>
    <w:p>
      <w:pPr>
        <w:spacing w:after="0" w:line="15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13.02</w:t>
      </w:r>
      <w:r>
        <w:rPr>
          <w:rFonts w:ascii="Times New Roman" w:cs="Times New Roman" w:eastAsia="Times New Roman" w:hAnsi="Times New Roman"/>
          <w:sz w:val="22"/>
          <w:szCs w:val="22"/>
          <w:b w:val="1"/>
          <w:bCs w:val="1"/>
          <w:color w:val="000000"/>
        </w:rPr>
        <w:t>Non-Uniform Treatment</w:t>
      </w:r>
      <w:r>
        <w:rPr>
          <w:rFonts w:ascii="Times New Roman" w:cs="Times New Roman" w:eastAsia="Times New Roman" w:hAnsi="Times New Roman"/>
          <w:sz w:val="22"/>
          <w:szCs w:val="22"/>
          <w:color w:val="000000"/>
        </w:rPr>
        <w:t>. The Committee’s determinations under the Plan need not be uniform and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such determinations may be made selectively among Participants.</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13.03</w:t>
      </w:r>
      <w:r>
        <w:rPr>
          <w:rFonts w:ascii="Times New Roman" w:cs="Times New Roman" w:eastAsia="Times New Roman" w:hAnsi="Times New Roman"/>
          <w:sz w:val="22"/>
          <w:szCs w:val="22"/>
          <w:b w:val="1"/>
          <w:bCs w:val="1"/>
          <w:color w:val="000000"/>
        </w:rPr>
        <w:t>Committee Decisions Final</w:t>
      </w:r>
      <w:r>
        <w:rPr>
          <w:rFonts w:ascii="Times New Roman" w:cs="Times New Roman" w:eastAsia="Times New Roman" w:hAnsi="Times New Roman"/>
          <w:sz w:val="22"/>
          <w:szCs w:val="22"/>
          <w:color w:val="000000"/>
        </w:rPr>
        <w:t>. Subject to the claims procedures set forth in Section 14, all decisions made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by the Committee pursuant to the provisions of the Plan shall be final and binding on the Company and the Participants, unless such decisions are determined by a court having jurisdiction to be arbitrary and capricious.</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13.04</w:t>
      </w:r>
      <w:r>
        <w:rPr>
          <w:rFonts w:ascii="Times New Roman" w:cs="Times New Roman" w:eastAsia="Times New Roman" w:hAnsi="Times New Roman"/>
          <w:sz w:val="22"/>
          <w:szCs w:val="22"/>
          <w:b w:val="1"/>
          <w:bCs w:val="1"/>
          <w:color w:val="000000"/>
        </w:rPr>
        <w:t>Indemnification</w:t>
      </w:r>
      <w:r>
        <w:rPr>
          <w:rFonts w:ascii="Times New Roman" w:cs="Times New Roman" w:eastAsia="Times New Roman" w:hAnsi="Times New Roman"/>
          <w:sz w:val="22"/>
          <w:szCs w:val="22"/>
          <w:color w:val="000000"/>
        </w:rPr>
        <w:t>. No member of the Committee or any designee shall be liable for any action, failure to</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act, determination, or interpretation made in good faith with respect to the Plan except for any liability arising from his or her own willful malfeasance, gross negligence, or reckless disregard of his or her duties.</w:t>
      </w:r>
    </w:p>
    <w:p>
      <w:pPr>
        <w:spacing w:after="0" w:line="166"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Claims Procedures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14.01</w:t>
      </w:r>
      <w:r>
        <w:rPr>
          <w:rFonts w:ascii="Times New Roman" w:cs="Times New Roman" w:eastAsia="Times New Roman" w:hAnsi="Times New Roman"/>
          <w:sz w:val="22"/>
          <w:szCs w:val="22"/>
          <w:b w:val="1"/>
          <w:bCs w:val="1"/>
          <w:color w:val="000000"/>
        </w:rPr>
        <w:t>Filing a Claim</w:t>
      </w:r>
      <w:r>
        <w:rPr>
          <w:rFonts w:ascii="Times New Roman" w:cs="Times New Roman" w:eastAsia="Times New Roman" w:hAnsi="Times New Roman"/>
          <w:sz w:val="22"/>
          <w:szCs w:val="22"/>
          <w:color w:val="000000"/>
        </w:rPr>
        <w:t>. Any Participant or other person claiming an interest in the Plan (the “</w:t>
      </w:r>
      <w:r>
        <w:rPr>
          <w:rFonts w:ascii="Times New Roman" w:cs="Times New Roman" w:eastAsia="Times New Roman" w:hAnsi="Times New Roman"/>
          <w:sz w:val="22"/>
          <w:szCs w:val="22"/>
          <w:b w:val="1"/>
          <w:bCs w:val="1"/>
          <w:color w:val="000000"/>
        </w:rPr>
        <w:t>Claimant</w:t>
      </w:r>
      <w:r>
        <w:rPr>
          <w:rFonts w:ascii="Times New Roman" w:cs="Times New Roman" w:eastAsia="Times New Roman" w:hAnsi="Times New Roman"/>
          <w:sz w:val="22"/>
          <w:szCs w:val="22"/>
          <w:color w:val="000000"/>
        </w:rPr>
        <w:t>”) may file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 claim in writing with the Committee. The Committee shall review the claim itself or appoint an individual or entity to review the claim.</w:t>
      </w:r>
    </w:p>
    <w:p>
      <w:pPr>
        <w:spacing w:after="0" w:line="16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010000"/>
        </w:rPr>
        <w:t>Section 14.02</w:t>
      </w:r>
      <w:r>
        <w:rPr>
          <w:rFonts w:ascii="Times New Roman" w:cs="Times New Roman" w:eastAsia="Times New Roman" w:hAnsi="Times New Roman"/>
          <w:sz w:val="22"/>
          <w:szCs w:val="22"/>
          <w:b w:val="1"/>
          <w:bCs w:val="1"/>
          <w:color w:val="000000"/>
        </w:rPr>
        <w:t>Claim Decision</w:t>
      </w:r>
      <w:r>
        <w:rPr>
          <w:rFonts w:ascii="Times New Roman" w:cs="Times New Roman" w:eastAsia="Times New Roman" w:hAnsi="Times New Roman"/>
          <w:sz w:val="22"/>
          <w:szCs w:val="22"/>
          <w:color w:val="000000"/>
        </w:rPr>
        <w:t>. The Claimant shall be notified within ninety (90) days after the claim is filed whether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claim is approved or denied, unless the Committee determines that special circumstances beyond the control of the Plan require an extension of time, in which case the Committee may have up to an additional ninety (90) days to process the claim. If the Committee determines that an extension of time for processing is required, the Committee shall furnish written or electronic notice of the extension to the Claimant before the end of the initial ninety (90) day period. Any notice of extension shall describe the special circumstances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t>necessitating the additional time and the date by which the Committee expects to render its decision.</w:t>
      </w:r>
    </w:p>
    <w:p>
      <w:pPr>
        <w:spacing w:after="0" w:line="20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14.03</w:t>
      </w:r>
      <w:r>
        <w:rPr>
          <w:rFonts w:ascii="Times New Roman" w:cs="Times New Roman" w:eastAsia="Times New Roman" w:hAnsi="Times New Roman"/>
          <w:sz w:val="22"/>
          <w:szCs w:val="22"/>
          <w:b w:val="1"/>
          <w:bCs w:val="1"/>
          <w:color w:val="000000"/>
        </w:rPr>
        <w:t>Notice of Denial</w:t>
      </w:r>
      <w:r>
        <w:rPr>
          <w:rFonts w:ascii="Times New Roman" w:cs="Times New Roman" w:eastAsia="Times New Roman" w:hAnsi="Times New Roman"/>
          <w:sz w:val="22"/>
          <w:szCs w:val="22"/>
          <w:color w:val="000000"/>
        </w:rPr>
        <w:t>. If the Committee denies the claim, it must provide to the Claimant, in writing or by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electronic communication, a notice which includes:</w:t>
      </w:r>
    </w:p>
    <w:p>
      <w:pPr>
        <w:spacing w:after="0" w:line="155" w:lineRule="exact"/>
        <w:rPr>
          <w:sz w:val="20"/>
          <w:szCs w:val="20"/>
          <w:color w:val="auto"/>
        </w:rPr>
      </w:pPr>
    </w:p>
    <w:p>
      <w:pPr>
        <w:ind w:left="2040" w:hanging="535"/>
        <w:spacing w:after="0"/>
        <w:tabs>
          <w:tab w:leader="none" w:pos="2040"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specific reason(s) for the denial;</w:t>
      </w:r>
    </w:p>
    <w:p>
      <w:pPr>
        <w:spacing w:after="0" w:line="20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Specific reference to the pertinent Plan provisions on which such denial is based;</w:t>
      </w:r>
    </w:p>
    <w:p>
      <w:pPr>
        <w:spacing w:after="0" w:line="205" w:lineRule="exact"/>
        <w:rPr>
          <w:rFonts w:ascii="Times New Roman" w:cs="Times New Roman" w:eastAsia="Times New Roman" w:hAnsi="Times New Roman"/>
          <w:sz w:val="22"/>
          <w:szCs w:val="22"/>
          <w:color w:val="010000"/>
        </w:rPr>
      </w:pPr>
    </w:p>
    <w:p>
      <w:pPr>
        <w:ind w:firstLine="1505"/>
        <w:spacing w:after="0" w:line="258" w:lineRule="auto"/>
        <w:tabs>
          <w:tab w:leader="none" w:pos="2037"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of any additional material or information necessary for the Claimant to perfect his or her claim and an explanation of why such material or information is necessary;</w:t>
      </w:r>
    </w:p>
    <w:p>
      <w:pPr>
        <w:spacing w:after="0" w:line="157" w:lineRule="exact"/>
        <w:rPr>
          <w:rFonts w:ascii="Times New Roman" w:cs="Times New Roman" w:eastAsia="Times New Roman" w:hAnsi="Times New Roman"/>
          <w:sz w:val="22"/>
          <w:szCs w:val="22"/>
          <w:color w:val="010000"/>
        </w:rPr>
      </w:pPr>
    </w:p>
    <w:p>
      <w:pPr>
        <w:jc w:val="both"/>
        <w:ind w:firstLine="1505"/>
        <w:spacing w:after="0" w:line="244" w:lineRule="auto"/>
        <w:tabs>
          <w:tab w:leader="none" w:pos="2037"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of the Plan’s appeal procedures and the time limits applicable to such procedures, including a statement of the Claimant’s right to bring a civil action under Section 502(a) of ERISA following a denial of the claim on appeal; and</w:t>
      </w:r>
    </w:p>
    <w:p>
      <w:pPr>
        <w:spacing w:after="0" w:line="172" w:lineRule="exact"/>
        <w:rPr>
          <w:rFonts w:ascii="Times New Roman" w:cs="Times New Roman" w:eastAsia="Times New Roman" w:hAnsi="Times New Roman"/>
          <w:sz w:val="22"/>
          <w:szCs w:val="22"/>
          <w:color w:val="010000"/>
        </w:rPr>
      </w:pPr>
    </w:p>
    <w:p>
      <w:pPr>
        <w:ind w:firstLine="1505"/>
        <w:spacing w:after="0" w:line="258" w:lineRule="auto"/>
        <w:tabs>
          <w:tab w:leader="none" w:pos="2037"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 internal rule was relied on to make the decision, either a copy of the internal rule or a statement that this information is available at no charge upon request.</w:t>
      </w:r>
    </w:p>
    <w:p>
      <w:pPr>
        <w:spacing w:after="0" w:line="15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010000"/>
        </w:rPr>
        <w:t>Section 14.04</w:t>
      </w:r>
      <w:r>
        <w:rPr>
          <w:rFonts w:ascii="Times New Roman" w:cs="Times New Roman" w:eastAsia="Times New Roman" w:hAnsi="Times New Roman"/>
          <w:sz w:val="22"/>
          <w:szCs w:val="22"/>
          <w:b w:val="1"/>
          <w:bCs w:val="1"/>
          <w:color w:val="000000"/>
        </w:rPr>
        <w:t>Appeal Procedures</w:t>
      </w:r>
      <w:r>
        <w:rPr>
          <w:rFonts w:ascii="Times New Roman" w:cs="Times New Roman" w:eastAsia="Times New Roman" w:hAnsi="Times New Roman"/>
          <w:sz w:val="22"/>
          <w:szCs w:val="22"/>
          <w:color w:val="000000"/>
        </w:rPr>
        <w:t>. A request for appeal of a denied claim must be made in writing to the Committee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within sixty (60) days after receiving notice of denial. The decision on appeal will be made within sixty (60) days after the Committee’s receipt of a request for appeal. A notice of such an extension must be provided to the Claimant within the initial sixty (60) day period and must explain the special circumstances and provide an expected date of decision. The reviewer shall afford the Claimant an opportunity to review and receive, without charge, all relevant documents, information and records and to submit issues and comments in writing to the Committee.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176"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14.05</w:t>
      </w:r>
      <w:r>
        <w:rPr>
          <w:rFonts w:ascii="Times New Roman" w:cs="Times New Roman" w:eastAsia="Times New Roman" w:hAnsi="Times New Roman"/>
          <w:sz w:val="22"/>
          <w:szCs w:val="22"/>
          <w:b w:val="1"/>
          <w:bCs w:val="1"/>
          <w:color w:val="000000"/>
        </w:rPr>
        <w:t>Notice of Decision on Appeal</w:t>
      </w:r>
      <w:r>
        <w:rPr>
          <w:rFonts w:ascii="Times New Roman" w:cs="Times New Roman" w:eastAsia="Times New Roman" w:hAnsi="Times New Roman"/>
          <w:sz w:val="22"/>
          <w:szCs w:val="22"/>
          <w:color w:val="000000"/>
        </w:rPr>
        <w:t>. If the Committee denies the appeal, it must provide to the Claimant, in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writing or by electronic communication, a notice which includes:</w:t>
      </w:r>
    </w:p>
    <w:p>
      <w:pPr>
        <w:spacing w:after="0" w:line="155" w:lineRule="exact"/>
        <w:rPr>
          <w:sz w:val="20"/>
          <w:szCs w:val="20"/>
          <w:color w:val="auto"/>
        </w:rPr>
      </w:pPr>
    </w:p>
    <w:p>
      <w:pPr>
        <w:ind w:left="2040" w:hanging="535"/>
        <w:spacing w:after="0"/>
        <w:tabs>
          <w:tab w:leader="none" w:pos="204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specific reason(s) for the denial;</w:t>
      </w:r>
    </w:p>
    <w:p>
      <w:pPr>
        <w:spacing w:after="0" w:line="20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Specific references to the pertinent Plan provisions on which such denial is based;</w:t>
      </w:r>
    </w:p>
    <w:p>
      <w:pPr>
        <w:spacing w:after="0" w:line="20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that the Claimant may receive on request all relevant records at no charge;</w:t>
      </w:r>
    </w:p>
    <w:p>
      <w:pPr>
        <w:spacing w:after="0" w:line="20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of the Plan’s voluntary procedures and deadlines, if any;</w:t>
      </w:r>
    </w:p>
    <w:p>
      <w:pPr>
        <w:spacing w:after="0" w:line="20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of the Claimant’s right to sue under Section 502(a) of ERISA;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1" w:name="page152"/>
    <w:bookmarkEnd w:id="151"/>
    <w:p>
      <w:pPr>
        <w:ind w:firstLine="1505"/>
        <w:spacing w:after="0" w:line="258" w:lineRule="auto"/>
        <w:tabs>
          <w:tab w:leader="none" w:pos="2037"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 internal rule was relied on to make the decision, either a copy of the internal rule or a statement that this information is available at no charge upon request.</w:t>
      </w:r>
    </w:p>
    <w:p>
      <w:pPr>
        <w:spacing w:after="0" w:line="153"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14.06</w:t>
      </w:r>
      <w:r>
        <w:rPr>
          <w:rFonts w:ascii="Times New Roman" w:cs="Times New Roman" w:eastAsia="Times New Roman" w:hAnsi="Times New Roman"/>
          <w:sz w:val="22"/>
          <w:szCs w:val="22"/>
          <w:b w:val="1"/>
          <w:bCs w:val="1"/>
          <w:color w:val="000000"/>
        </w:rPr>
        <w:t>Claims Procedures Mandatory</w:t>
      </w:r>
      <w:r>
        <w:rPr>
          <w:rFonts w:ascii="Times New Roman" w:cs="Times New Roman" w:eastAsia="Times New Roman" w:hAnsi="Times New Roman"/>
          <w:sz w:val="22"/>
          <w:szCs w:val="22"/>
          <w:color w:val="000000"/>
        </w:rPr>
        <w:t>. The internal claims procedures set forth in this Section 14 are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mandatory. If a Claimant fails to follow these claims procedures, or to timely file a request for appeal in accordance with this Section 14, the denial of the claim shall become final and binding on all persons for all purposes.</w:t>
      </w:r>
    </w:p>
    <w:p>
      <w:pPr>
        <w:spacing w:after="0" w:line="166" w:lineRule="exact"/>
        <w:rPr>
          <w:sz w:val="20"/>
          <w:szCs w:val="20"/>
          <w:color w:val="auto"/>
        </w:rPr>
      </w:pPr>
    </w:p>
    <w:p>
      <w:pPr>
        <w:jc w:val="both"/>
        <w:ind w:firstLine="8"/>
        <w:spacing w:after="0" w:line="237" w:lineRule="auto"/>
        <w:tabs>
          <w:tab w:leader="none" w:pos="50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and Termination</w:t>
      </w:r>
      <w:r>
        <w:rPr>
          <w:rFonts w:ascii="Times New Roman" w:cs="Times New Roman" w:eastAsia="Times New Roman" w:hAnsi="Times New Roman"/>
          <w:sz w:val="22"/>
          <w:szCs w:val="22"/>
          <w:color w:val="auto"/>
        </w:rPr>
        <w:t>. Subject to the applicable requirements of Code Section 409A, the Board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to the extent that authority has been delegated to the Committee, may at any time, and in its sole discretion, alter, amend, modify, suspend, or terminate the Plan or any portion thereof; provided, however, that no such amendment, modification, suspension, or termination shall, without the consent of a Participant, adversely affect such Participant’s rights with respect to amounts credited to or accrued in his or her Stable Value Account. The Board may also at any time terminate the functions of the Committee and reassume all powers and authority previously delegated to the Committee.</w:t>
      </w:r>
    </w:p>
    <w:p>
      <w:pPr>
        <w:spacing w:after="0" w:line="173"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16.01</w:t>
      </w:r>
      <w:r>
        <w:rPr>
          <w:rFonts w:ascii="Times New Roman" w:cs="Times New Roman" w:eastAsia="Times New Roman" w:hAnsi="Times New Roman"/>
          <w:sz w:val="22"/>
          <w:szCs w:val="22"/>
          <w:b w:val="1"/>
          <w:bCs w:val="1"/>
          <w:color w:val="000000"/>
        </w:rPr>
        <w:t>No Employment or Other Service Rights</w:t>
      </w:r>
      <w:r>
        <w:rPr>
          <w:rFonts w:ascii="Times New Roman" w:cs="Times New Roman" w:eastAsia="Times New Roman" w:hAnsi="Times New Roman"/>
          <w:sz w:val="22"/>
          <w:szCs w:val="22"/>
          <w:color w:val="000000"/>
        </w:rPr>
        <w:t>. Nothing in the Plan or any instrument executed pursuant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thereto shall confer upon any Participant any right to continue to serve the Company or an Affiliate or interfere in any way with the right of the Company or any Affiliate to terminate the Participant’s employment or service at any time with or without notice and with or without cause.</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16.02</w:t>
      </w:r>
      <w:r>
        <w:rPr>
          <w:rFonts w:ascii="Times New Roman" w:cs="Times New Roman" w:eastAsia="Times New Roman" w:hAnsi="Times New Roman"/>
          <w:sz w:val="22"/>
          <w:szCs w:val="22"/>
          <w:b w:val="1"/>
          <w:bCs w:val="1"/>
          <w:color w:val="000000"/>
        </w:rPr>
        <w:t>Tax Withholding</w:t>
      </w:r>
      <w:r>
        <w:rPr>
          <w:rFonts w:ascii="Times New Roman" w:cs="Times New Roman" w:eastAsia="Times New Roman" w:hAnsi="Times New Roman"/>
          <w:sz w:val="22"/>
          <w:szCs w:val="22"/>
          <w:color w:val="000000"/>
        </w:rPr>
        <w:t>. The Company and its Affiliates shall have the right to deduct from any amounts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otherwise payable under the Plan any federal, state, local, or other applicable taxes required to be withheld.</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16.03</w:t>
      </w:r>
      <w:r>
        <w:rPr>
          <w:rFonts w:ascii="Times New Roman" w:cs="Times New Roman" w:eastAsia="Times New Roman" w:hAnsi="Times New Roman"/>
          <w:sz w:val="22"/>
          <w:szCs w:val="22"/>
          <w:b w:val="1"/>
          <w:bCs w:val="1"/>
          <w:color w:val="000000"/>
        </w:rPr>
        <w:t>Governing Law</w:t>
      </w:r>
      <w:r>
        <w:rPr>
          <w:rFonts w:ascii="Times New Roman" w:cs="Times New Roman" w:eastAsia="Times New Roman" w:hAnsi="Times New Roman"/>
          <w:sz w:val="22"/>
          <w:szCs w:val="22"/>
          <w:color w:val="000000"/>
        </w:rPr>
        <w:t>. The Plan shall be administered, construed, and governed in all respects under and by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laws of Ireland, without reference to the principles of conflicts of law (except and to the extent pre-empted by applicable laws of the United States).</w:t>
      </w:r>
    </w:p>
    <w:p>
      <w:pPr>
        <w:spacing w:after="0" w:line="16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16.04</w:t>
      </w:r>
      <w:r>
        <w:rPr>
          <w:rFonts w:ascii="Times New Roman" w:cs="Times New Roman" w:eastAsia="Times New Roman" w:hAnsi="Times New Roman"/>
          <w:sz w:val="22"/>
          <w:szCs w:val="22"/>
          <w:b w:val="1"/>
          <w:bCs w:val="1"/>
          <w:color w:val="000000"/>
        </w:rPr>
        <w:t>Code Section 409A</w:t>
      </w:r>
      <w:r>
        <w:rPr>
          <w:rFonts w:ascii="Times New Roman" w:cs="Times New Roman" w:eastAsia="Times New Roman" w:hAnsi="Times New Roman"/>
          <w:sz w:val="22"/>
          <w:szCs w:val="22"/>
          <w:color w:val="000000"/>
        </w:rPr>
        <w:t>. The Company intends that the Plan comply with the requirements of Code Section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409A and shall be operated and interpreted consistent with that intent. Notwithstanding the foregoing, the Company makes no representation that the Plan complies with Code Section 409A and shall have no liability to any Participant for any failure to comply with Code Section 409A.</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16.05</w:t>
      </w:r>
      <w:r>
        <w:rPr>
          <w:rFonts w:ascii="Times New Roman" w:cs="Times New Roman" w:eastAsia="Times New Roman" w:hAnsi="Times New Roman"/>
          <w:sz w:val="22"/>
          <w:szCs w:val="22"/>
          <w:b w:val="1"/>
          <w:bCs w:val="1"/>
          <w:color w:val="000000"/>
        </w:rPr>
        <w:t>No Warranties</w:t>
      </w:r>
      <w:r>
        <w:rPr>
          <w:rFonts w:ascii="Times New Roman" w:cs="Times New Roman" w:eastAsia="Times New Roman" w:hAnsi="Times New Roman"/>
          <w:sz w:val="22"/>
          <w:szCs w:val="22"/>
          <w:color w:val="000000"/>
        </w:rPr>
        <w:t>. Neither the Company nor the Committee warrants or represents that the value of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Participant’s Stable Value Account will increase. Each Participant assumes the risk in connection with the deemed investment of his or her Stable Value Account.</w:t>
      </w:r>
    </w:p>
    <w:p>
      <w:pPr>
        <w:spacing w:after="0" w:line="16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010000"/>
        </w:rPr>
        <w:t>Section 16.06</w:t>
      </w:r>
      <w:r>
        <w:rPr>
          <w:rFonts w:ascii="Times New Roman" w:cs="Times New Roman" w:eastAsia="Times New Roman" w:hAnsi="Times New Roman"/>
          <w:sz w:val="22"/>
          <w:szCs w:val="22"/>
          <w:b w:val="1"/>
          <w:bCs w:val="1"/>
          <w:color w:val="000000"/>
        </w:rPr>
        <w:t>Beneficiary Designation</w:t>
      </w:r>
      <w:r>
        <w:rPr>
          <w:rFonts w:ascii="Times New Roman" w:cs="Times New Roman" w:eastAsia="Times New Roman" w:hAnsi="Times New Roman"/>
          <w:sz w:val="22"/>
          <w:szCs w:val="22"/>
          <w:color w:val="000000"/>
        </w:rPr>
        <w:t>. Each Participant under the Plan may from time to time name any beneficiary or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beneficiaries to receive the Participant’s interest in the Plan in the event of the Participant’s death. Each designation will revoke all prior designations by the same Participant, shall be in a form reasonably prescribed by the Committee, and shall be effective only when filed by the Participant in writing with the Company during the Participant’s lifetime. If a</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2" w:name="page153"/>
    <w:bookmarkEnd w:id="152"/>
    <w:p>
      <w:pPr>
        <w:jc w:val="both"/>
        <w:spacing w:after="0" w:line="258" w:lineRule="auto"/>
        <w:rPr>
          <w:sz w:val="20"/>
          <w:szCs w:val="20"/>
          <w:color w:val="auto"/>
        </w:rPr>
      </w:pPr>
      <w:r>
        <w:rPr>
          <w:rFonts w:ascii="Times New Roman" w:cs="Times New Roman" w:eastAsia="Times New Roman" w:hAnsi="Times New Roman"/>
          <w:sz w:val="22"/>
          <w:szCs w:val="22"/>
          <w:color w:val="auto"/>
        </w:rPr>
        <w:t>Participant fails to designate a beneficiary, then the Participant’s designated beneficiary shall be deemed to be the Participant’s estate.</w:t>
      </w:r>
    </w:p>
    <w:p>
      <w:pPr>
        <w:spacing w:after="0" w:line="15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16.07</w:t>
      </w:r>
      <w:r>
        <w:rPr>
          <w:rFonts w:ascii="Times New Roman" w:cs="Times New Roman" w:eastAsia="Times New Roman" w:hAnsi="Times New Roman"/>
          <w:sz w:val="22"/>
          <w:szCs w:val="22"/>
          <w:b w:val="1"/>
          <w:bCs w:val="1"/>
          <w:color w:val="000000"/>
        </w:rPr>
        <w:t>No Assignment</w:t>
      </w:r>
      <w:r>
        <w:rPr>
          <w:rFonts w:ascii="Times New Roman" w:cs="Times New Roman" w:eastAsia="Times New Roman" w:hAnsi="Times New Roman"/>
          <w:sz w:val="22"/>
          <w:szCs w:val="22"/>
          <w:color w:val="000000"/>
        </w:rPr>
        <w:t>. Neither a Participant nor any other person shall have any right to sell, assign, transfer,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pledge, anticipate, or otherwise encumber, transfer, hypothecate, or convey any amounts payable hereunder prior to the date that such amounts are paid (except for the designation of beneficiaries pursuant to Section 16.06).</w:t>
      </w:r>
    </w:p>
    <w:p>
      <w:pPr>
        <w:spacing w:after="0" w:line="16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16.08</w:t>
      </w:r>
      <w:r>
        <w:rPr>
          <w:rFonts w:ascii="Times New Roman" w:cs="Times New Roman" w:eastAsia="Times New Roman" w:hAnsi="Times New Roman"/>
          <w:sz w:val="22"/>
          <w:szCs w:val="22"/>
          <w:b w:val="1"/>
          <w:bCs w:val="1"/>
          <w:color w:val="000000"/>
        </w:rPr>
        <w:t>Expenses</w:t>
      </w:r>
      <w:r>
        <w:rPr>
          <w:rFonts w:ascii="Times New Roman" w:cs="Times New Roman" w:eastAsia="Times New Roman" w:hAnsi="Times New Roman"/>
          <w:sz w:val="22"/>
          <w:szCs w:val="22"/>
          <w:color w:val="000000"/>
        </w:rPr>
        <w:t>. The costs of administering this Plan shall be charged to Participant Stable Value Accounts,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unless paid for by the Company, as determined by the Company in its discretion.</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Section 16.09</w:t>
      </w:r>
      <w:r>
        <w:rPr>
          <w:rFonts w:ascii="Times New Roman" w:cs="Times New Roman" w:eastAsia="Times New Roman" w:hAnsi="Times New Roman"/>
          <w:sz w:val="22"/>
          <w:szCs w:val="22"/>
          <w:b w:val="1"/>
          <w:bCs w:val="1"/>
          <w:color w:val="000000"/>
        </w:rPr>
        <w:t>Severability</w:t>
      </w:r>
      <w:r>
        <w:rPr>
          <w:rFonts w:ascii="Times New Roman" w:cs="Times New Roman" w:eastAsia="Times New Roman" w:hAnsi="Times New Roman"/>
          <w:sz w:val="22"/>
          <w:szCs w:val="22"/>
          <w:color w:val="000000"/>
        </w:rPr>
        <w:t>. If any provision of the Plan is held to be invalid, illegal, or unenforceable, whether in whole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or in part, such provision shall be deemed modified to the extent of such invalidity, illegality, or unenforceability and the remaining provisions shall not be affected.</w:t>
      </w:r>
    </w:p>
    <w:p>
      <w:pPr>
        <w:spacing w:after="0" w:line="166"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010000"/>
        </w:rPr>
        <w:t>Section 16.10</w:t>
      </w:r>
      <w:r>
        <w:rPr>
          <w:rFonts w:ascii="Times New Roman" w:cs="Times New Roman" w:eastAsia="Times New Roman" w:hAnsi="Times New Roman"/>
          <w:sz w:val="22"/>
          <w:szCs w:val="22"/>
          <w:b w:val="1"/>
          <w:bCs w:val="1"/>
          <w:color w:val="000000"/>
        </w:rPr>
        <w:t>Headings and Subheadings</w:t>
      </w:r>
      <w:r>
        <w:rPr>
          <w:rFonts w:ascii="Times New Roman" w:cs="Times New Roman" w:eastAsia="Times New Roman" w:hAnsi="Times New Roman"/>
          <w:sz w:val="22"/>
          <w:szCs w:val="22"/>
          <w:color w:val="000000"/>
        </w:rPr>
        <w:t>. Headings and subheadings in the Plan are for convenience only and are not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to be considered in the construction of the provisions 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Willis NA has adopted this plan as of the Effective Date written above.</w:t>
      </w:r>
    </w:p>
    <w:p>
      <w:pPr>
        <w:spacing w:after="0" w:line="20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WILLIS NA, Inc.</w:t>
      </w:r>
    </w:p>
    <w:p>
      <w:pPr>
        <w:spacing w:after="0" w:line="20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 Lynn Bissinger</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Lynn Bissinger, Director of Benefits -- North America</w:t>
      </w:r>
    </w:p>
    <w:p>
      <w:pPr>
        <w:spacing w:after="0" w:line="18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Date: October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9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3" w:name="page154"/>
    <w:bookmarkEnd w:id="153"/>
    <w:p>
      <w:pPr>
        <w:ind w:left="384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Willis Towers Watson Non-Qualified Stable Value Excess Plan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Stable Value Benefit Reduction Factors</w:t>
      </w:r>
    </w:p>
    <w:p>
      <w:pPr>
        <w:spacing w:after="0" w:line="172"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Age</w:t>
            </w:r>
          </w:p>
        </w:tc>
        <w:tc>
          <w:tcPr>
            <w:tcW w:w="46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Reduction Factor</w:t>
            </w:r>
          </w:p>
        </w:tc>
      </w:tr>
      <w:tr>
        <w:trPr>
          <w:trHeight w:val="51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65</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1.00000</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64</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0.95000</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63</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0.90250</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62</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0.85738</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61</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0.81451</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60</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0.77378</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59</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0.73509</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58</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0.69834</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57</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0.66342</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56</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0.63025</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55</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0.59874</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54</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0.56880</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53</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0.54036</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52</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0.51334</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51</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0.48767</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50</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0.46329</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49</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0.44013</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48</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0.41812</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47</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0.39721</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46</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0.37735</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45</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0.35849</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44</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0.34056</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43</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0.32353</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42</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0.30736</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41</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0.29199</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40</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0.27739</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39</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0.26352</w:t>
            </w:r>
          </w:p>
        </w:tc>
      </w:tr>
      <w:tr>
        <w:trPr>
          <w:trHeight w:val="378"/>
        </w:trPr>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38</w:t>
            </w:r>
          </w:p>
        </w:tc>
        <w:tc>
          <w:tcPr>
            <w:tcW w:w="6240" w:type="dxa"/>
            <w:vAlign w:val="bottom"/>
            <w:gridSpan w:val="2"/>
          </w:tcPr>
          <w:p>
            <w:pPr>
              <w:jc w:val="center"/>
              <w:ind w:left="4512"/>
              <w:spacing w:after="0"/>
              <w:rPr>
                <w:sz w:val="20"/>
                <w:szCs w:val="20"/>
                <w:color w:val="auto"/>
              </w:rPr>
            </w:pPr>
            <w:r>
              <w:rPr>
                <w:rFonts w:ascii="Times New Roman" w:cs="Times New Roman" w:eastAsia="Times New Roman" w:hAnsi="Times New Roman"/>
                <w:sz w:val="22"/>
                <w:szCs w:val="22"/>
                <w:color w:val="auto"/>
                <w:w w:val="97"/>
              </w:rPr>
              <w:t>0.25034</w:t>
            </w:r>
          </w:p>
        </w:tc>
      </w:tr>
    </w:tbl>
    <w:p>
      <w:pPr>
        <w:spacing w:after="0" w:line="200" w:lineRule="exact"/>
        <w:rPr>
          <w:sz w:val="20"/>
          <w:szCs w:val="20"/>
          <w:color w:val="auto"/>
        </w:rPr>
      </w:pPr>
    </w:p>
    <w:p>
      <w:pPr>
        <w:sectPr>
          <w:pgSz w:w="11900" w:h="16838" w:orient="portrait"/>
          <w:cols w:equalWidth="0" w:num="1">
            <w:col w:w="9019"/>
          </w:cols>
          <w:pgMar w:left="1440" w:top="1403" w:right="1440"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82"/>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37</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0.23783</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36</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0.22594</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35</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0.21464</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34</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0.20391</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33</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0.19371</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32</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0.18403</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31</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0.17482</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30</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0.16608</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29</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0.15778</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28</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0.14989</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27</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0.14240</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26</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0.13528</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25</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0.12851</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24</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0.12209</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23</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0.11598</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22</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0.11018</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21</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0.10467</w:t>
            </w:r>
          </w:p>
        </w:tc>
      </w:tr>
      <w:tr>
        <w:trPr>
          <w:trHeight w:val="378"/>
        </w:trPr>
        <w:tc>
          <w:tcPr>
            <w:tcW w:w="42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20</w:t>
            </w:r>
          </w:p>
        </w:tc>
        <w:tc>
          <w:tcPr>
            <w:tcW w:w="702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0.09944</w:t>
            </w:r>
          </w:p>
        </w:tc>
      </w:tr>
      <w:tr>
        <w:trPr>
          <w:trHeight w:val="769"/>
        </w:trPr>
        <w:tc>
          <w:tcPr>
            <w:tcW w:w="4220" w:type="dxa"/>
            <w:vAlign w:val="bottom"/>
          </w:tcPr>
          <w:p>
            <w:pPr>
              <w:spacing w:after="0"/>
              <w:rPr>
                <w:sz w:val="24"/>
                <w:szCs w:val="24"/>
                <w:color w:val="auto"/>
              </w:rPr>
            </w:pPr>
          </w:p>
        </w:tc>
        <w:tc>
          <w:tcPr>
            <w:tcW w:w="7020" w:type="dxa"/>
            <w:vAlign w:val="bottom"/>
          </w:tcPr>
          <w:p>
            <w:pPr>
              <w:jc w:val="right"/>
              <w:ind w:right="5392"/>
              <w:spacing w:after="0"/>
              <w:rPr>
                <w:sz w:val="20"/>
                <w:szCs w:val="20"/>
                <w:color w:val="auto"/>
              </w:rPr>
            </w:pPr>
            <w:r>
              <w:rPr>
                <w:rFonts w:ascii="Times New Roman" w:cs="Times New Roman" w:eastAsia="Times New Roman" w:hAnsi="Times New Roman"/>
                <w:sz w:val="22"/>
                <w:szCs w:val="22"/>
                <w:color w:val="auto"/>
              </w:rPr>
              <w:t>18</w:t>
            </w:r>
          </w:p>
        </w:tc>
      </w:tr>
      <w:tr>
        <w:trPr>
          <w:trHeight w:val="750"/>
        </w:trPr>
        <w:tc>
          <w:tcPr>
            <w:tcW w:w="42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9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9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subsidiaries of the Company as of December 31,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Company Name</w:t>
            </w:r>
          </w:p>
        </w:tc>
        <w:tc>
          <w:tcPr>
            <w:tcW w:w="50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Country of Incorporation / Organization</w:t>
            </w:r>
          </w:p>
        </w:tc>
      </w:tr>
      <w:tr>
        <w:trPr>
          <w:trHeight w:val="236"/>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Algerie Services</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Algeria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Asifina S.A.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Argentina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WFD Consultores S.A.</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Argentina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Argentina S.A.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Argentina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S.A.</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Argentina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Corredores de Reaseguros S.A.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Argentina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Aerosure Asia Pacific Pty Ltd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CKA Risk Solutions Pty Ltd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Cortex Global Risk Australia Pty Limited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Cortex Global Risk Pty Limited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Richard Oliver Underwriting Managers Pty Ltd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Capital Advisors Australia Pty Limited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Risk Capital Advisors Pty Limited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Australia Pty Ltd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Superannuation Pty Ltd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Trinity Processing Services (Australia) Pty Ltd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Australia Group Services Pty Ltd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Australia Limited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Employee Benefits Pty Ltd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Australia Holdings Limited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Wycomp Pty Ltd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Austria GmbH</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Austria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Unity Willis Towers Watson Corp.</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Bahamas</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Belgium</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SA/NV</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Belgium</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MERIDIAN INSURANCE COMPANY LIMITED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PPH Limited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RePlace Holding LLC</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(Bermuda) Ltd.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(Bermuda) Limited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Investment Holding (Bermuda) Limited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(Bermuda) Limited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Bermuda Holdings Ltd.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Sertec Servicos Tecnicos de Inspecao, Levantamentos e Avaliacoes Ltda.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Consultoria Ltda.</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Brazil</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WFB Partipacoes Ltda.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Affinity Corretores de Seguros Ltda.</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Brazil</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Corretora de Resseguros Ltda.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Corretores de Seguros Ltda.</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Brazil</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York Vale Corretora e Administradora de Seguros Limitada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(Cambodia) Insurance Broker Plc</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Cambodia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Cameroun SA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Cameroon</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Canada Inc.</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Canada</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Canada Inc.</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Canada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Holding Company of Canada Inc.</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Canada</w:t>
            </w: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WTW Investment Management Canada Limited</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Canada</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(Cayman) Limited</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Chile Limitada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Chile</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S.A.</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Chile</w:t>
            </w:r>
          </w:p>
        </w:tc>
      </w:tr>
      <w:tr>
        <w:trPr>
          <w:trHeight w:val="238"/>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Corredores de Reaseguros Limitada</w:t>
            </w:r>
          </w:p>
        </w:tc>
        <w:tc>
          <w:tcPr>
            <w:tcW w:w="5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Chile</w:t>
            </w:r>
          </w:p>
        </w:tc>
      </w:tr>
      <w:tr>
        <w:trPr>
          <w:trHeight w:val="247"/>
        </w:trPr>
        <w:tc>
          <w:tcPr>
            <w:tcW w:w="6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S.A. Corredores de Seguros</w:t>
            </w:r>
          </w:p>
        </w:tc>
        <w:tc>
          <w:tcPr>
            <w:tcW w:w="50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Chile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9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41"/>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Consulting (Shanghai) Limited</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r>
      <w:tr>
        <w:trPr>
          <w:trHeight w:val="249"/>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Management Consulting (Shenzhen) Co., Ltd.</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China</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(Shanghai) Business Consulting Co., Ltd.</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Insurance Brokers Co. Ltd.</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China</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Colombia Corredores de Reaseguros S.A.</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Colombia</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Colombia Corredores de Seguros S.A.</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Colombia</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Colombia S.A.S.</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Colombia</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Congo SA</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Congo</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Unity Corredores de Seguros S.A.</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Costa Rica</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Cote d’Ivoire SA</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Cote d’Ivoire</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d.o.o.</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Croatia</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JRC Metropolitan Trust Holdings Limited</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Cyprus</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Broking (Czech Republic) s.r.o.</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s.r.o.</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WIA I/S</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Denmark</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A/S</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Denmark</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Consultancy Services I/S</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Denmark</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I/S</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Denmark</w:t>
            </w:r>
          </w:p>
        </w:tc>
      </w:t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WTW ApS</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Denmark</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Egypt SAE</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Egypt</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Re Egypt SAE</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Egypt</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Risk Solutions Egypt SAE</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Egypt</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Corredores de Seguros El Salvador, S.A. de C.V.</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El Salvador</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Oy Ab</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Finland</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Sageris</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France</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Willis/GS France</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France</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France</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France</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SAS</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France</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Underwriting Solutions France</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France</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Tahiti</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French Polynesia</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 Gabon SA</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Gabon</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Assekuranzdienste GmbH</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GmbH</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Holding GmbH</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Investments GmbH</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Versicherungsmakler GmbH</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Versicherungsservice GmbH</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Vorsorge Trust GmbH</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WMN GmbH i.L.</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WTW Pensionsfonds AG</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WTW Treuhand GmbH</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WV Versicherungsmakler GmbH</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Zeitinvest-Service GmbH</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Ghana Ltd</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Ghana</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(Gibraltar) Limited</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Gibraltar</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Greece Insurance Agents Single Member S.A.</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Greece</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Greece Insurance Brokers S.A.</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Greece</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Kendriki Greece Insurance Works S.A.</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Greece</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Promotores Unity - Corredores de Seguros, Sociedad Anonima</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Guatemala</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Lime Street Insurance Guernsey PCC Limited</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Guernsey</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Finance (Guernsey) Limited</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Guernsey</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Guernsey ICC Limited</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Guernsey</w:t>
            </w:r>
          </w:p>
        </w:tc>
      </w:tr>
      <w:tr>
        <w:trPr>
          <w:trHeight w:val="238"/>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(Guernsey) Limited</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Guernsey</w:t>
            </w:r>
          </w:p>
        </w:tc>
      </w:tr>
      <w:tr>
        <w:trPr>
          <w:trHeight w:val="247"/>
        </w:trPr>
        <w:tc>
          <w:tcPr>
            <w:tcW w:w="6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(Guernsey) Limited</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Guernsey</w:t>
            </w:r>
          </w:p>
        </w:tc>
      </w:t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WTW Holdings (Guernsey) 2 Limited</w:t>
            </w:r>
          </w:p>
        </w:tc>
        <w:tc>
          <w:tcPr>
            <w:tcW w:w="5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Guernsey</w:t>
            </w: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WTW Treasury (Guernsey) 2 Limited</w:t>
            </w:r>
          </w:p>
        </w:tc>
        <w:tc>
          <w:tcPr>
            <w:tcW w:w="514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Guernsey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41"/>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WTW Treasury (Guernsey)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Guernsey</w:t>
            </w:r>
          </w:p>
        </w:tc>
      </w:tr>
      <w:tr>
        <w:trPr>
          <w:trHeight w:val="249"/>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WTW Corredores de Seguros Honduras</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Honduras</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Hong Kong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Services Hong Kong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Hong Kong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Management (HK) Pty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Securities (Hong Kong)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(Hungary) Kft.</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Hungary</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Magyarorszag Biztositasi Alkusz es Tanacsado Kft</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Hungary</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Acclaris Business Solutions Private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Ternary Risk Consultancy and Management Private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Consulting Services Private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India Insurance Brokers Private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India Private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Global Delivery and Solutions India Private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PT Towers Watson Indonesia</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PT Willis Reinsurance Brokers Indonesia</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PT Willis Towers Watson Insurance Broker Indonesia</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LifeSight Ireland Trustees DAC</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Management (Ireland)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Trustee Principles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GS Ireland Unlimited Company</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Human Capital &amp; Benefits Ireland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(Ireland)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EP Unlimited Company</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(Ireland)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Insurances (Ireland)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Life and Pensions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(Dublin)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Trade Credit and Surety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WTW Appaloosa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Administration (Isle of Man)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Isle of Man</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(Isle of Man)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Isle of Man</w:t>
            </w: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Israel Insurance Brokers Ltd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Israel</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Italia Srl</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Italy</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Willconsulting Srl</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Italy</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General Agency Srl</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Italy</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Italia S.p.A</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Italy</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Services K.K.</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KK</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Consulting K.K.</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Japan Holdings K.K.</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Japan Services K.K.</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WTW (Jersey)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Jersey</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(Kazakhstan) Insurance Broker LLP</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Kazakhstan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Korea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Korea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Investments Korea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Middle East S.A.L Courtier d’Assurances</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Lebanon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Perrin Luxembourg Holdings S.à.r.l.</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Luxembourg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Luxembourg S.à.r.l.</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Luxembourg</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Luxembourg S.A.</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Luxembourg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(Luxembourg)</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Luxembourg</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(Malaysia) Sdn Bhd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Malaysia</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Risk Management (Malaysia) Sdn. Bhd.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Malaysia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41"/>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(Labuan) Limited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Malaysia</w:t>
            </w:r>
          </w:p>
        </w:tc>
      </w:tr>
      <w:tr>
        <w:trPr>
          <w:trHeight w:val="249"/>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Lime Street Insurance PCC Limited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Malta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(Malta) Limited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Malta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Services (Malta) Limited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Malta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(Mauritius) Ltd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Mauritius</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Carsa Consultores, Agente de Seguros y de Fianzas, S.A. de C.V.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Mexico, Agente de Seguros, S.A. de C.V.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Mexico, Intermediario de Reaseguro, S.A. de C.V.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Mexico, S. de R.L. de C.V.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4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Servicios S. DE R.L. DE C.V.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Agente de Seguros y de Fianzas, S.A. de C.V.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Netherlands B.V.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Pension Services B.V.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B.V.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Europe B.V.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Nederland B.V.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Global Treasury Company B.V.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Nouvelle-Calédonie</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New Caledonia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New Zealand Limited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New Zealand</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Invercasa Correduria De Seguros,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Nicaragua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Nigeria Limited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Nigeria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Forsikringspartner AS</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Norway</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AS</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Norway</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Ducruet Risk Services Inc</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Panama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L.R. Ducruet E Hijos, S.A.</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Panama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Unity Willis Towers Watson Panama Services,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Panama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Cignium Technologies S.A.C.</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Peru</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Corredores de Reaseguros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Peru</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Corredores de Seguros S.A.</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Peru</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Perú Consultores y Comercializadores S.A.C.</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Peru</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Global Business Services, Inc.</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Philippines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Philippines, Inc.</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Philippines</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Insurance and Reinsurance Brokers Philippines, Inc.</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Philippines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Polska Sp. z o.o.</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Poland</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Consulting Sp. z o.o.</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Poland</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Services Sp. z o.o.</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Poland</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(Portugal) Unipessoal, Limitada</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Portugal</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 Corretores de Seguros,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Portugal</w:t>
            </w:r>
          </w:p>
        </w:tc>
      </w:tr>
      <w:tr>
        <w:trPr>
          <w:trHeight w:val="24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NSA Portugal SA</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Portugal</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Puerto Rico Insurance Brokerage Inc.</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Puerto Rico</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Romania Srl</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Romania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Romania-Broker De Asigurare Reasigurare Srl</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Romania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Saudi Arabia LLC</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International Limited Regional Headquarters LLC</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GIE GRAS SAVOYE SERVICES</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Senegal</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Senegal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Senegal</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Senegal SA</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Senegal</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Drustvo za posredovanje u osiguranju WILLIS TOWERS WATSON DOO BEOGRAD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Serbia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Brokers (Singapore) Pte. Ltd.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(Singapore) Pte. Ltd.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Health &amp; Benefits (SG) Pte. Ltd.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(Singapore) Pte. Limited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Actuary Online (Pty) Ltd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4"/>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Risk Advisory Services (Pty) Ltd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Africa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43"/>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Retirement Online (Pty)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Capital Advisors Africa (Pty) Ltd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(Pty) Ltd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South Africa Holdings (Pty)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South Africa (Pty)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Bolgey Holding S.A.</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4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CHANCE UNDERWRITING, S.L.</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de Espana SA</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Affinity Agencia de Seguros Vinculada, S.L.</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Consulting S.L.</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Iberia Correduria de Seguros y Reaseguros SAU</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Services, S.L.</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AB</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Holding AB</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(Stockholm) AB</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Sweden AB</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Asmarin Verwaltungs AG</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AG</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AG</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(Switzerland) GmbH</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Taiwan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Taiwan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(Thailand)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Thailand</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Danismanlik Limited Sirketi</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Turkey</w:t>
            </w:r>
          </w:p>
        </w:tc>
      </w:tr>
      <w:tr>
        <w:trPr>
          <w:trHeight w:val="23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Sigorta ve Reasürans Brokerliği Anonim Şirketi</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Turkey</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Uganda Insurance Brokers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Uganda</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 Ukraine, Limited Liability Company</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Ukraine</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Insurance Brokers LLC</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Ukraine</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Middle East FZ-LLC</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Acappella Transactional Real Estate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Acclimatise Group Ltd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Corporate Medical Management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EMB Management Holdings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Faber Global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Friars Street Trustees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G360 UND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PMI HEALTH GROUP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PMIHG HOLDINGS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Medicine Intermediaries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Sovereign Marine &amp; General Insurance Company Limited (In Scheme of Arrangement)</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Contingency Risks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TA I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Wyatt Company (UK)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The Wyatt Company Holdings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Perrin (UK) Trustee Company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Perrin Europe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Perrin UK Holdings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Global 2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Global 3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Global Holdings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Global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Management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Pension Scheme Trustees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Software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UK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41"/>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Trinity Acquisition Plc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9"/>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Trinity Processing Services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TXW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(UK) Acquisitions 1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(UK) Acquisitions 2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European Investment Holdings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European Region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Holdings (Europe)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Holdings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Insurance &amp; Financial Services Consulting Holdings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International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Corporate Director Services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Corroon (FR)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Corroon Financial Planning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Corroon Licensing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Corroon Nominees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Employee Benefits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Faber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Faber Underwriting Agencies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Faber Underwriting Services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Group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Group Medical Trust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Group Services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GS UK HOLDINGS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GS UK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International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Japan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Overseas Investments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Pension Trustees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PMI Group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Structured Financial Solutions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Assessment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FRANCE HOLDINGS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UK HOLDINGS 2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UK HOLOCENE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 Tranzfer Insurance Solutions LLC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Acclaris Holdings, Inc.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Acclaris, Inc.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Acclimatise North America Inc.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New York</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Anhelo Insurance Solutions LLC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DirectHealth.com LLC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Encore Insurance PCC,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Extend Health, LLC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Extend Insurance Services LLC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Liazon Benefits, Inc.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Liazon Corporation</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MG LLC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Omni Direct, Inc.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Florida</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Premium Funding Associates, Inc.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Connecticut</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Consultants Insurance Company, Inc.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Q3M Insurance Solutions, LLC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Quantum 3 Media, LLC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RSDIG Risk Purchasing Group, LLC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Tennessee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41"/>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Safe Rock Insurance Company</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49"/>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Contingency Risks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Perrin Capital Corp.</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Delaware Holdings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Investment Services,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Latin America Holdings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Middle East Holdings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Retiree Insurance Services,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TPF&amp;C International,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Pennsylvania</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Tranzact Holdings Delaware,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Tranzact Holdings,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Tranzmobile,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Tranzsubco I Corp.</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Tranzsubco II Corp.</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Tranzutary DirectHealth Holdings,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Tranzutary Holdings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Tranzutary Insurance Solutions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Tru Broker,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Ohio</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TruBridge,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Ohio</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Alpha Insurance Solutions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Cancins,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Guatemala Holdings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Holdings,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Insurance Solutions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Midco,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Purchaser,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Purchaser II,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Verita CSG,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New Hampshire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VTH Solutions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European Investment Holdings 1,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European Investment Holdings,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International,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Nevada</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Administrative Services Corporation</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Tennessee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Americas Administration,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Tennessee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HRH,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Virginia</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NA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North America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North American Holding Company</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of Michigan,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Michigan</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of New Jersey,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New Jersey</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Personal Lines,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Processing Services,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New York</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Programs of Connecticut,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Connecticut</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Services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Analytical Insurance Services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CAC,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Florida</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Services West,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California</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(Vermont), Ltd.</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Midwest,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Ohio</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Northeast,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New York</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Risk Purchasing Group,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Securities,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Southeast,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Tennessee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US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US Holding Company,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Delaware Holdings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41"/>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WTW Philippines Holdings LLC</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WTW Service Center Holdings LLC</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Uruguay S.A.</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Uruguay</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Administradora de Riesgos Parsalud, S.A.</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 Prima Asesoria Tecnica</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Rontarca Willis, C.A. Sociedad de corretaje de seguros</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Corretaje de Reaseguros S.A.</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C.A.</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Vietnam Insurance Broker</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Vietnam</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Unity Group Holdings, Corp.</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Virgin Islands, British</w:t>
            </w:r>
          </w:p>
        </w:tc>
      </w:tr>
      <w:tr>
        <w:trPr>
          <w:trHeight w:val="1409"/>
        </w:trPr>
        <w:tc>
          <w:tcPr>
            <w:tcW w:w="560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333-263086 on Form S-3 and in Registration Statement Nos. 333-265478, 333-211967, 333-208876, 333-197706, 333-62780, 333-63186, 333-130605, 333-153202, 333-153770, 333-169961 and 333-181150 on Forms S-8 of our reports dated February 22, 2024, relating to the financial statements of Willis Towers Watson Public Limited Company and the effectiveness of Willis Towers Watson Public Limited Company's internal control over financial reporting appearing in this Annual Report on Form 10-K for the year ended December 31, 2023.</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251" w:lineRule="exact"/>
        <w:rPr>
          <w:sz w:val="20"/>
          <w:szCs w:val="20"/>
          <w:color w:val="auto"/>
        </w:rPr>
      </w:pPr>
    </w:p>
    <w:p>
      <w:pPr>
        <w:ind w:left="440" w:hanging="432"/>
        <w:spacing w:after="0"/>
        <w:tabs>
          <w:tab w:leader="none" w:pos="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Willis Towers Watson Public Limited Company;</w:t>
      </w:r>
    </w:p>
    <w:p>
      <w:pPr>
        <w:spacing w:after="0" w:line="251" w:lineRule="exact"/>
        <w:rPr>
          <w:rFonts w:ascii="Times New Roman" w:cs="Times New Roman" w:eastAsia="Times New Roman" w:hAnsi="Times New Roman"/>
          <w:sz w:val="18"/>
          <w:szCs w:val="18"/>
          <w:color w:val="auto"/>
        </w:rPr>
      </w:pPr>
    </w:p>
    <w:p>
      <w:pPr>
        <w:ind w:left="380" w:right="340" w:hanging="372"/>
        <w:spacing w:after="0" w:line="265" w:lineRule="auto"/>
        <w:tabs>
          <w:tab w:leader="none" w:pos="43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right="320" w:hanging="372"/>
        <w:spacing w:after="0" w:line="281" w:lineRule="auto"/>
        <w:tabs>
          <w:tab w:leader="none" w:pos="43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43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right="240" w:hanging="372"/>
        <w:spacing w:after="0" w:line="281" w:lineRule="auto"/>
        <w:tabs>
          <w:tab w:leader="none" w:pos="43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65" w:lineRule="exact"/>
        <w:rPr>
          <w:sz w:val="20"/>
          <w:szCs w:val="20"/>
          <w:color w:val="auto"/>
        </w:rPr>
      </w:pPr>
    </w:p>
    <w:p>
      <w:pPr>
        <w:ind w:left="568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14">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Carl A. Hess</w:t>
      </w:r>
    </w:p>
    <w:p>
      <w:pPr>
        <w:spacing w:after="0" w:line="3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251" w:lineRule="exact"/>
        <w:rPr>
          <w:sz w:val="20"/>
          <w:szCs w:val="20"/>
          <w:color w:val="auto"/>
        </w:rPr>
      </w:pPr>
    </w:p>
    <w:p>
      <w:pPr>
        <w:ind w:left="440" w:hanging="432"/>
        <w:spacing w:after="0"/>
        <w:tabs>
          <w:tab w:leader="none" w:pos="4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Willis Towers Watson Public Limited Company;</w:t>
      </w:r>
    </w:p>
    <w:p>
      <w:pPr>
        <w:spacing w:after="0" w:line="251" w:lineRule="exact"/>
        <w:rPr>
          <w:rFonts w:ascii="Times New Roman" w:cs="Times New Roman" w:eastAsia="Times New Roman" w:hAnsi="Times New Roman"/>
          <w:sz w:val="18"/>
          <w:szCs w:val="18"/>
          <w:color w:val="auto"/>
        </w:rPr>
      </w:pPr>
    </w:p>
    <w:p>
      <w:pPr>
        <w:ind w:left="380" w:right="340" w:hanging="372"/>
        <w:spacing w:after="0" w:line="265" w:lineRule="auto"/>
        <w:tabs>
          <w:tab w:leader="none" w:pos="4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right="320" w:hanging="372"/>
        <w:spacing w:after="0" w:line="281" w:lineRule="auto"/>
        <w:tabs>
          <w:tab w:leader="none" w:pos="4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4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right="240" w:hanging="372"/>
        <w:spacing w:after="0" w:line="281" w:lineRule="auto"/>
        <w:tabs>
          <w:tab w:leader="none" w:pos="4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171" w:lineRule="exact"/>
        <w:rPr>
          <w:sz w:val="20"/>
          <w:szCs w:val="20"/>
          <w:color w:val="auto"/>
        </w:rPr>
      </w:pPr>
    </w:p>
    <w:p>
      <w:pPr>
        <w:ind w:left="56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26035</wp:posOffset>
            </wp:positionV>
            <wp:extent cx="307403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16">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2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Carl A. Hess, Chief Executive Officer of Willis Towers Watson Public Limited Company (the ‘Company’) hereby certifies that, to the best of his knowledge:</w:t>
      </w:r>
    </w:p>
    <w:p>
      <w:pPr>
        <w:spacing w:after="0" w:line="245" w:lineRule="exact"/>
        <w:rPr>
          <w:sz w:val="20"/>
          <w:szCs w:val="20"/>
          <w:color w:val="auto"/>
        </w:rPr>
      </w:pPr>
    </w:p>
    <w:p>
      <w:pPr>
        <w:ind w:left="820" w:hanging="425"/>
        <w:spacing w:after="0"/>
        <w:tabs>
          <w:tab w:leader="none" w:pos="8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3" w:lineRule="exact"/>
        <w:rPr>
          <w:rFonts w:ascii="Times New Roman" w:cs="Times New Roman" w:eastAsia="Times New Roman" w:hAnsi="Times New Roman"/>
          <w:sz w:val="18"/>
          <w:szCs w:val="18"/>
          <w:color w:val="auto"/>
        </w:rPr>
      </w:pPr>
    </w:p>
    <w:p>
      <w:pPr>
        <w:ind w:left="760" w:right="760" w:hanging="365"/>
        <w:spacing w:after="0" w:line="281" w:lineRule="auto"/>
        <w:tabs>
          <w:tab w:leader="none" w:pos="83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65" w:lineRule="exact"/>
        <w:rPr>
          <w:sz w:val="20"/>
          <w:szCs w:val="20"/>
          <w:color w:val="auto"/>
        </w:rPr>
      </w:pPr>
    </w:p>
    <w:p>
      <w:pPr>
        <w:ind w:left="568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18">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Carl A. Hess</w:t>
      </w:r>
    </w:p>
    <w:p>
      <w:pPr>
        <w:spacing w:after="0" w:line="3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6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Willis Towers Watson plc and will be retained by Willis Towers Watson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Andrew J. Krasner, Chief Financial Officer of Willis Towers Watson Public Limited Company (the ‘Company’) hereby certifies that, to the best of his knowledge:</w:t>
      </w:r>
    </w:p>
    <w:p>
      <w:pPr>
        <w:spacing w:after="0" w:line="96" w:lineRule="exact"/>
        <w:rPr>
          <w:sz w:val="20"/>
          <w:szCs w:val="20"/>
          <w:color w:val="auto"/>
        </w:rPr>
      </w:pPr>
    </w:p>
    <w:p>
      <w:pPr>
        <w:ind w:left="820" w:hanging="425"/>
        <w:spacing w:after="0"/>
        <w:tabs>
          <w:tab w:leader="none" w:pos="8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3" w:lineRule="exact"/>
        <w:rPr>
          <w:rFonts w:ascii="Times New Roman" w:cs="Times New Roman" w:eastAsia="Times New Roman" w:hAnsi="Times New Roman"/>
          <w:sz w:val="18"/>
          <w:szCs w:val="18"/>
          <w:color w:val="auto"/>
        </w:rPr>
      </w:pPr>
    </w:p>
    <w:p>
      <w:pPr>
        <w:ind w:left="760" w:right="760" w:hanging="365"/>
        <w:spacing w:after="0" w:line="281" w:lineRule="auto"/>
        <w:tabs>
          <w:tab w:leader="none" w:pos="83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65" w:lineRule="exact"/>
        <w:rPr>
          <w:sz w:val="20"/>
          <w:szCs w:val="20"/>
          <w:color w:val="auto"/>
        </w:rPr>
      </w:pPr>
    </w:p>
    <w:p>
      <w:pPr>
        <w:ind w:left="568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20">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6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Willis Towers Watson plc and will be retained by Willis Towers Watson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8" w:name="page169"/>
    <w:bookmarkEnd w:id="168"/>
    <w:p>
      <w:pPr>
        <w:ind w:left="836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3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WILLIS TOWERS WATSON PUBLIC LIMITED COMPANY</w:t>
      </w:r>
    </w:p>
    <w:p>
      <w:pPr>
        <w:spacing w:after="0" w:line="2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Compensation Recoupment Policy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November 28, 2023</w:t>
      </w:r>
    </w:p>
    <w:p>
      <w:pPr>
        <w:spacing w:after="0" w:line="232" w:lineRule="exact"/>
        <w:rPr>
          <w:sz w:val="20"/>
          <w:szCs w:val="20"/>
          <w:color w:val="auto"/>
        </w:rPr>
      </w:pPr>
    </w:p>
    <w:p>
      <w:pPr>
        <w:ind w:left="380" w:right="20" w:hanging="378"/>
        <w:spacing w:after="0" w:line="234" w:lineRule="auto"/>
        <w:tabs>
          <w:tab w:leader="none" w:pos="380" w:val="left"/>
        </w:tabs>
        <w:numPr>
          <w:ilvl w:val="0"/>
          <w:numId w:val="1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Introduction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Willis Towers Watson Public Limited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t>
      </w:r>
      <w:r>
        <w:rPr>
          <w:rFonts w:ascii="Times New Roman" w:cs="Times New Roman" w:eastAsia="Times New Roman" w:hAnsi="Times New Roman"/>
          <w:sz w:val="22"/>
          <w:szCs w:val="22"/>
          <w:u w:val="single" w:color="auto"/>
          <w:color w:val="auto"/>
        </w:rPr>
        <w:t>WTW</w:t>
      </w:r>
      <w:r>
        <w:rPr>
          <w:rFonts w:ascii="Times New Roman" w:cs="Times New Roman" w:eastAsia="Times New Roman" w:hAnsi="Times New Roman"/>
          <w:sz w:val="22"/>
          <w:szCs w:val="22"/>
          <w:color w:val="auto"/>
        </w:rPr>
        <w:t>”) has adopted, effective as of November 28,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 compensation recoupment policy which requires the recovery of certain executive compensation in the event that the Company is required to prepare an Accounting Restatement (as defined in Section 5 below) and also provides the Board with the discretionary authority to recoup compensation in other circumstances (this “</w:t>
      </w:r>
      <w:r>
        <w:rPr>
          <w:rFonts w:ascii="Times New Roman" w:cs="Times New Roman" w:eastAsia="Times New Roman" w:hAnsi="Times New Roman"/>
          <w:sz w:val="22"/>
          <w:szCs w:val="22"/>
          <w:u w:val="single" w:color="auto"/>
          <w:color w:val="auto"/>
        </w:rPr>
        <w:t>Recoupment Policy</w:t>
      </w:r>
      <w:r>
        <w:rPr>
          <w:rFonts w:ascii="Times New Roman" w:cs="Times New Roman" w:eastAsia="Times New Roman" w:hAnsi="Times New Roman"/>
          <w:sz w:val="22"/>
          <w:szCs w:val="22"/>
          <w:color w:val="auto"/>
        </w:rPr>
        <w:t>”). This Recoupment Policy, which is intended to, upon the Effective Date, replace and supersede in its entirety the Compensation Recoupment Policy that became effective November 15, 2017, is designed to comply with Section 10D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Rule 10D-1 thereunder, and Listing Rule 5608 (“</w:t>
      </w:r>
      <w:r>
        <w:rPr>
          <w:rFonts w:ascii="Times New Roman" w:cs="Times New Roman" w:eastAsia="Times New Roman" w:hAnsi="Times New Roman"/>
          <w:sz w:val="22"/>
          <w:szCs w:val="22"/>
          <w:u w:val="single" w:color="auto"/>
          <w:color w:val="auto"/>
        </w:rPr>
        <w:t>Rule 5608</w:t>
      </w:r>
      <w:r>
        <w:rPr>
          <w:rFonts w:ascii="Times New Roman" w:cs="Times New Roman" w:eastAsia="Times New Roman" w:hAnsi="Times New Roman"/>
          <w:sz w:val="22"/>
          <w:szCs w:val="22"/>
          <w:color w:val="auto"/>
        </w:rPr>
        <w:t>”) of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and will be interpreted and applied accordingly. Capitalized terms used in this Recoupment Policy are defined as provided herein.</w:t>
      </w:r>
    </w:p>
    <w:p>
      <w:pPr>
        <w:spacing w:after="0" w:line="176" w:lineRule="exact"/>
        <w:rPr>
          <w:rFonts w:ascii="Times New Roman" w:cs="Times New Roman" w:eastAsia="Times New Roman" w:hAnsi="Times New Roman"/>
          <w:sz w:val="22"/>
          <w:szCs w:val="22"/>
          <w:u w:val="single" w:color="auto"/>
          <w:color w:val="auto"/>
        </w:rPr>
      </w:pPr>
    </w:p>
    <w:p>
      <w:pPr>
        <w:ind w:left="380" w:hanging="378"/>
        <w:spacing w:after="0" w:line="238" w:lineRule="auto"/>
        <w:tabs>
          <w:tab w:leader="none" w:pos="380" w:val="left"/>
        </w:tabs>
        <w:numPr>
          <w:ilvl w:val="0"/>
          <w:numId w:val="1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 The Recoupment Policy shall be administered by the Human Capital and Compensation Committee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(the “</w:t>
      </w:r>
      <w:r>
        <w:rPr>
          <w:rFonts w:ascii="Times New Roman" w:cs="Times New Roman" w:eastAsia="Times New Roman" w:hAnsi="Times New Roman"/>
          <w:sz w:val="22"/>
          <w:szCs w:val="22"/>
          <w:u w:val="single" w:color="auto"/>
          <w:color w:val="auto"/>
        </w:rPr>
        <w:t>HCC Committee</w:t>
      </w:r>
      <w:r>
        <w:rPr>
          <w:rFonts w:ascii="Times New Roman" w:cs="Times New Roman" w:eastAsia="Times New Roman" w:hAnsi="Times New Roman"/>
          <w:sz w:val="22"/>
          <w:szCs w:val="22"/>
          <w:color w:val="auto"/>
        </w:rPr>
        <w:t>”). The HCC Committee has the sole discretion to interpret the terms of the Recoupment Policy and make determinations under it, and any action taken by the HCC Committee pursuant to the Recoupment Policy shall be within the absolute discretion of the HCC Committee. Any interpretations or determinations made by the HCC Committee shall be final and binding on all affected individuals.</w:t>
      </w:r>
    </w:p>
    <w:p>
      <w:pPr>
        <w:spacing w:after="0" w:line="174" w:lineRule="exact"/>
        <w:rPr>
          <w:rFonts w:ascii="Times New Roman" w:cs="Times New Roman" w:eastAsia="Times New Roman" w:hAnsi="Times New Roman"/>
          <w:sz w:val="22"/>
          <w:szCs w:val="22"/>
          <w:u w:val="single" w:color="auto"/>
          <w:color w:val="auto"/>
        </w:rPr>
      </w:pPr>
    </w:p>
    <w:p>
      <w:pPr>
        <w:ind w:left="380" w:right="60" w:hanging="378"/>
        <w:spacing w:after="0"/>
        <w:tabs>
          <w:tab w:leader="none" w:pos="380" w:val="left"/>
        </w:tabs>
        <w:numPr>
          <w:ilvl w:val="0"/>
          <w:numId w:val="1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Covered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who is or was an executive officer, as determined pursuant to Rule 16a-1(f) promulgated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Exchange Act, of the Company, and including executive officers identified under Item 401(b) of Regulation S-K of the Securities Act of 1933, as amended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shall be subject to this Recoupment Policy (the Company’s current and former Executive Officers, collectively, the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w:t>
      </w:r>
    </w:p>
    <w:p>
      <w:pPr>
        <w:spacing w:after="0" w:line="174" w:lineRule="exact"/>
        <w:rPr>
          <w:rFonts w:ascii="Times New Roman" w:cs="Times New Roman" w:eastAsia="Times New Roman" w:hAnsi="Times New Roman"/>
          <w:sz w:val="22"/>
          <w:szCs w:val="22"/>
          <w:u w:val="single" w:color="auto"/>
          <w:color w:val="auto"/>
        </w:rPr>
      </w:pPr>
    </w:p>
    <w:p>
      <w:pPr>
        <w:ind w:left="380" w:hanging="378"/>
        <w:spacing w:after="0"/>
        <w:tabs>
          <w:tab w:leader="none" w:pos="380" w:val="left"/>
        </w:tabs>
        <w:numPr>
          <w:ilvl w:val="0"/>
          <w:numId w:val="1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Covered Incentive Compensation</w:t>
      </w:r>
      <w:r>
        <w:rPr>
          <w:rFonts w:ascii="Times New Roman" w:cs="Times New Roman" w:eastAsia="Times New Roman" w:hAnsi="Times New Roman"/>
          <w:sz w:val="22"/>
          <w:szCs w:val="22"/>
          <w:color w:val="auto"/>
        </w:rPr>
        <w:t>.</w:t>
      </w:r>
    </w:p>
    <w:p>
      <w:pPr>
        <w:spacing w:after="0" w:line="222" w:lineRule="exact"/>
        <w:rPr>
          <w:rFonts w:ascii="Times New Roman" w:cs="Times New Roman" w:eastAsia="Times New Roman" w:hAnsi="Times New Roman"/>
          <w:sz w:val="22"/>
          <w:szCs w:val="22"/>
          <w:u w:val="single" w:color="auto"/>
          <w:color w:val="auto"/>
        </w:rPr>
      </w:pPr>
    </w:p>
    <w:p>
      <w:pPr>
        <w:ind w:left="380"/>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Covered Incentive Compensation</w:t>
      </w:r>
      <w:r>
        <w:rPr>
          <w:rFonts w:ascii="Times New Roman" w:cs="Times New Roman" w:eastAsia="Times New Roman" w:hAnsi="Times New Roman"/>
          <w:sz w:val="22"/>
          <w:szCs w:val="22"/>
          <w:color w:val="auto"/>
        </w:rPr>
        <w:t>” means,</w:t>
      </w:r>
    </w:p>
    <w:p>
      <w:pPr>
        <w:spacing w:after="0" w:line="232" w:lineRule="exact"/>
        <w:rPr>
          <w:rFonts w:ascii="Times New Roman" w:cs="Times New Roman" w:eastAsia="Times New Roman" w:hAnsi="Times New Roman"/>
          <w:sz w:val="22"/>
          <w:szCs w:val="22"/>
          <w:u w:val="single" w:color="auto"/>
          <w:color w:val="auto"/>
        </w:rPr>
      </w:pPr>
    </w:p>
    <w:p>
      <w:pPr>
        <w:ind w:left="1120" w:right="120" w:hanging="174"/>
        <w:spacing w:after="0" w:line="237" w:lineRule="auto"/>
        <w:tabs>
          <w:tab w:leader="none" w:pos="112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recoupment provisions of Section 5 due to an Accounting Restatement, any Incentive Compensation that is Received on or after October 2, 2023 by a Covered Person (A) after beginning service as an Executive Officer, (B) who served as an Executive Officer at any time during the performance period for the Incentive Compensation, (C) while the Company has a class of securities listed on a national securities exchange or a national securities association, and (D) during the Recovery Period.</w:t>
      </w:r>
    </w:p>
    <w:p>
      <w:pPr>
        <w:spacing w:after="0" w:line="194" w:lineRule="exact"/>
        <w:rPr>
          <w:sz w:val="20"/>
          <w:szCs w:val="20"/>
          <w:color w:val="auto"/>
        </w:rPr>
      </w:pPr>
    </w:p>
    <w:p>
      <w:pPr>
        <w:ind w:left="1120" w:right="220" w:hanging="179"/>
        <w:spacing w:after="0" w:line="244" w:lineRule="auto"/>
        <w:rPr>
          <w:sz w:val="20"/>
          <w:szCs w:val="20"/>
          <w:color w:val="auto"/>
        </w:rPr>
      </w:pPr>
      <w:r>
        <w:rPr>
          <w:rFonts w:ascii="Times New Roman" w:cs="Times New Roman" w:eastAsia="Times New Roman" w:hAnsi="Times New Roman"/>
          <w:sz w:val="22"/>
          <w:szCs w:val="22"/>
          <w:color w:val="auto"/>
        </w:rPr>
        <w:t>ii.for purposes of the recoupment provisions of Section 6 due to Detrimental Conduct, any Incentive Compensation received by a Covered Person who served as an Executive Officer at the time of the occurrence of the Detrimental Conduct (as defined in Section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601980</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95" w:right="339" w:bottom="1440" w:gutter="0" w:footer="0" w:header="0"/>
        </w:sectPr>
      </w:pPr>
    </w:p>
    <w:bookmarkStart w:id="169" w:name="page170"/>
    <w:bookmarkEnd w:id="169"/>
    <w:p>
      <w:pPr>
        <w:ind w:left="758" w:hanging="383"/>
        <w:spacing w:after="0"/>
        <w:tabs>
          <w:tab w:leader="none" w:pos="75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means,</w:t>
      </w:r>
    </w:p>
    <w:p>
      <w:pPr>
        <w:spacing w:after="0" w:line="218" w:lineRule="exact"/>
        <w:rPr>
          <w:rFonts w:ascii="Times New Roman" w:cs="Times New Roman" w:eastAsia="Times New Roman" w:hAnsi="Times New Roman"/>
          <w:sz w:val="22"/>
          <w:szCs w:val="22"/>
          <w:color w:val="auto"/>
        </w:rPr>
      </w:pPr>
    </w:p>
    <w:p>
      <w:pPr>
        <w:ind w:left="1118" w:right="100" w:hanging="174"/>
        <w:spacing w:after="0" w:line="237" w:lineRule="auto"/>
        <w:tabs>
          <w:tab w:leader="none" w:pos="111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recoupment provisions of Section 5 due to an Accounting Restatement, any compensation that is granted, earned, or vested based wholly or in part upon the attainment of a Financial Reporting Measure, including, in the interest of clarity, any such compensation that is deferred or otherwise contributed to a retirement plan or non-qualified deferred compensation plan sponsored by the Company or any of its affiliates, subject to Section 11(c) below.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18" w:hanging="179"/>
        <w:spacing w:after="0" w:line="237" w:lineRule="auto"/>
        <w:rPr>
          <w:sz w:val="20"/>
          <w:szCs w:val="20"/>
          <w:color w:val="auto"/>
        </w:rPr>
      </w:pPr>
      <w:r>
        <w:rPr>
          <w:rFonts w:ascii="Times New Roman" w:cs="Times New Roman" w:eastAsia="Times New Roman" w:hAnsi="Times New Roman"/>
          <w:sz w:val="22"/>
          <w:szCs w:val="22"/>
          <w:color w:val="auto"/>
        </w:rPr>
        <w:t>ii.for purposes of the recoupment provisions of Section 6 due to Detrimental Conduct, any incentive compensation (including compensation awarded, earned, paid or payable to a Covered Person), including without limitation, any bonus, short-term incentive award or amount, long-term incentive award or amount, including any equity-based awards, including those awards that vest solely based on continued service, such as time-based restricted share units and options.</w:t>
      </w:r>
    </w:p>
    <w:p>
      <w:pPr>
        <w:spacing w:after="0" w:line="180" w:lineRule="exact"/>
        <w:rPr>
          <w:sz w:val="20"/>
          <w:szCs w:val="20"/>
          <w:color w:val="auto"/>
        </w:rPr>
      </w:pPr>
    </w:p>
    <w:p>
      <w:pPr>
        <w:ind w:left="758" w:right="120" w:hanging="383"/>
        <w:spacing w:after="0" w:line="237" w:lineRule="auto"/>
        <w:tabs>
          <w:tab w:leader="none" w:pos="758"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means (i) any measure that is determined and presented in accordance with the accounting principles used in preparing the Company’s financial statements and any measure that is derived wholly or in part from any such measure, and (ii) the Company’s share price and the total shareholder return of the Company. A measure, however, need not be presented within the financial statements or included in a filing with the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to constitute a Financial Reporting Measure.</w:t>
      </w:r>
    </w:p>
    <w:p>
      <w:pPr>
        <w:spacing w:after="0" w:line="207" w:lineRule="exact"/>
        <w:rPr>
          <w:rFonts w:ascii="Times New Roman" w:cs="Times New Roman" w:eastAsia="Times New Roman" w:hAnsi="Times New Roman"/>
          <w:sz w:val="22"/>
          <w:szCs w:val="22"/>
          <w:color w:val="auto"/>
        </w:rPr>
      </w:pPr>
    </w:p>
    <w:p>
      <w:pPr>
        <w:ind w:left="758" w:right="20" w:hanging="383"/>
        <w:spacing w:after="0" w:line="258" w:lineRule="auto"/>
        <w:tabs>
          <w:tab w:leader="none" w:pos="758"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Compensation is deemed “</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in the Company’s fiscal period during which the Financial Reporting Measure specified in such Incentive Compensation is attained.</w:t>
      </w:r>
    </w:p>
    <w:p>
      <w:pPr>
        <w:spacing w:after="0" w:line="170" w:lineRule="exact"/>
        <w:rPr>
          <w:rFonts w:ascii="Times New Roman" w:cs="Times New Roman" w:eastAsia="Times New Roman" w:hAnsi="Times New Roman"/>
          <w:sz w:val="22"/>
          <w:szCs w:val="22"/>
          <w:color w:val="auto"/>
        </w:rPr>
      </w:pPr>
    </w:p>
    <w:p>
      <w:pPr>
        <w:ind w:left="758" w:right="60" w:hanging="383"/>
        <w:spacing w:after="0" w:line="258" w:lineRule="auto"/>
        <w:tabs>
          <w:tab w:leader="none" w:pos="758"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Recovery Period</w:t>
      </w:r>
      <w:r>
        <w:rPr>
          <w:rFonts w:ascii="Times New Roman" w:cs="Times New Roman" w:eastAsia="Times New Roman" w:hAnsi="Times New Roman"/>
          <w:sz w:val="22"/>
          <w:szCs w:val="22"/>
          <w:color w:val="auto"/>
        </w:rPr>
        <w:t>” means the three (3) completed fiscal years immediately preceding the Restatement Date (or such longer period as required under Rule 5608 in the event the Company changes its fiscal year).</w:t>
      </w:r>
    </w:p>
    <w:p>
      <w:pPr>
        <w:spacing w:after="0" w:line="170" w:lineRule="exact"/>
        <w:rPr>
          <w:rFonts w:ascii="Times New Roman" w:cs="Times New Roman" w:eastAsia="Times New Roman" w:hAnsi="Times New Roman"/>
          <w:sz w:val="22"/>
          <w:szCs w:val="22"/>
          <w:color w:val="auto"/>
        </w:rPr>
      </w:pPr>
    </w:p>
    <w:p>
      <w:pPr>
        <w:ind w:left="758" w:right="80" w:hanging="383"/>
        <w:spacing w:after="0" w:line="237" w:lineRule="auto"/>
        <w:tabs>
          <w:tab w:leader="none" w:pos="758"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the earlier to occur of (i) the date the Audit Committee of the Board (or other committee of the Board vested with the requisite authority to make the determination contemplated under this Section 4(f)) or the Board concludes, or reasonably should have concluded, that the Company is required to prepare an Accounting Restatement, or (ii) the date a court, regulator or other legally authorized body directs the Company to prepare an Accounting Restatement.</w:t>
      </w:r>
    </w:p>
    <w:p>
      <w:pPr>
        <w:spacing w:after="0" w:line="176" w:lineRule="exact"/>
        <w:rPr>
          <w:rFonts w:ascii="Times New Roman" w:cs="Times New Roman" w:eastAsia="Times New Roman" w:hAnsi="Times New Roman"/>
          <w:sz w:val="22"/>
          <w:szCs w:val="22"/>
          <w:color w:val="auto"/>
        </w:rPr>
      </w:pPr>
    </w:p>
    <w:p>
      <w:pPr>
        <w:ind w:left="378" w:hanging="378"/>
        <w:spacing w:after="0" w:line="234" w:lineRule="auto"/>
        <w:tabs>
          <w:tab w:leader="none" w:pos="378" w:val="left"/>
        </w:tabs>
        <w:numPr>
          <w:ilvl w:val="0"/>
          <w:numId w:val="10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Recoupment due to Financial Restatement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the Company is required to prepare an accounting restatement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due to material noncompliance with any financial reporting requirement under the securities laws, including any required accounting restatement to correct any error in previously issued financial statements that is material to the previously issued financial statements, or that corrects errors that are not material to previously issued financial statements, but would result in a material misstatement if the error were corrected in the current period or left uncorrected in the current period (an “</w:t>
      </w:r>
      <w:r>
        <w:rPr>
          <w:rFonts w:ascii="Times New Roman" w:cs="Times New Roman" w:eastAsia="Times New Roman" w:hAnsi="Times New Roman"/>
          <w:sz w:val="22"/>
          <w:szCs w:val="22"/>
          <w:u w:val="single" w:color="auto"/>
          <w:color w:val="auto"/>
        </w:rPr>
        <w:t>Accounting Restatement</w:t>
      </w:r>
      <w:r>
        <w:rPr>
          <w:rFonts w:ascii="Times New Roman" w:cs="Times New Roman" w:eastAsia="Times New Roman" w:hAnsi="Times New Roman"/>
          <w:sz w:val="22"/>
          <w:szCs w:val="22"/>
          <w:color w:val="auto"/>
        </w:rPr>
        <w:t>”), the HCC Committee shall reasonably promptly recover the Erroneously Awarded Compensation (as defined in Section 7 below), subject to Section 11 below. Recoupment of Erroneously Awarded Compensation pursuant to this Recoupment Policy shall be made on a “no fault” basis, without regard to whether any Detrimental Conduct or other misconduct occurred or whether any Covered Person has responsibility for the noncompliance that resulted in the Accounting Restatement.</w:t>
      </w:r>
    </w:p>
    <w:p>
      <w:pPr>
        <w:spacing w:after="0" w:line="176" w:lineRule="exact"/>
        <w:rPr>
          <w:rFonts w:ascii="Times New Roman" w:cs="Times New Roman" w:eastAsia="Times New Roman" w:hAnsi="Times New Roman"/>
          <w:sz w:val="22"/>
          <w:szCs w:val="22"/>
          <w:u w:val="single" w:color="auto"/>
          <w:color w:val="auto"/>
        </w:rPr>
      </w:pPr>
    </w:p>
    <w:p>
      <w:pPr>
        <w:ind w:left="378" w:right="40" w:hanging="378"/>
        <w:spacing w:after="0"/>
        <w:tabs>
          <w:tab w:leader="none" w:pos="378" w:val="left"/>
        </w:tabs>
        <w:numPr>
          <w:ilvl w:val="0"/>
          <w:numId w:val="10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Recoupment due to Detrimental Conduct</w:t>
      </w:r>
      <w:r>
        <w:rPr>
          <w:rFonts w:ascii="Times New Roman" w:cs="Times New Roman" w:eastAsia="Times New Roman" w:hAnsi="Times New Roman"/>
          <w:sz w:val="22"/>
          <w:szCs w:val="22"/>
          <w:color w:val="auto"/>
        </w:rPr>
        <w:t>: In the event that a Covered Person engages in Detrimental Conduct that,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sole discretion of the HCC Committee, is likely to cause or has caused material financial, operational, or reputational harm to WTW, including, for the avoidance of any doubt, conduct that subjects WTW to liability by any governmental authority, the HCC Committee may recover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528955</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975" w:right="359" w:bottom="1440" w:gutter="0" w:footer="0" w:header="0"/>
        </w:sectPr>
      </w:pPr>
    </w:p>
    <w:bookmarkStart w:id="170" w:name="page171"/>
    <w:bookmarkEnd w:id="170"/>
    <w:p>
      <w:pPr>
        <w:ind w:left="378" w:right="40"/>
        <w:spacing w:after="0" w:line="239" w:lineRule="auto"/>
        <w:rPr>
          <w:sz w:val="20"/>
          <w:szCs w:val="20"/>
          <w:color w:val="auto"/>
        </w:rPr>
      </w:pPr>
      <w:r>
        <w:rPr>
          <w:rFonts w:ascii="Times New Roman" w:cs="Times New Roman" w:eastAsia="Times New Roman" w:hAnsi="Times New Roman"/>
          <w:sz w:val="22"/>
          <w:szCs w:val="22"/>
          <w:color w:val="auto"/>
        </w:rPr>
        <w:t>Covered Incentive Compensation received by the Covered Person during and after the period in which such Detrimental Conduct occurred. Detrimental Conduct subject to this Recoupment Policy must have occurred within the three years preceding the date on which the HCC Committee determines that Detrimental Conduct has occurred. Detrimental Conduct consists of:</w:t>
      </w:r>
    </w:p>
    <w:p>
      <w:pPr>
        <w:spacing w:after="0" w:line="71" w:lineRule="exact"/>
        <w:rPr>
          <w:sz w:val="20"/>
          <w:szCs w:val="20"/>
          <w:color w:val="auto"/>
        </w:rPr>
      </w:pPr>
    </w:p>
    <w:p>
      <w:pPr>
        <w:ind w:left="758" w:hanging="383"/>
        <w:spacing w:after="0"/>
        <w:tabs>
          <w:tab w:leader="none" w:pos="75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of an act of fraud, misappropriation or embezzlement in the course of employment;</w:t>
      </w:r>
    </w:p>
    <w:p>
      <w:pPr>
        <w:spacing w:after="0" w:line="97" w:lineRule="exact"/>
        <w:rPr>
          <w:rFonts w:ascii="Times New Roman" w:cs="Times New Roman" w:eastAsia="Times New Roman" w:hAnsi="Times New Roman"/>
          <w:sz w:val="22"/>
          <w:szCs w:val="22"/>
          <w:color w:val="auto"/>
        </w:rPr>
      </w:pPr>
    </w:p>
    <w:p>
      <w:pPr>
        <w:ind w:left="758" w:right="380" w:hanging="383"/>
        <w:spacing w:after="0" w:line="307" w:lineRule="auto"/>
        <w:tabs>
          <w:tab w:leader="none" w:pos="75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commission of a criminal act, whether or not in the workplace, that in the HCC Committee’s sole discretion, constitutes a felony or crime of comparable magnitude that could subject WTW to reputational harm;</w:t>
      </w:r>
    </w:p>
    <w:p>
      <w:pPr>
        <w:spacing w:after="0" w:line="4" w:lineRule="exact"/>
        <w:rPr>
          <w:rFonts w:ascii="Times New Roman" w:cs="Times New Roman" w:eastAsia="Times New Roman" w:hAnsi="Times New Roman"/>
          <w:sz w:val="20"/>
          <w:szCs w:val="20"/>
          <w:color w:val="auto"/>
        </w:rPr>
      </w:pPr>
    </w:p>
    <w:p>
      <w:pPr>
        <w:ind w:left="758" w:hanging="383"/>
        <w:spacing w:after="0"/>
        <w:tabs>
          <w:tab w:leader="none" w:pos="75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violation of a non-compete, non-solicitation, confidentiality or other restrictive covenant agreement; or</w:t>
      </w:r>
    </w:p>
    <w:p>
      <w:pPr>
        <w:spacing w:after="0" w:line="120" w:lineRule="exact"/>
        <w:rPr>
          <w:rFonts w:ascii="Times New Roman" w:cs="Times New Roman" w:eastAsia="Times New Roman" w:hAnsi="Times New Roman"/>
          <w:sz w:val="20"/>
          <w:szCs w:val="20"/>
          <w:color w:val="auto"/>
        </w:rPr>
      </w:pPr>
    </w:p>
    <w:p>
      <w:pPr>
        <w:ind w:left="758" w:right="260" w:hanging="383"/>
        <w:spacing w:after="0" w:line="244" w:lineRule="auto"/>
        <w:tabs>
          <w:tab w:leader="none" w:pos="75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and material breach of a Covered Person’s obligations under WTW’s Code of Conduct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relating to compliance with law or regulations that would give rise to dismissal under the Code or termination for Cause; or</w:t>
      </w:r>
    </w:p>
    <w:p>
      <w:pPr>
        <w:spacing w:after="0" w:line="64" w:lineRule="exact"/>
        <w:rPr>
          <w:rFonts w:ascii="Times New Roman" w:cs="Times New Roman" w:eastAsia="Times New Roman" w:hAnsi="Times New Roman"/>
          <w:sz w:val="22"/>
          <w:szCs w:val="22"/>
          <w:color w:val="auto"/>
        </w:rPr>
      </w:pPr>
    </w:p>
    <w:p>
      <w:pPr>
        <w:ind w:left="758" w:hanging="383"/>
        <w:spacing w:after="0"/>
        <w:tabs>
          <w:tab w:leader="none" w:pos="75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involving willful misconduct that resulted in such Covered Person’s termination for Cause.</w:t>
      </w:r>
    </w:p>
    <w:p>
      <w:pPr>
        <w:spacing w:after="0" w:line="98" w:lineRule="exact"/>
        <w:rPr>
          <w:sz w:val="20"/>
          <w:szCs w:val="20"/>
          <w:color w:val="auto"/>
        </w:rPr>
      </w:pPr>
    </w:p>
    <w:p>
      <w:pPr>
        <w:ind w:left="378"/>
        <w:spacing w:after="0" w:line="232" w:lineRule="auto"/>
        <w:rPr>
          <w:sz w:val="20"/>
          <w:szCs w:val="20"/>
          <w:color w:val="auto"/>
        </w:rPr>
      </w:pPr>
      <w:r>
        <w:rPr>
          <w:rFonts w:ascii="Times New Roman" w:cs="Times New Roman" w:eastAsia="Times New Roman" w:hAnsi="Times New Roman"/>
          <w:sz w:val="22"/>
          <w:szCs w:val="22"/>
          <w:color w:val="auto"/>
        </w:rPr>
        <w:t>For the purposes of this Recoupment Policy, “Cause” shall mean: (i) the Covered Person’s gross or chronic neglect or negligence in the performance of the Covered Person’s employment duties with respect to the Company or its affiliates having been provided reasonable notice of such neglect or negligence and a period of at least ten (10) days after the Covered Person’s receipt of such notice to cure and/or correct such performance neglect or negligence, (ii) the willful misconduct by the Covered Person in connection with the Covered Person’s employment which is injurious to the Company or its affiliates (willful misconduct shall be understood to include, but not be limited to, any breach of the duty of loyalty owed by the Covered Person to the Company or its affiliates), (iii) the conviction of any criminal act (other than minor road traffic violations not involving imprisonment), (iv) any breach of the Covered Person’s restrictive covenants and other obligations as provided in the Covered Person’s employment agreement (if any), or any other non-compete agreement and/or confidentiality agreement entered into between the Covered Person and the Company or any of its affiliates (other than an insubstantial, inadvertent and non-recurring breach), or (v) any violation of any material written Company policy, which includes any policy regarding sexual harassment, after reasonable notice and an opportunity to cure such violation (if curable as determined by the HCC Committee) within ten (10) days after the Covered Person’s receipt of such notice.</w:t>
      </w:r>
    </w:p>
    <w:p>
      <w:pPr>
        <w:spacing w:after="0" w:line="200" w:lineRule="exact"/>
        <w:rPr>
          <w:sz w:val="20"/>
          <w:szCs w:val="20"/>
          <w:color w:val="auto"/>
        </w:rPr>
      </w:pPr>
    </w:p>
    <w:p>
      <w:pPr>
        <w:ind w:left="378" w:right="160" w:hanging="378"/>
        <w:spacing w:after="0" w:line="261" w:lineRule="auto"/>
        <w:tabs>
          <w:tab w:leader="none" w:pos="378" w:val="left"/>
        </w:tabs>
        <w:numPr>
          <w:ilvl w:val="0"/>
          <w:numId w:val="10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Amount of Recoupment</w:t>
      </w:r>
      <w:r>
        <w:rPr>
          <w:rFonts w:ascii="Times New Roman" w:cs="Times New Roman" w:eastAsia="Times New Roman" w:hAnsi="Times New Roman"/>
          <w:sz w:val="22"/>
          <w:szCs w:val="22"/>
          <w:color w:val="auto"/>
        </w:rPr>
        <w:t>. The HCC Committee shall determine the amount of Covered Incentive Compensation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recovered, in its sole discretion, in accordance with this Section 7.</w:t>
      </w:r>
    </w:p>
    <w:p>
      <w:pPr>
        <w:spacing w:after="0" w:line="47" w:lineRule="exact"/>
        <w:rPr>
          <w:rFonts w:ascii="Times New Roman" w:cs="Times New Roman" w:eastAsia="Times New Roman" w:hAnsi="Times New Roman"/>
          <w:sz w:val="22"/>
          <w:szCs w:val="22"/>
          <w:u w:val="single" w:color="auto"/>
          <w:color w:val="auto"/>
        </w:rPr>
      </w:pPr>
    </w:p>
    <w:p>
      <w:pPr>
        <w:ind w:left="758" w:hanging="383"/>
        <w:spacing w:after="0" w:line="233" w:lineRule="auto"/>
        <w:tabs>
          <w:tab w:leader="none" w:pos="75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recoupment due to an Accounting Restatement pursuant to the provisions of Section 5, the amount of the Covered Incentive Compensation that was Received by each Covered Person during the Recovery Period in excess of the amount that would have been Received had such Covered Incentive Compensation been determined based on the restated Financial Reporting Measure, computed without regard to taxes paid on such Covered Incentive Compensation, shall be subject to recoupment under this Recovery Policy (such amount, the “</w:t>
      </w:r>
      <w:r>
        <w:rPr>
          <w:rFonts w:ascii="Times New Roman" w:cs="Times New Roman" w:eastAsia="Times New Roman" w:hAnsi="Times New Roman"/>
          <w:sz w:val="22"/>
          <w:szCs w:val="22"/>
          <w:u w:val="single" w:color="auto"/>
          <w:color w:val="auto"/>
        </w:rPr>
        <w:t>Erroneously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Awarded Compensation</w:t>
      </w:r>
      <w:r>
        <w:rPr>
          <w:rFonts w:ascii="Times New Roman" w:cs="Times New Roman" w:eastAsia="Times New Roman" w:hAnsi="Times New Roman"/>
          <w:sz w:val="22"/>
          <w:szCs w:val="22"/>
          <w:color w:val="auto"/>
        </w:rPr>
        <w:t>”). If the amount of Covered Incentive Compensation Received by a Covered Person was based on Company share price or total shareholder return and is not subject to mathematical recalculation directly from the Accounting Restatement, the amount to be recovered as Erroneously Awarded Compensation will be based on a reasonable estimate of the effect of the Accounting Restatement on the share price or total shareholder return upon which the Covered Incentive Compensation was Received. The Company shall obtain and maintain all documentation of the determination of any such reasonable estimate and provide such documentation to Nasdaq when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530860</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8"/>
          </w:cols>
          <w:pgMar w:left="702" w:top="1083" w:right="399" w:bottom="1440" w:gutter="0" w:footer="0" w:header="0"/>
        </w:sectPr>
      </w:pPr>
    </w:p>
    <w:bookmarkStart w:id="171" w:name="page172"/>
    <w:bookmarkEnd w:id="171"/>
    <w:p>
      <w:pPr>
        <w:ind w:left="847" w:right="20" w:hanging="383"/>
        <w:spacing w:after="0" w:line="239" w:lineRule="auto"/>
        <w:tabs>
          <w:tab w:leader="none" w:pos="84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recoupment due to Detrimental Conduct pursuant to the provisions of Section 6, the amount of Covered Incentive Compensation up to and based upon the Covered Person’s relative degree of fault or involvement, the impact of the conduct on WTW, the magnitude of any loss caused and other relevant facts and circumstances, as determined in the sole discretion of the HCC Committee.</w:t>
      </w:r>
    </w:p>
    <w:p>
      <w:pPr>
        <w:spacing w:after="0" w:line="174" w:lineRule="exact"/>
        <w:rPr>
          <w:rFonts w:ascii="Times New Roman" w:cs="Times New Roman" w:eastAsia="Times New Roman" w:hAnsi="Times New Roman"/>
          <w:sz w:val="22"/>
          <w:szCs w:val="22"/>
          <w:color w:val="auto"/>
        </w:rPr>
      </w:pPr>
    </w:p>
    <w:p>
      <w:pPr>
        <w:ind w:left="467" w:right="80" w:hanging="378"/>
        <w:spacing w:after="0" w:line="238" w:lineRule="auto"/>
        <w:tabs>
          <w:tab w:leader="none" w:pos="467" w:val="left"/>
        </w:tabs>
        <w:numPr>
          <w:ilvl w:val="0"/>
          <w:numId w:val="10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Method of Recoupment</w:t>
      </w:r>
      <w:r>
        <w:rPr>
          <w:rFonts w:ascii="Times New Roman" w:cs="Times New Roman" w:eastAsia="Times New Roman" w:hAnsi="Times New Roman"/>
          <w:sz w:val="22"/>
          <w:szCs w:val="22"/>
          <w:color w:val="auto"/>
        </w:rPr>
        <w:t>. The HCC Committee shall determine, in its sole discretion, taking into account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implications of Section 409A of the Internal Revenue Code of 1986, as amended, and any applicable legal requirements, the method and source of compensation for recouping Erroneously Awarded Compensation and/or any other Covered Incentive Compensation subject to recoupment pursuant to this Recoupment Policy hereunder, which may include, without limitation, any of the following:</w:t>
      </w:r>
    </w:p>
    <w:p>
      <w:pPr>
        <w:spacing w:after="0" w:line="71" w:lineRule="exact"/>
        <w:rPr>
          <w:rFonts w:ascii="Times New Roman" w:cs="Times New Roman" w:eastAsia="Times New Roman" w:hAnsi="Times New Roman"/>
          <w:sz w:val="22"/>
          <w:szCs w:val="22"/>
          <w:u w:val="single" w:color="auto"/>
          <w:color w:val="auto"/>
        </w:rPr>
      </w:pPr>
    </w:p>
    <w:p>
      <w:pPr>
        <w:ind w:left="847" w:right="380" w:hanging="383"/>
        <w:spacing w:after="0" w:line="258" w:lineRule="auto"/>
        <w:tabs>
          <w:tab w:leader="none" w:pos="84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reducing the number of ordinary shares of the Company (the “</w:t>
      </w:r>
      <w:r>
        <w:rPr>
          <w:rFonts w:ascii="Times New Roman" w:cs="Times New Roman" w:eastAsia="Times New Roman" w:hAnsi="Times New Roman"/>
          <w:sz w:val="22"/>
          <w:szCs w:val="22"/>
          <w:u w:val="single" w:color="auto"/>
          <w:color w:val="auto"/>
        </w:rPr>
        <w:t>Ordinary Shares</w:t>
      </w:r>
      <w:r>
        <w:rPr>
          <w:rFonts w:ascii="Times New Roman" w:cs="Times New Roman" w:eastAsia="Times New Roman" w:hAnsi="Times New Roman"/>
          <w:sz w:val="22"/>
          <w:szCs w:val="22"/>
          <w:color w:val="auto"/>
        </w:rPr>
        <w:t>”) subject to, or the value of, outstanding vested or unvested equity-based awards;</w:t>
      </w:r>
    </w:p>
    <w:p>
      <w:pPr>
        <w:spacing w:after="0" w:line="49" w:lineRule="exact"/>
        <w:rPr>
          <w:rFonts w:ascii="Times New Roman" w:cs="Times New Roman" w:eastAsia="Times New Roman" w:hAnsi="Times New Roman"/>
          <w:sz w:val="22"/>
          <w:szCs w:val="22"/>
          <w:color w:val="auto"/>
        </w:rPr>
      </w:pPr>
    </w:p>
    <w:p>
      <w:pPr>
        <w:ind w:left="847" w:hanging="383"/>
        <w:spacing w:after="0"/>
        <w:tabs>
          <w:tab w:leader="none" w:pos="84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cash-based awards that vested or are otherwise earned, but that have not yet been paid;</w:t>
      </w:r>
    </w:p>
    <w:p>
      <w:pPr>
        <w:spacing w:after="0" w:line="97" w:lineRule="exact"/>
        <w:rPr>
          <w:rFonts w:ascii="Times New Roman" w:cs="Times New Roman" w:eastAsia="Times New Roman" w:hAnsi="Times New Roman"/>
          <w:sz w:val="22"/>
          <w:szCs w:val="22"/>
          <w:color w:val="auto"/>
        </w:rPr>
      </w:pPr>
    </w:p>
    <w:p>
      <w:pPr>
        <w:ind w:left="847" w:hanging="383"/>
        <w:spacing w:after="0"/>
        <w:tabs>
          <w:tab w:leader="none" w:pos="84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cash-based awards previously paid;</w:t>
      </w:r>
    </w:p>
    <w:p>
      <w:pPr>
        <w:spacing w:after="0" w:line="97" w:lineRule="exact"/>
        <w:rPr>
          <w:rFonts w:ascii="Times New Roman" w:cs="Times New Roman" w:eastAsia="Times New Roman" w:hAnsi="Times New Roman"/>
          <w:sz w:val="22"/>
          <w:szCs w:val="22"/>
          <w:color w:val="auto"/>
        </w:rPr>
      </w:pPr>
    </w:p>
    <w:p>
      <w:pPr>
        <w:ind w:left="847" w:right="60" w:hanging="383"/>
        <w:spacing w:after="0" w:line="258" w:lineRule="auto"/>
        <w:tabs>
          <w:tab w:leader="none" w:pos="84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or since the vesting, exercise, settlement, sale, transfer, or other disposition of any equity-based awards;</w:t>
      </w:r>
    </w:p>
    <w:p>
      <w:pPr>
        <w:spacing w:after="0" w:line="49" w:lineRule="exact"/>
        <w:rPr>
          <w:rFonts w:ascii="Times New Roman" w:cs="Times New Roman" w:eastAsia="Times New Roman" w:hAnsi="Times New Roman"/>
          <w:sz w:val="22"/>
          <w:szCs w:val="22"/>
          <w:color w:val="auto"/>
        </w:rPr>
      </w:pPr>
    </w:p>
    <w:p>
      <w:pPr>
        <w:jc w:val="both"/>
        <w:ind w:left="847" w:right="280" w:hanging="383"/>
        <w:spacing w:after="0" w:line="244" w:lineRule="auto"/>
        <w:tabs>
          <w:tab w:leader="none" w:pos="84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the recouped amount from any compensation otherwise owed by the Company or any of its affiliates to the Covered Person (including, without limitation, any severance otherwise payable by the Company or any of its affiliates to the Covered Person);</w:t>
      </w:r>
    </w:p>
    <w:p>
      <w:pPr>
        <w:spacing w:after="0" w:line="64" w:lineRule="exact"/>
        <w:rPr>
          <w:rFonts w:ascii="Times New Roman" w:cs="Times New Roman" w:eastAsia="Times New Roman" w:hAnsi="Times New Roman"/>
          <w:sz w:val="22"/>
          <w:szCs w:val="22"/>
          <w:color w:val="auto"/>
        </w:rPr>
      </w:pPr>
    </w:p>
    <w:p>
      <w:pPr>
        <w:ind w:left="847" w:hanging="383"/>
        <w:spacing w:after="0"/>
        <w:tabs>
          <w:tab w:leader="none" w:pos="84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a deduction from the Covered Person’s salary;</w:t>
      </w:r>
    </w:p>
    <w:p>
      <w:pPr>
        <w:spacing w:after="0" w:line="97" w:lineRule="exact"/>
        <w:rPr>
          <w:rFonts w:ascii="Times New Roman" w:cs="Times New Roman" w:eastAsia="Times New Roman" w:hAnsi="Times New Roman"/>
          <w:sz w:val="22"/>
          <w:szCs w:val="22"/>
          <w:color w:val="auto"/>
        </w:rPr>
      </w:pPr>
    </w:p>
    <w:p>
      <w:pPr>
        <w:ind w:left="847" w:right="360" w:hanging="383"/>
        <w:spacing w:after="0" w:line="258" w:lineRule="auto"/>
        <w:tabs>
          <w:tab w:leader="none" w:pos="84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the Covered Person to transfer back to the Company any Ordinary Shares they received pursuant to an equity award;</w:t>
      </w:r>
    </w:p>
    <w:p>
      <w:pPr>
        <w:spacing w:after="0" w:line="49" w:lineRule="exact"/>
        <w:rPr>
          <w:rFonts w:ascii="Times New Roman" w:cs="Times New Roman" w:eastAsia="Times New Roman" w:hAnsi="Times New Roman"/>
          <w:sz w:val="22"/>
          <w:szCs w:val="22"/>
          <w:color w:val="auto"/>
        </w:rPr>
      </w:pPr>
    </w:p>
    <w:p>
      <w:pPr>
        <w:ind w:left="847" w:right="780" w:hanging="383"/>
        <w:spacing w:after="0" w:line="258" w:lineRule="auto"/>
        <w:tabs>
          <w:tab w:leader="none" w:pos="84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amounts credited to a Covered Person’s accounts under retirement plans or non-qualified deferred compensation arrangements sponsored by the Company or any of its affiliates; and/or</w:t>
      </w:r>
    </w:p>
    <w:p>
      <w:pPr>
        <w:spacing w:after="0" w:line="49" w:lineRule="exact"/>
        <w:rPr>
          <w:rFonts w:ascii="Times New Roman" w:cs="Times New Roman" w:eastAsia="Times New Roman" w:hAnsi="Times New Roman"/>
          <w:sz w:val="22"/>
          <w:szCs w:val="22"/>
          <w:color w:val="auto"/>
        </w:rPr>
      </w:pPr>
    </w:p>
    <w:p>
      <w:pPr>
        <w:ind w:left="887" w:hanging="423"/>
        <w:spacing w:after="0"/>
        <w:tabs>
          <w:tab w:leader="none" w:pos="88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remedial and recovery method authorized by applicable law or contract.</w:t>
      </w:r>
    </w:p>
    <w:p>
      <w:pPr>
        <w:spacing w:after="0" w:line="201" w:lineRule="exact"/>
        <w:rPr>
          <w:rFonts w:ascii="Times New Roman" w:cs="Times New Roman" w:eastAsia="Times New Roman" w:hAnsi="Times New Roman"/>
          <w:sz w:val="22"/>
          <w:szCs w:val="22"/>
          <w:color w:val="auto"/>
        </w:rPr>
      </w:pPr>
    </w:p>
    <w:p>
      <w:pPr>
        <w:ind w:left="467" w:right="220" w:hanging="378"/>
        <w:spacing w:after="0" w:line="236" w:lineRule="auto"/>
        <w:tabs>
          <w:tab w:leader="none" w:pos="467" w:val="left"/>
        </w:tabs>
        <w:numPr>
          <w:ilvl w:val="0"/>
          <w:numId w:val="10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Actions Against Covered Person for Recoupment</w:t>
      </w:r>
      <w:r>
        <w:rPr>
          <w:rFonts w:ascii="Times New Roman" w:cs="Times New Roman" w:eastAsia="Times New Roman" w:hAnsi="Times New Roman"/>
          <w:sz w:val="22"/>
          <w:szCs w:val="22"/>
          <w:color w:val="auto"/>
        </w:rPr>
        <w:t>. To the extent that a Covered Person fails to repay all Erroneously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Awarded Compensation or any other compensation that is subject to recoupment under this Recoupment Policy to the Company, the Company shall, or shall cause an affiliate to, take all actions reasonable and appropriate to recover such Erroneously Awarded Compensation from the applicable Covered Person. The applicable Covered Person shall be required to reimburse the Company or, as applicable, any of its affiliates for any and all expenses reasonably incurred (including legal fees) by the Company in recovering such Erroneously Awarded Compensation in accordance with the immediately preceding sentence.</w:t>
      </w:r>
    </w:p>
    <w:p>
      <w:pPr>
        <w:spacing w:after="0" w:line="66" w:lineRule="exact"/>
        <w:rPr>
          <w:sz w:val="20"/>
          <w:szCs w:val="20"/>
          <w:color w:val="auto"/>
        </w:rPr>
      </w:pPr>
    </w:p>
    <w:p>
      <w:pPr>
        <w:jc w:val="both"/>
        <w:ind w:left="467" w:hanging="467"/>
        <w:spacing w:after="0" w:line="263" w:lineRule="auto"/>
        <w:tabs>
          <w:tab w:leader="none" w:pos="467" w:val="left"/>
        </w:tabs>
        <w:numPr>
          <w:ilvl w:val="0"/>
          <w:numId w:val="1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Acknowledgement by Covered Persons</w:t>
      </w:r>
      <w:r>
        <w:rPr>
          <w:rFonts w:ascii="Times New Roman" w:cs="Times New Roman" w:eastAsia="Times New Roman" w:hAnsi="Times New Roman"/>
          <w:sz w:val="20"/>
          <w:szCs w:val="20"/>
          <w:color w:val="auto"/>
        </w:rPr>
        <w:t>. The Company shall provide notice and seek written acknowledgement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Recoupment Policy from each Covered Person, as soon as practicable after the later of (i) the Effective Date and (ii) the date on which the person becomes a Covered Person, providing that each Covered Person shall be subject to the terms set forth in this Recoupment Policy. Anything to the contrary in the foregoing notwithstanding, obtaining the written acknowledgement from a Covered Person shall not be a prerequisite to the application of this Recoupment Policy to the Covered Person, and therefore, a Covered Person shall be subject to this Recoupment Policy without regard to whether the Covered Person has received notice or provided written acknowledgement of this Recoupment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513715</wp:posOffset>
            </wp:positionV>
            <wp:extent cx="715772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1083" w:right="339" w:bottom="1440" w:gutter="0" w:footer="0" w:header="0"/>
        </w:sectPr>
      </w:pPr>
    </w:p>
    <w:bookmarkStart w:id="172" w:name="page173"/>
    <w:bookmarkEnd w:id="172"/>
    <w:p>
      <w:pPr>
        <w:jc w:val="both"/>
        <w:ind w:left="467" w:hanging="467"/>
        <w:spacing w:after="0" w:line="246" w:lineRule="auto"/>
        <w:tabs>
          <w:tab w:leader="none" w:pos="467" w:val="left"/>
        </w:tabs>
        <w:numPr>
          <w:ilvl w:val="0"/>
          <w:numId w:val="10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Impracticability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HCC Committee shall recover any Erroneously Awarded Compensation in accordance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Recoupment Policy unless the HCC Committee determines that such recovery would be impracticable for any of the following reasons:</w:t>
      </w:r>
    </w:p>
    <w:p>
      <w:pPr>
        <w:spacing w:after="0" w:line="62" w:lineRule="exact"/>
        <w:rPr>
          <w:rFonts w:ascii="Times New Roman" w:cs="Times New Roman" w:eastAsia="Times New Roman" w:hAnsi="Times New Roman"/>
          <w:sz w:val="22"/>
          <w:szCs w:val="22"/>
          <w:u w:val="single" w:color="auto"/>
          <w:color w:val="auto"/>
        </w:rPr>
      </w:pPr>
    </w:p>
    <w:p>
      <w:pPr>
        <w:jc w:val="both"/>
        <w:ind w:left="847" w:hanging="383"/>
        <w:spacing w:after="0" w:line="235" w:lineRule="auto"/>
        <w:tabs>
          <w:tab w:leader="none" w:pos="847"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(or internal resources of the Company to the extent such resources provide services externally and reliance on such internal resources would be treated as a third party for purposes of this Section 11(a) under Rule 5608) to assist in enforcing the Recoupment Policy would exceed the amount to be recovered, provided that before concluding that it would be impracticable to recover any Erroneously Awarded Compensation based on the exception contemplated under this Section 11(a), the Company shall make a reasonable attempt to recover such Erroneously Awarded Compensation, and shall document such reasonable attempt(s) to recover and provide that documentation to Nasdaq when required.</w:t>
      </w:r>
    </w:p>
    <w:p>
      <w:pPr>
        <w:spacing w:after="0" w:line="72" w:lineRule="exact"/>
        <w:rPr>
          <w:rFonts w:ascii="Times New Roman" w:cs="Times New Roman" w:eastAsia="Times New Roman" w:hAnsi="Times New Roman"/>
          <w:sz w:val="22"/>
          <w:szCs w:val="22"/>
          <w:color w:val="auto"/>
        </w:rPr>
      </w:pPr>
    </w:p>
    <w:p>
      <w:pPr>
        <w:jc w:val="both"/>
        <w:ind w:left="847" w:hanging="383"/>
        <w:spacing w:after="0" w:line="235" w:lineRule="auto"/>
        <w:tabs>
          <w:tab w:leader="none" w:pos="847"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an applicable home country law adopted prior to November 28, 2022, provided that before concluding that it would be impracticable to recover any amount of Erroneously Awarded Compensation based on the exception contemplated under this Section 11(b), the Company shall engage legal counsel experienced and qualified to practice law in the applicable jurisdiction (if such counsel is acceptable to Nasdaq) to render an opinion that recovery would result in a violation of law and shall provide such opinion to Nasdaq; for the avoidance of any doubt, the Company shall provide funding for the fees and expenses of any legal counsel required pursuant to this Section 11(b) as approved by the HCC Committee, or</w:t>
      </w:r>
    </w:p>
    <w:p>
      <w:pPr>
        <w:spacing w:after="0" w:line="72" w:lineRule="exact"/>
        <w:rPr>
          <w:rFonts w:ascii="Times New Roman" w:cs="Times New Roman" w:eastAsia="Times New Roman" w:hAnsi="Times New Roman"/>
          <w:sz w:val="22"/>
          <w:szCs w:val="22"/>
          <w:color w:val="auto"/>
        </w:rPr>
      </w:pPr>
    </w:p>
    <w:p>
      <w:pPr>
        <w:ind w:left="847" w:hanging="383"/>
        <w:spacing w:after="0" w:line="258" w:lineRule="auto"/>
        <w:tabs>
          <w:tab w:leader="none" w:pos="847"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broad-based retirement plan of the Company to fail to meet the requirements of 26 U.S.C. 401(a)(13) or 26 U.S.C. 411(a) and regulations thereunder.</w:t>
      </w:r>
    </w:p>
    <w:p>
      <w:pPr>
        <w:spacing w:after="0" w:line="45" w:lineRule="exact"/>
        <w:rPr>
          <w:rFonts w:ascii="Times New Roman" w:cs="Times New Roman" w:eastAsia="Times New Roman" w:hAnsi="Times New Roman"/>
          <w:sz w:val="22"/>
          <w:szCs w:val="22"/>
          <w:color w:val="auto"/>
        </w:rPr>
      </w:pPr>
    </w:p>
    <w:p>
      <w:pPr>
        <w:jc w:val="both"/>
        <w:ind w:left="467" w:hanging="467"/>
        <w:spacing w:after="0" w:line="234" w:lineRule="auto"/>
        <w:tabs>
          <w:tab w:leader="none" w:pos="467" w:val="left"/>
        </w:tabs>
        <w:numPr>
          <w:ilvl w:val="0"/>
          <w:numId w:val="10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 Indemnification or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right to indemnification provided under the Deed of Indemnity,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Indemnification Agreement or any other indemnification agreement or arrangement with a Covered Person (a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 Indemnification Arrangement</w:t>
      </w:r>
      <w:r>
        <w:rPr>
          <w:rFonts w:ascii="Times New Roman" w:cs="Times New Roman" w:eastAsia="Times New Roman" w:hAnsi="Times New Roman"/>
          <w:sz w:val="22"/>
          <w:szCs w:val="22"/>
          <w:color w:val="auto"/>
        </w:rPr>
        <w:t>”), neither the Company nor any of its affiliates shall indemnify any Covered Person against, and each Covered Person shall be deemed to have waived any right the Covered Person may have under a Covered Person Indemnification Arrangement to, the loss of any Erroneously Awarded Compensation and any other compensation that is subject to recoupment under this Recoupment Policy, as well as any claims relating to the enforcement by the Company or any its affiliates of their rights under this Recoupment Policy. For the avoidance of any doubt, this Section 12 shall supersede each Covered Person Indemnification Arrangement with respect to the indemnification rights prohibited under this Section 12. Further, neither the Company nor any of its affiliates shall pay or reimburse any Covered Person for any insurance policy entered into by a Covered Person that provides for full or partial coverage of any recoupment obligation under this Recoupment Policy.</w:t>
      </w:r>
    </w:p>
    <w:p>
      <w:pPr>
        <w:spacing w:after="0" w:line="64" w:lineRule="exact"/>
        <w:rPr>
          <w:rFonts w:ascii="Times New Roman" w:cs="Times New Roman" w:eastAsia="Times New Roman" w:hAnsi="Times New Roman"/>
          <w:sz w:val="22"/>
          <w:szCs w:val="22"/>
          <w:u w:val="single" w:color="auto"/>
          <w:color w:val="auto"/>
        </w:rPr>
      </w:pPr>
    </w:p>
    <w:p>
      <w:pPr>
        <w:jc w:val="both"/>
        <w:ind w:left="467" w:hanging="467"/>
        <w:spacing w:after="0" w:line="238" w:lineRule="auto"/>
        <w:tabs>
          <w:tab w:leader="none" w:pos="467" w:val="left"/>
        </w:tabs>
        <w:numPr>
          <w:ilvl w:val="0"/>
          <w:numId w:val="10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Amendment;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HCC Committee may amend this Recoupment Policy from time to time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in any manner consistent with applicable law and regulations. The HCC Committee may terminate this Recoupment Policy at any time when the Company does not have a class of securities listed on a national securities exchange or a national securities association or as may otherwise be permitted under the rules of Nasdaq or any other national securities exchange or a national securities association on which the securities of the Company are listed.</w:t>
      </w:r>
    </w:p>
    <w:p>
      <w:pPr>
        <w:spacing w:after="0" w:line="67" w:lineRule="exact"/>
        <w:rPr>
          <w:rFonts w:ascii="Times New Roman" w:cs="Times New Roman" w:eastAsia="Times New Roman" w:hAnsi="Times New Roman"/>
          <w:sz w:val="22"/>
          <w:szCs w:val="22"/>
          <w:u w:val="single" w:color="auto"/>
          <w:color w:val="auto"/>
        </w:rPr>
      </w:pPr>
    </w:p>
    <w:p>
      <w:pPr>
        <w:jc w:val="both"/>
        <w:ind w:left="467" w:hanging="467"/>
        <w:spacing w:after="0" w:line="236" w:lineRule="auto"/>
        <w:tabs>
          <w:tab w:leader="none" w:pos="467" w:val="left"/>
        </w:tabs>
        <w:numPr>
          <w:ilvl w:val="0"/>
          <w:numId w:val="10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Other Recoupment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HCC Committee intends that this Recoupment Policy will be applied to the fullest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of the law. Any right of recoupment under this Recoupment Policy is in addition to, and not in lieu of, any other remedies or rights of recoupment that may be available to the Company pursuant to the terms of any similar policy or recoupment provision in any employment agreement, equity award agreement, bonus plan, or similar agreement or plan and any other legal remedies available to the Company. Further, the provisions of this Recoupment Policy are in addition to (and not in lieu of) any rights to repayment the Company may have under Section 304 of the Sarbanes-Oxley Act of 2002,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528320</wp:posOffset>
            </wp:positionV>
            <wp:extent cx="715772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971" w:right="339" w:bottom="1440" w:gutter="0" w:footer="0" w:header="0"/>
        </w:sectPr>
      </w:pPr>
    </w:p>
    <w:bookmarkStart w:id="173" w:name="page174"/>
    <w:bookmarkEnd w:id="173"/>
    <w:p>
      <w:pPr>
        <w:jc w:val="both"/>
        <w:ind w:left="467"/>
        <w:spacing w:after="0" w:line="244" w:lineRule="auto"/>
        <w:rPr>
          <w:sz w:val="20"/>
          <w:szCs w:val="20"/>
          <w:color w:val="auto"/>
        </w:rPr>
      </w:pPr>
      <w:r>
        <w:rPr>
          <w:rFonts w:ascii="Times New Roman" w:cs="Times New Roman" w:eastAsia="Times New Roman" w:hAnsi="Times New Roman"/>
          <w:sz w:val="22"/>
          <w:szCs w:val="22"/>
          <w:color w:val="auto"/>
        </w:rPr>
        <w:t>other applicable laws, or any other agreement between a Covered Person and the Company or any of its affiliates. However, there shall be no duplication of recovery under this Recoupment Policy, the Sarbanes-Oxley Act of 2002, or any other agreement between a Covered Person and the Company or any of its affiliates.</w:t>
      </w:r>
    </w:p>
    <w:p>
      <w:pPr>
        <w:spacing w:after="0" w:line="60" w:lineRule="exact"/>
        <w:rPr>
          <w:sz w:val="20"/>
          <w:szCs w:val="20"/>
          <w:color w:val="auto"/>
        </w:rPr>
      </w:pPr>
    </w:p>
    <w:p>
      <w:pPr>
        <w:ind w:left="467" w:hanging="467"/>
        <w:spacing w:after="0" w:line="261" w:lineRule="auto"/>
        <w:tabs>
          <w:tab w:leader="none" w:pos="467" w:val="left"/>
        </w:tabs>
        <w:numPr>
          <w:ilvl w:val="0"/>
          <w:numId w:val="1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Recoupment Policy shall be binding and enforceable against all Covered Persons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beneficiaries, heirs, executors, administrators, or other legal representatives.</w:t>
      </w:r>
    </w:p>
    <w:p>
      <w:pPr>
        <w:spacing w:after="0" w:line="43" w:lineRule="exact"/>
        <w:rPr>
          <w:rFonts w:ascii="Times New Roman" w:cs="Times New Roman" w:eastAsia="Times New Roman" w:hAnsi="Times New Roman"/>
          <w:sz w:val="22"/>
          <w:szCs w:val="22"/>
          <w:u w:val="single" w:color="auto"/>
          <w:color w:val="auto"/>
        </w:rPr>
      </w:pPr>
    </w:p>
    <w:p>
      <w:pPr>
        <w:jc w:val="both"/>
        <w:ind w:left="467" w:hanging="467"/>
        <w:spacing w:after="0" w:line="249" w:lineRule="auto"/>
        <w:tabs>
          <w:tab w:leader="none" w:pos="467" w:val="left"/>
        </w:tabs>
        <w:numPr>
          <w:ilvl w:val="0"/>
          <w:numId w:val="1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Disclosure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circumstances of any recoupment pursuant to this Recoupment Policy will be publicly disclosed where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Rule 10D-1, Item 402 of Regulation S-K and Rule 5608. In accordance with Rule 10D-1, this Recoupment Policy shall be filed with the SEC as an exhibit to the Company’s Form 10-K, as provided in Item 601(b) of Regulation S-K.</w:t>
      </w:r>
    </w:p>
    <w:p>
      <w:pPr>
        <w:spacing w:after="0" w:line="55" w:lineRule="exact"/>
        <w:rPr>
          <w:rFonts w:ascii="Times New Roman" w:cs="Times New Roman" w:eastAsia="Times New Roman" w:hAnsi="Times New Roman"/>
          <w:sz w:val="22"/>
          <w:szCs w:val="22"/>
          <w:u w:val="single" w:color="auto"/>
          <w:color w:val="auto"/>
        </w:rPr>
      </w:pPr>
    </w:p>
    <w:p>
      <w:pPr>
        <w:jc w:val="both"/>
        <w:ind w:left="467" w:hanging="467"/>
        <w:spacing w:after="0" w:line="282" w:lineRule="auto"/>
        <w:tabs>
          <w:tab w:leader="none" w:pos="467" w:val="left"/>
        </w:tabs>
        <w:numPr>
          <w:ilvl w:val="0"/>
          <w:numId w:val="11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Change of Listing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event that the Company lists its securities on any national securities exchange or national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association other than Nasdaq, all references to “Nasdaq” in this Recoupment Policy shall mean each national securities exchange or national securities association upon which the Company has a class of securities then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948055</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975" w:right="339" w:bottom="1440" w:gutter="0" w:footer="0" w:header="0"/>
        </w:sectPr>
      </w:pPr>
    </w:p>
    <w:bookmarkStart w:id="174" w:name="page175"/>
    <w:bookmarkEnd w:id="1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1)"/>
      <w:numFmt w:val="lowerRoman"/>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1)"/>
      <w:numFmt w:val="lowerRoman"/>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1)"/>
      <w:numFmt w:val="lowerRoman"/>
      <w:start w:val="1"/>
    </w:lvl>
  </w:abstractNum>
  <w:abstractNum w:abstractNumId="27">
    <w:nsid w:val="6590700B"/>
    <w:multiLevelType w:val="hybridMultilevel"/>
    <w:lvl w:ilvl="0">
      <w:lvlJc w:val="left"/>
      <w:lvlText w:val="(%1)"/>
      <w:numFmt w:val="lowerRoman"/>
      <w:start w:val="1"/>
    </w:lvl>
  </w:abstractNum>
  <w:abstractNum w:abstractNumId="28">
    <w:nsid w:val="15014ACB"/>
    <w:multiLevelType w:val="hybridMultilevel"/>
    <w:lvl w:ilvl="0">
      <w:lvlJc w:val="left"/>
      <w:lvlText w:val="%1)"/>
      <w:numFmt w:val="lowerLetter"/>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1)"/>
      <w:numFmt w:val="lowerRoman"/>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1)"/>
      <w:numFmt w:val="lowerRoman"/>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1)"/>
      <w:numFmt w:val="lowerRoman"/>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lvl w:ilvl="1">
      <w:lvlJc w:val="left"/>
      <w:lvlText w:val="o"/>
      <w:numFmt w:val="bullet"/>
      <w:start w:val="1"/>
    </w:lvl>
  </w:abstractNum>
  <w:abstractNum w:abstractNumId="43">
    <w:nsid w:val="11447B73"/>
    <w:multiLevelType w:val="hybridMultilevel"/>
    <w:lvl w:ilvl="0">
      <w:lvlJc w:val="left"/>
      <w:lvlText w:val="(%1)"/>
      <w:numFmt w:val="lowerRoman"/>
      <w:start w:val="1"/>
    </w:lvl>
  </w:abstractNum>
  <w:abstractNum w:abstractNumId="44">
    <w:nsid w:val="42963E5A"/>
    <w:multiLevelType w:val="hybridMultilevel"/>
    <w:lvl w:ilvl="0">
      <w:lvlJc w:val="left"/>
      <w:lvlText w:val="(%1)"/>
      <w:numFmt w:val="lowerRoman"/>
      <w:start w:val="1"/>
    </w:lvl>
  </w:abstractNum>
  <w:abstractNum w:abstractNumId="45">
    <w:nsid w:val="A0382C5"/>
    <w:multiLevelType w:val="hybridMultilevel"/>
    <w:lvl w:ilvl="0">
      <w:lvlJc w:val="left"/>
      <w:lvlText w:val="(%1)"/>
      <w:numFmt w:val="lowerRoman"/>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lowerRoman"/>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1)"/>
      <w:numFmt w:val="lowerRoman"/>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1)"/>
      <w:numFmt w:val="lowerRoman"/>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1)"/>
      <w:numFmt w:val="lowerRoman"/>
      <w:start w:val="1"/>
    </w:lvl>
  </w:abstractNum>
  <w:abstractNum w:abstractNumId="59">
    <w:nsid w:val="6EB5BD4"/>
    <w:multiLevelType w:val="hybridMultilevel"/>
    <w:lvl w:ilvl="0">
      <w:lvlJc w:val="left"/>
      <w:lvlText w:val="(%1)"/>
      <w:numFmt w:val="lowerRoman"/>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1)"/>
      <w:numFmt w:val="lowerRoman"/>
      <w:start w:val="1"/>
    </w:lvl>
  </w:abstractNum>
  <w:abstractNum w:abstractNumId="62">
    <w:nsid w:val="885E1B"/>
    <w:multiLevelType w:val="hybridMultilevel"/>
    <w:lvl w:ilvl="0">
      <w:lvlJc w:val="left"/>
      <w:lvlText w:val="(%1)"/>
      <w:numFmt w:val="lowerRoman"/>
      <w:start w:val="1"/>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1)"/>
      <w:numFmt w:val="lowerLetter"/>
      <w:start w:val="2"/>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1."/>
      <w:numFmt w:val="decimal"/>
      <w:start w:val="1"/>
    </w:lvl>
  </w:abstractNum>
  <w:abstractNum w:abstractNumId="69">
    <w:nsid w:val="68EBC550"/>
    <w:multiLevelType w:val="hybridMultilevel"/>
    <w:lvl w:ilvl="0">
      <w:lvlJc w:val="left"/>
      <w:lvlText w:val="(%1)"/>
      <w:numFmt w:val="lowerLetter"/>
      <w:start w:val="1"/>
    </w:lvl>
  </w:abstractNum>
  <w:abstractNum w:abstractNumId="70">
    <w:nsid w:val="2DF6D648"/>
    <w:multiLevelType w:val="hybridMultilevel"/>
    <w:lvl w:ilvl="0">
      <w:lvlJc w:val="left"/>
      <w:lvlText w:val="(%1)"/>
      <w:numFmt w:val="lowerLetter"/>
      <w:start w:val="1"/>
    </w:lvl>
  </w:abstractNum>
  <w:abstractNum w:abstractNumId="71">
    <w:nsid w:val="46B7D447"/>
    <w:multiLevelType w:val="hybridMultilevel"/>
    <w:lvl w:ilvl="0">
      <w:lvlJc w:val="left"/>
      <w:lvlText w:val="(%1)"/>
      <w:numFmt w:val="lowerLetter"/>
      <w:start w:val="3"/>
    </w:lvl>
  </w:abstractNum>
  <w:abstractNum w:abstractNumId="72">
    <w:nsid w:val="4A2AC315"/>
    <w:multiLevelType w:val="hybridMultilevel"/>
    <w:lvl w:ilvl="0">
      <w:lvlJc w:val="left"/>
      <w:lvlText w:val="%1."/>
      <w:numFmt w:val="decimal"/>
      <w:start w:val="3"/>
    </w:lvl>
  </w:abstractNum>
  <w:abstractNum w:abstractNumId="73">
    <w:nsid w:val="39EE015C"/>
    <w:multiLevelType w:val="hybridMultilevel"/>
    <w:lvl w:ilvl="0">
      <w:lvlJc w:val="left"/>
      <w:lvlText w:val="%1."/>
      <w:numFmt w:val="decimal"/>
      <w:start w:val="4"/>
    </w:lvl>
  </w:abstractNum>
  <w:abstractNum w:abstractNumId="74">
    <w:nsid w:val="57FC4FBB"/>
    <w:multiLevelType w:val="hybridMultilevel"/>
    <w:lvl w:ilvl="0">
      <w:lvlJc w:val="left"/>
      <w:lvlText w:val="%1."/>
      <w:numFmt w:val="decimal"/>
      <w:start w:val="5"/>
    </w:lvl>
  </w:abstractNum>
  <w:abstractNum w:abstractNumId="75">
    <w:nsid w:val="CC1016F"/>
    <w:multiLevelType w:val="hybridMultilevel"/>
    <w:lvl w:ilvl="0">
      <w:lvlJc w:val="left"/>
      <w:lvlText w:val="%1."/>
      <w:numFmt w:val="decimal"/>
      <w:start w:val="6"/>
    </w:lvl>
  </w:abstractNum>
  <w:abstractNum w:abstractNumId="76">
    <w:nsid w:val="43F18422"/>
    <w:multiLevelType w:val="hybridMultilevel"/>
    <w:lvl w:ilvl="0">
      <w:lvlJc w:val="left"/>
      <w:lvlText w:val="(%1)"/>
      <w:numFmt w:val="lowerLetter"/>
      <w:start w:val="1"/>
    </w:lvl>
  </w:abstractNum>
  <w:abstractNum w:abstractNumId="77">
    <w:nsid w:val="60EF0119"/>
    <w:multiLevelType w:val="hybridMultilevel"/>
    <w:lvl w:ilvl="0">
      <w:lvlJc w:val="left"/>
      <w:lvlText w:val="%1."/>
      <w:numFmt w:val="decimal"/>
      <w:start w:val="7"/>
    </w:lvl>
  </w:abstractNum>
  <w:abstractNum w:abstractNumId="78">
    <w:nsid w:val="26F324BA"/>
    <w:multiLevelType w:val="hybridMultilevel"/>
    <w:lvl w:ilvl="0">
      <w:lvlJc w:val="left"/>
      <w:lvlText w:val="(%1)"/>
      <w:numFmt w:val="lowerLetter"/>
      <w:start w:val="1"/>
    </w:lvl>
  </w:abstractNum>
  <w:abstractNum w:abstractNumId="79">
    <w:nsid w:val="7F01579B"/>
    <w:multiLevelType w:val="hybridMultilevel"/>
    <w:lvl w:ilvl="0">
      <w:lvlJc w:val="left"/>
      <w:lvlText w:val="(%1)"/>
      <w:numFmt w:val="lowerLetter"/>
      <w:start w:val="3"/>
    </w:lvl>
  </w:abstractNum>
  <w:abstractNum w:abstractNumId="80">
    <w:nsid w:val="49DA307D"/>
    <w:multiLevelType w:val="hybridMultilevel"/>
    <w:lvl w:ilvl="0">
      <w:lvlJc w:val="left"/>
      <w:lvlText w:val="(%1)"/>
      <w:numFmt w:val="upperLetter"/>
      <w:start w:val="2"/>
    </w:lvl>
    <w:lvl w:ilvl="1">
      <w:lvlJc w:val="left"/>
      <w:lvlText w:val="(%2)"/>
      <w:numFmt w:val="lowerLetter"/>
      <w:start w:val="4"/>
    </w:lvl>
  </w:abstractNum>
  <w:abstractNum w:abstractNumId="81">
    <w:nsid w:val="7055A5F5"/>
    <w:multiLevelType w:val="hybridMultilevel"/>
    <w:lvl w:ilvl="0">
      <w:lvlJc w:val="left"/>
      <w:lvlText w:val="%1."/>
      <w:numFmt w:val="decimal"/>
      <w:start w:val="8"/>
    </w:lvl>
  </w:abstractNum>
  <w:abstractNum w:abstractNumId="82">
    <w:nsid w:val="5FB8370B"/>
    <w:multiLevelType w:val="hybridMultilevel"/>
    <w:lvl w:ilvl="0">
      <w:lvlJc w:val="left"/>
      <w:lvlText w:val="(%1)"/>
      <w:numFmt w:val="lowerLetter"/>
      <w:start w:val="1"/>
    </w:lvl>
  </w:abstractNum>
  <w:abstractNum w:abstractNumId="83">
    <w:nsid w:val="50801EE1"/>
    <w:multiLevelType w:val="hybridMultilevel"/>
    <w:lvl w:ilvl="0">
      <w:lvlJc w:val="left"/>
      <w:lvlText w:val="%1."/>
      <w:numFmt w:val="decimal"/>
      <w:start w:val="9"/>
    </w:lvl>
  </w:abstractNum>
  <w:abstractNum w:abstractNumId="84">
    <w:nsid w:val="488AC1A"/>
    <w:multiLevelType w:val="hybridMultilevel"/>
    <w:lvl w:ilvl="0">
      <w:lvlJc w:val="left"/>
      <w:lvlText w:val="%1."/>
      <w:numFmt w:val="decimal"/>
      <w:start w:val="10"/>
    </w:lvl>
  </w:abstractNum>
  <w:abstractNum w:abstractNumId="85">
    <w:nsid w:val="5FB8011C"/>
    <w:multiLevelType w:val="hybridMultilevel"/>
    <w:lvl w:ilvl="0">
      <w:lvlJc w:val="left"/>
      <w:lvlText w:val="(%1)"/>
      <w:numFmt w:val="lowerLetter"/>
      <w:start w:val="1"/>
    </w:lvl>
  </w:abstractNum>
  <w:abstractNum w:abstractNumId="86">
    <w:nsid w:val="6AA78F7F"/>
    <w:multiLevelType w:val="hybridMultilevel"/>
    <w:lvl w:ilvl="0">
      <w:lvlJc w:val="left"/>
      <w:lvlText w:val="%1."/>
      <w:numFmt w:val="decimal"/>
      <w:start w:val="11"/>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decimal"/>
      <w:start w:val="12"/>
    </w:lvl>
  </w:abstractNum>
  <w:abstractNum w:abstractNumId="89">
    <w:nsid w:val="6A5F7029"/>
    <w:multiLevelType w:val="hybridMultilevel"/>
    <w:lvl w:ilvl="0">
      <w:lvlJc w:val="left"/>
      <w:lvlText w:val="(%1)"/>
      <w:numFmt w:val="lowerLetter"/>
      <w:start w:val="1"/>
    </w:lvl>
  </w:abstractNum>
  <w:abstractNum w:abstractNumId="90">
    <w:nsid w:val="7D5E18F8"/>
    <w:multiLevelType w:val="hybridMultilevel"/>
    <w:lvl w:ilvl="0">
      <w:lvlJc w:val="left"/>
      <w:lvlText w:val="%1."/>
      <w:numFmt w:val="decimal"/>
      <w:start w:val="14"/>
    </w:lvl>
  </w:abstractNum>
  <w:abstractNum w:abstractNumId="91">
    <w:nsid w:val="5F3534A4"/>
    <w:multiLevelType w:val="hybridMultilevel"/>
    <w:lvl w:ilvl="0">
      <w:lvlJc w:val="left"/>
      <w:lvlText w:val="(%1)"/>
      <w:numFmt w:val="lowerLetter"/>
      <w:start w:val="1"/>
    </w:lvl>
  </w:abstractNum>
  <w:abstractNum w:abstractNumId="92">
    <w:nsid w:val="73A1821B"/>
    <w:multiLevelType w:val="hybridMultilevel"/>
    <w:lvl w:ilvl="0">
      <w:lvlJc w:val="left"/>
      <w:lvlText w:val="(%1)"/>
      <w:numFmt w:val="lowerLetter"/>
      <w:start w:val="1"/>
    </w:lvl>
  </w:abstractNum>
  <w:abstractNum w:abstractNumId="93">
    <w:nsid w:val="7DE67713"/>
    <w:multiLevelType w:val="hybridMultilevel"/>
    <w:lvl w:ilvl="0">
      <w:lvlJc w:val="left"/>
      <w:lvlText w:val="(%1)"/>
      <w:numFmt w:val="lowerLetter"/>
      <w:start w:val="6"/>
    </w:lvl>
  </w:abstractNum>
  <w:abstractNum w:abstractNumId="94">
    <w:nsid w:val="555C55B5"/>
    <w:multiLevelType w:val="hybridMultilevel"/>
    <w:lvl w:ilvl="0">
      <w:lvlJc w:val="left"/>
      <w:lvlText w:val="%1."/>
      <w:numFmt w:val="decimal"/>
      <w:start w:val="15"/>
    </w:lvl>
  </w:abstractNum>
  <w:abstractNum w:abstractNumId="95">
    <w:nsid w:val="3FA62ACA"/>
    <w:multiLevelType w:val="hybridMultilevel"/>
    <w:lvl w:ilvl="0">
      <w:lvlJc w:val="left"/>
      <w:lvlText w:val="%1."/>
      <w:numFmt w:val="decimal"/>
      <w:start w:val="1"/>
    </w:lvl>
    <w:lvl w:ilvl="1">
      <w:lvlJc w:val="left"/>
      <w:lvlText w:val="%2)"/>
      <w:numFmt w:val="lowerLetter"/>
      <w:start w:val="1"/>
    </w:lvl>
  </w:abstractNum>
  <w:abstractNum w:abstractNumId="96">
    <w:nsid w:val="14FCE74E"/>
    <w:multiLevelType w:val="hybridMultilevel"/>
    <w:lvl w:ilvl="0">
      <w:lvlJc w:val="left"/>
      <w:lvlText w:val="%1."/>
      <w:numFmt w:val="decimal"/>
      <w:start w:val="1"/>
    </w:lvl>
    <w:lvl w:ilvl="1">
      <w:lvlJc w:val="left"/>
      <w:lvlText w:val="%2)"/>
      <w:numFmt w:val="lowerLetter"/>
      <w:start w:val="1"/>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0">
    <w:nsid w:val="53299938"/>
    <w:multiLevelType w:val="hybridMultilevel"/>
    <w:lvl w:ilvl="0">
      <w:lvlJc w:val="left"/>
      <w:lvlText w:val="%1."/>
      <w:numFmt w:val="lowerLetter"/>
      <w:start w:val="2"/>
    </w:lvl>
    <w:lvl w:ilvl="1">
      <w:lvlJc w:val="left"/>
      <w:lvlText w:val="%2."/>
      <w:numFmt w:val="lowerRoman"/>
      <w:start w:val="1"/>
    </w:lvl>
  </w:abstractNum>
  <w:abstractNum w:abstractNumId="101">
    <w:nsid w:val="1FBFE8E0"/>
    <w:multiLevelType w:val="hybridMultilevel"/>
    <w:lvl w:ilvl="0">
      <w:lvlJc w:val="left"/>
      <w:lvlText w:val="%1"/>
      <w:numFmt w:val="decimal"/>
      <w:start w:val="1"/>
    </w:lvl>
    <w:lvl w:ilvl="1">
      <w:lvlJc w:val="left"/>
      <w:lvlText w:val="%2."/>
      <w:numFmt w:val="lowerLetter"/>
      <w:start w:val="3"/>
    </w:lvl>
  </w:abstractNum>
  <w:abstractNum w:abstractNumId="102">
    <w:nsid w:val="5092CA79"/>
    <w:multiLevelType w:val="hybridMultilevel"/>
    <w:lvl w:ilvl="0">
      <w:lvlJc w:val="left"/>
      <w:lvlText w:val="%1."/>
      <w:numFmt w:val="decimal"/>
      <w:start w:val="5"/>
    </w:lvl>
    <w:lvl w:ilvl="1">
      <w:lvlJc w:val="left"/>
      <w:lvlText w:val="%2"/>
      <w:numFmt w:val="lowerLetter"/>
      <w:start w:val="1"/>
    </w:lvl>
  </w:abstractNum>
  <w:abstractNum w:abstractNumId="103">
    <w:nsid w:val="1D545C4D"/>
    <w:multiLevelType w:val="hybridMultilevel"/>
    <w:lvl w:ilvl="0">
      <w:lvlJc w:val="left"/>
      <w:lvlText w:val="%1."/>
      <w:numFmt w:val="lowerLetter"/>
      <w:start w:val="1"/>
    </w:lvl>
  </w:abstractNum>
  <w:abstractNum w:abstractNumId="104">
    <w:nsid w:val="59ADEA3D"/>
    <w:multiLevelType w:val="hybridMultilevel"/>
    <w:lvl w:ilvl="0">
      <w:lvlJc w:val="left"/>
      <w:lvlText w:val="%1."/>
      <w:numFmt w:val="decimal"/>
      <w:start w:val="7"/>
    </w:lvl>
    <w:lvl w:ilvl="1">
      <w:lvlJc w:val="left"/>
      <w:lvlText w:val="%2."/>
      <w:numFmt w:val="lowerLetter"/>
      <w:start w:val="1"/>
    </w:lvl>
  </w:abstractNum>
  <w:abstractNum w:abstractNumId="105">
    <w:nsid w:val="288F1A34"/>
    <w:multiLevelType w:val="hybridMultilevel"/>
    <w:lvl w:ilvl="0">
      <w:lvlJc w:val="left"/>
      <w:lvlText w:val="%1"/>
      <w:numFmt w:val="decimal"/>
      <w:start w:val="1"/>
    </w:lvl>
    <w:lvl w:ilvl="1">
      <w:lvlJc w:val="left"/>
      <w:lvlText w:val="%2."/>
      <w:numFmt w:val="lowerLetter"/>
      <w:start w:val="2"/>
    </w:lvl>
  </w:abstractNum>
  <w:abstractNum w:abstractNumId="106">
    <w:nsid w:val="2A155DBC"/>
    <w:multiLevelType w:val="hybridMultilevel"/>
    <w:lvl w:ilvl="0">
      <w:lvlJc w:val="left"/>
      <w:lvlText w:val="%1."/>
      <w:numFmt w:val="decimal"/>
      <w:start w:val="8"/>
    </w:lvl>
    <w:lvl w:ilvl="1">
      <w:lvlJc w:val="left"/>
      <w:lvlText w:val="%2."/>
      <w:numFmt w:val="lowerLetter"/>
      <w:start w:val="1"/>
    </w:lvl>
  </w:abstractNum>
  <w:abstractNum w:abstractNumId="107">
    <w:nsid w:val="1D9F6E5F"/>
    <w:multiLevelType w:val="hybridMultilevel"/>
    <w:lvl w:ilvl="0">
      <w:lvlJc w:val="left"/>
      <w:lvlText w:val="%1."/>
      <w:numFmt w:val="decimal"/>
      <w:start w:val="10"/>
    </w:lvl>
  </w:abstractNum>
  <w:abstractNum w:abstractNumId="108">
    <w:nsid w:val="97E1B4E"/>
    <w:multiLevelType w:val="hybridMultilevel"/>
    <w:lvl w:ilvl="0">
      <w:lvlJc w:val="left"/>
      <w:lvlText w:val="%1."/>
      <w:numFmt w:val="decimal"/>
      <w:start w:val="11"/>
    </w:lvl>
    <w:lvl w:ilvl="1">
      <w:lvlJc w:val="left"/>
      <w:lvlText w:val="%2."/>
      <w:numFmt w:val="lowerLetter"/>
      <w:start w:val="1"/>
    </w:lvl>
  </w:abstractNum>
  <w:abstractNum w:abstractNumId="109">
    <w:nsid w:val="51088277"/>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6" Type="http://schemas.openxmlformats.org/officeDocument/2006/relationships/image" Target="media/image795.png"/><Relationship Id="rId807" Type="http://schemas.openxmlformats.org/officeDocument/2006/relationships/image" Target="media/image796.png"/><Relationship Id="rId822" Type="http://schemas.openxmlformats.org/officeDocument/2006/relationships/image" Target="media/image797.png"/><Relationship Id="rId823" Type="http://schemas.openxmlformats.org/officeDocument/2006/relationships/image" Target="media/image798.png"/><Relationship Id="rId841" Type="http://schemas.openxmlformats.org/officeDocument/2006/relationships/image" Target="media/image799.png"/><Relationship Id="rId842" Type="http://schemas.openxmlformats.org/officeDocument/2006/relationships/image" Target="media/image800.png"/><Relationship Id="rId860" Type="http://schemas.openxmlformats.org/officeDocument/2006/relationships/image" Target="media/image801.png"/><Relationship Id="rId861" Type="http://schemas.openxmlformats.org/officeDocument/2006/relationships/image" Target="media/image802.png"/><Relationship Id="rId867" Type="http://schemas.openxmlformats.org/officeDocument/2006/relationships/image" Target="media/image803.png"/><Relationship Id="rId868" Type="http://schemas.openxmlformats.org/officeDocument/2006/relationships/image" Target="media/image804.png"/><Relationship Id="rId869" Type="http://schemas.openxmlformats.org/officeDocument/2006/relationships/image" Target="media/image805.png"/><Relationship Id="rId870" Type="http://schemas.openxmlformats.org/officeDocument/2006/relationships/image" Target="media/image806.png"/><Relationship Id="rId871" Type="http://schemas.openxmlformats.org/officeDocument/2006/relationships/image" Target="media/image807.png"/><Relationship Id="rId872" Type="http://schemas.openxmlformats.org/officeDocument/2006/relationships/image" Target="media/image808.png"/><Relationship Id="rId873" Type="http://schemas.openxmlformats.org/officeDocument/2006/relationships/image" Target="media/image809.png"/><Relationship Id="rId874" Type="http://schemas.openxmlformats.org/officeDocument/2006/relationships/image" Target="media/image810.png"/><Relationship Id="rId875" Type="http://schemas.openxmlformats.org/officeDocument/2006/relationships/image" Target="media/image811.png"/><Relationship Id="rId876" Type="http://schemas.openxmlformats.org/officeDocument/2006/relationships/image" Target="media/image812.png"/><Relationship Id="rId877" Type="http://schemas.openxmlformats.org/officeDocument/2006/relationships/image" Target="media/image813.png"/><Relationship Id="rId878" Type="http://schemas.openxmlformats.org/officeDocument/2006/relationships/image" Target="media/image814.png"/><Relationship Id="rId879" Type="http://schemas.openxmlformats.org/officeDocument/2006/relationships/image" Target="media/image815.png"/><Relationship Id="rId880" Type="http://schemas.openxmlformats.org/officeDocument/2006/relationships/image" Target="media/image816.png"/><Relationship Id="rId881" Type="http://schemas.openxmlformats.org/officeDocument/2006/relationships/image" Target="media/image817.png"/><Relationship Id="rId882" Type="http://schemas.openxmlformats.org/officeDocument/2006/relationships/image" Target="media/image818.png"/><Relationship Id="rId883" Type="http://schemas.openxmlformats.org/officeDocument/2006/relationships/image" Target="media/image819.png"/><Relationship Id="rId884" Type="http://schemas.openxmlformats.org/officeDocument/2006/relationships/image" Target="media/image820.png"/><Relationship Id="rId885" Type="http://schemas.openxmlformats.org/officeDocument/2006/relationships/image" Target="media/image821.png"/><Relationship Id="rId886" Type="http://schemas.openxmlformats.org/officeDocument/2006/relationships/image" Target="media/image822.png"/><Relationship Id="rId887" Type="http://schemas.openxmlformats.org/officeDocument/2006/relationships/image" Target="media/image823.png"/><Relationship Id="rId888" Type="http://schemas.openxmlformats.org/officeDocument/2006/relationships/image" Target="media/image824.png"/><Relationship Id="rId889" Type="http://schemas.openxmlformats.org/officeDocument/2006/relationships/image" Target="media/image825.png"/><Relationship Id="rId890" Type="http://schemas.openxmlformats.org/officeDocument/2006/relationships/image" Target="media/image826.png"/><Relationship Id="rId891" Type="http://schemas.openxmlformats.org/officeDocument/2006/relationships/image" Target="media/image827.png"/><Relationship Id="rId892" Type="http://schemas.openxmlformats.org/officeDocument/2006/relationships/image" Target="media/image828.png"/><Relationship Id="rId893" Type="http://schemas.openxmlformats.org/officeDocument/2006/relationships/image" Target="media/image829.png"/><Relationship Id="rId894" Type="http://schemas.openxmlformats.org/officeDocument/2006/relationships/image" Target="media/image830.png"/><Relationship Id="rId895" Type="http://schemas.openxmlformats.org/officeDocument/2006/relationships/image" Target="media/image831.png"/><Relationship Id="rId896" Type="http://schemas.openxmlformats.org/officeDocument/2006/relationships/image" Target="media/image832.png"/><Relationship Id="rId897" Type="http://schemas.openxmlformats.org/officeDocument/2006/relationships/image" Target="media/image833.png"/><Relationship Id="rId898" Type="http://schemas.openxmlformats.org/officeDocument/2006/relationships/image" Target="media/image834.png"/><Relationship Id="rId899" Type="http://schemas.openxmlformats.org/officeDocument/2006/relationships/image" Target="media/image835.png"/><Relationship Id="rId900" Type="http://schemas.openxmlformats.org/officeDocument/2006/relationships/image" Target="media/image836.png"/><Relationship Id="rId901" Type="http://schemas.openxmlformats.org/officeDocument/2006/relationships/image" Target="media/image837.png"/><Relationship Id="rId902" Type="http://schemas.openxmlformats.org/officeDocument/2006/relationships/image" Target="media/image838.png"/><Relationship Id="rId903" Type="http://schemas.openxmlformats.org/officeDocument/2006/relationships/image" Target="media/image839.png"/><Relationship Id="rId904" Type="http://schemas.openxmlformats.org/officeDocument/2006/relationships/image" Target="media/image840.png"/><Relationship Id="rId905" Type="http://schemas.openxmlformats.org/officeDocument/2006/relationships/image" Target="media/image841.png"/><Relationship Id="rId906" Type="http://schemas.openxmlformats.org/officeDocument/2006/relationships/image" Target="media/image842.png"/><Relationship Id="rId907" Type="http://schemas.openxmlformats.org/officeDocument/2006/relationships/image" Target="media/image843.png"/><Relationship Id="rId908" Type="http://schemas.openxmlformats.org/officeDocument/2006/relationships/image" Target="media/image844.png"/><Relationship Id="rId909" Type="http://schemas.openxmlformats.org/officeDocument/2006/relationships/image" Target="media/image845.png"/><Relationship Id="rId910" Type="http://schemas.openxmlformats.org/officeDocument/2006/relationships/image" Target="media/image846.png"/><Relationship Id="rId911" Type="http://schemas.openxmlformats.org/officeDocument/2006/relationships/image" Target="media/image847.png"/><Relationship Id="rId912" Type="http://schemas.openxmlformats.org/officeDocument/2006/relationships/image" Target="media/image848.png"/><Relationship Id="rId913" Type="http://schemas.openxmlformats.org/officeDocument/2006/relationships/image" Target="media/image849.png"/><Relationship Id="rId914" Type="http://schemas.openxmlformats.org/officeDocument/2006/relationships/image" Target="media/image850.png"/><Relationship Id="rId915" Type="http://schemas.openxmlformats.org/officeDocument/2006/relationships/image" Target="media/image851.png"/><Relationship Id="rId916" Type="http://schemas.openxmlformats.org/officeDocument/2006/relationships/image" Target="media/image852.png"/><Relationship Id="rId917" Type="http://schemas.openxmlformats.org/officeDocument/2006/relationships/image" Target="media/image853.png"/><Relationship Id="rId918" Type="http://schemas.openxmlformats.org/officeDocument/2006/relationships/image" Target="media/image854.png"/><Relationship Id="rId919" Type="http://schemas.openxmlformats.org/officeDocument/2006/relationships/image" Target="media/image855.png"/><Relationship Id="rId920" Type="http://schemas.openxmlformats.org/officeDocument/2006/relationships/image" Target="media/image856.png"/><Relationship Id="rId921" Type="http://schemas.openxmlformats.org/officeDocument/2006/relationships/image" Target="media/image857.png"/><Relationship Id="rId922" Type="http://schemas.openxmlformats.org/officeDocument/2006/relationships/image" Target="media/image858.png"/><Relationship Id="rId923" Type="http://schemas.openxmlformats.org/officeDocument/2006/relationships/image" Target="media/image859.png"/><Relationship Id="rId924" Type="http://schemas.openxmlformats.org/officeDocument/2006/relationships/image" Target="media/image860.png"/><Relationship Id="rId925" Type="http://schemas.openxmlformats.org/officeDocument/2006/relationships/image" Target="media/image861.png"/><Relationship Id="rId926" Type="http://schemas.openxmlformats.org/officeDocument/2006/relationships/image" Target="media/image862.png"/><Relationship Id="rId927" Type="http://schemas.openxmlformats.org/officeDocument/2006/relationships/image" Target="media/image863.png"/><Relationship Id="rId802" Type="http://schemas.openxmlformats.org/officeDocument/2006/relationships/hyperlink" Target="https://www.sec.gov/Archives/edgar/data/1140536/000119312515240148/d948067dex21.htm" TargetMode="External"/><Relationship Id="rId803" Type="http://schemas.openxmlformats.org/officeDocument/2006/relationships/hyperlink" Target="https://www.sec.gov/Archives/edgar/data/1140536/000119312515383814/d43997dex21.htm" TargetMode="External"/><Relationship Id="rId804" Type="http://schemas.openxmlformats.org/officeDocument/2006/relationships/hyperlink" Target="https://www.sec.gov/Archives/edgar/data/1140536/000119312517203660/d397380dex31.htm" TargetMode="External"/><Relationship Id="rId805" Type="http://schemas.openxmlformats.org/officeDocument/2006/relationships/hyperlink" Target="https://www.sec.gov/Archives/edgar/data/1140536/000156459020006736/wltw-ex41_331.htm" TargetMode="External"/><Relationship Id="rId808" Type="http://schemas.openxmlformats.org/officeDocument/2006/relationships/hyperlink" Target="https://www.sec.gov/Archives/edgar/data/1140536/000119312513336388/d583725dex41.htm" TargetMode="External"/><Relationship Id="rId809" Type="http://schemas.openxmlformats.org/officeDocument/2006/relationships/hyperlink" Target="https://www.sec.gov/Archives/edgar/data/1140536/000119312513336388/d583725dex42.htm" TargetMode="External"/><Relationship Id="rId810" Type="http://schemas.openxmlformats.org/officeDocument/2006/relationships/hyperlink" Target="https://www.sec.gov/Archives/edgar/data/1140536/000119312516498760/d154455dex43.htm" TargetMode="External"/><Relationship Id="rId811" Type="http://schemas.openxmlformats.org/officeDocument/2006/relationships/hyperlink" Target="https://www.sec.gov/Archives/edgar/data/1140536/000119312516513317/d142137dex41.htm" TargetMode="External"/><Relationship Id="rId812" Type="http://schemas.openxmlformats.org/officeDocument/2006/relationships/hyperlink" Target="https://www.sec.gov/Archives/edgar/data/1140536/000119312517259394/d442942dex43.htm" TargetMode="External"/><Relationship Id="rId813" Type="http://schemas.openxmlformats.org/officeDocument/2006/relationships/hyperlink" Target="https://www.sec.gov/Archives/edgar/data/1140536/000119312517172295/d384531dex41.htm" TargetMode="External"/><Relationship Id="rId814" Type="http://schemas.openxmlformats.org/officeDocument/2006/relationships/hyperlink" Target="https://www.sec.gov/Archives/edgar/data/1140536/000119312517172295/d384531dex42.htm" TargetMode="External"/><Relationship Id="rId815" Type="http://schemas.openxmlformats.org/officeDocument/2006/relationships/hyperlink" Target="https://www.sec.gov/Archives/edgar/data/1140536/000119312517259394/d442942dex44.htm" TargetMode="External"/><Relationship Id="rId816" Type="http://schemas.openxmlformats.org/officeDocument/2006/relationships/hyperlink" Target="https://www.sec.gov/Archives/edgar/data/1140536/000119312518270074/d620014dex41.htm" TargetMode="External"/><Relationship Id="rId817" Type="http://schemas.openxmlformats.org/officeDocument/2006/relationships/hyperlink" Target="https://www.sec.gov/Archives/edgar/data/1140536/000119312519242058/d773448dex41.htm" TargetMode="External"/><Relationship Id="rId818" Type="http://schemas.openxmlformats.org/officeDocument/2006/relationships/hyperlink" Target="https://www.sec.gov/Archives/edgar/data/1140536/000119312522155083/d307569dex41.htm" TargetMode="External"/><Relationship Id="rId819" Type="http://schemas.openxmlformats.org/officeDocument/2006/relationships/hyperlink" Target="https://www.sec.gov/Archives/edgar/data/1140536/000119312520155900/d937873dex41.htm" TargetMode="External"/><Relationship Id="rId820" Type="http://schemas.openxmlformats.org/officeDocument/2006/relationships/hyperlink" Target="https://www.sec.gov/Archives/edgar/data/1076532/000119312522058006/d252728dex46.htm" TargetMode="External"/><Relationship Id="rId821" Type="http://schemas.openxmlformats.org/officeDocument/2006/relationships/hyperlink" Target="https://www.sec.gov/Archives/edgar/data/1140536/000119312523147140/d240713dex41.htm" TargetMode="External"/><Relationship Id="rId824" Type="http://schemas.openxmlformats.org/officeDocument/2006/relationships/hyperlink" Target="https://www.sec.gov/Archives/edgar/data/1140536/000119312521294224/d214769dex101.htm" TargetMode="External"/><Relationship Id="rId825" Type="http://schemas.openxmlformats.org/officeDocument/2006/relationships/hyperlink" Target="https://www.sec.gov/Archives/edgar/data/1140536/000119312521294224/d214769dex102.htm" TargetMode="External"/><Relationship Id="rId826" Type="http://schemas.openxmlformats.org/officeDocument/2006/relationships/hyperlink" Target="https://www.sec.gov/Archives/edgar/data/1140536/000095017023035063/wtw-ex10_1.htm" TargetMode="External"/><Relationship Id="rId827" Type="http://schemas.openxmlformats.org/officeDocument/2006/relationships/hyperlink" Target="https://www.sec.gov/Archives/edgar/data/1140536/000095012310000028/h69179exv10w4.htm" TargetMode="External"/><Relationship Id="rId828" Type="http://schemas.openxmlformats.org/officeDocument/2006/relationships/hyperlink" Target="https://www.sec.gov/Archives/edgar/data/1140536/000119312521246964/d218523dex101.htm" TargetMode="External"/><Relationship Id="rId829" Type="http://schemas.openxmlformats.org/officeDocument/2006/relationships/hyperlink" Target="https://www.sec.gov/Archives/edgar/data/1140536/000119312521349136/d414791dex101.htm" TargetMode="External"/><Relationship Id="rId830" Type="http://schemas.openxmlformats.org/officeDocument/2006/relationships/hyperlink" Target="https://www.sec.gov/Archives/edgar/data/1140536/000119312522127378/d248213ddef14a.htm" TargetMode="External"/><Relationship Id="rId831" Type="http://schemas.openxmlformats.org/officeDocument/2006/relationships/hyperlink" Target="https://www.sec.gov/Archives/edgar/data/1140536/000119312512346209/d352817dex101.htm" TargetMode="External"/><Relationship Id="rId832" Type="http://schemas.openxmlformats.org/officeDocument/2006/relationships/hyperlink" Target="https://www.sec.gov/Archives/edgar/data/1140536/000095017022001932/wtw-ex10_9.htm" TargetMode="External"/><Relationship Id="rId833" Type="http://schemas.openxmlformats.org/officeDocument/2006/relationships/hyperlink" Target="https://www.sec.gov/Archives/edgar/data/1140536/000144530513000389/exhibit1032.htm" TargetMode="External"/><Relationship Id="rId834" Type="http://schemas.openxmlformats.org/officeDocument/2006/relationships/hyperlink" Target="https://www.sec.gov/Archives/edgar/data/1140536/000129993309004633/exhibit1.htm" TargetMode="External"/><Relationship Id="rId835" Type="http://schemas.openxmlformats.org/officeDocument/2006/relationships/hyperlink" Target="https://www.sec.gov/Archives/edgar/data/1140536/000095012311074829/u10790exv10w1.htm" TargetMode="External"/><Relationship Id="rId836" Type="http://schemas.openxmlformats.org/officeDocument/2006/relationships/hyperlink" Target="https://www.sec.gov/Archives/edgar/data/1140536/000114053613000015/exhibit106.htm" TargetMode="External"/><Relationship Id="rId837" Type="http://schemas.openxmlformats.org/officeDocument/2006/relationships/hyperlink" Target="https://www.sec.gov/Archives/edgar/data/1140536/000114053618000008/wltw-ex1034_20171231.htm" TargetMode="External"/><Relationship Id="rId838" Type="http://schemas.openxmlformats.org/officeDocument/2006/relationships/hyperlink" Target="https://www.sec.gov/Archives/edgar/data/1140536/000156459019039341/wltw-ex102_76.htm" TargetMode="External"/><Relationship Id="rId839" Type="http://schemas.openxmlformats.org/officeDocument/2006/relationships/hyperlink" Target="https://www.sec.gov/Archives/edgar/data/1140536/000119312516420642/d113564dex101.htm" TargetMode="External"/><Relationship Id="rId840" Type="http://schemas.openxmlformats.org/officeDocument/2006/relationships/hyperlink" Target="https://www.sec.gov/Archives/edgar/data/1140536/000119312516420642/d113564dex102.htm" TargetMode="External"/><Relationship Id="rId843" Type="http://schemas.openxmlformats.org/officeDocument/2006/relationships/hyperlink" Target="https://www.sec.gov/Archives/edgar/data/1140536/000095017022013342/wtw-ex10_1.htm" TargetMode="External"/><Relationship Id="rId844" Type="http://schemas.openxmlformats.org/officeDocument/2006/relationships/hyperlink" Target="https://www.sec.gov/Archives/edgar/data/1140536/000156459021052630/wltw-ex104_93.htm" TargetMode="External"/><Relationship Id="rId845" Type="http://schemas.openxmlformats.org/officeDocument/2006/relationships/hyperlink" Target="https://www.sec.gov/Archives/edgar/data/1140536/000156459021052630/wltw-ex105_94.htm" TargetMode="External"/><Relationship Id="rId846" Type="http://schemas.openxmlformats.org/officeDocument/2006/relationships/hyperlink" Target="https://www.sec.gov/Archives/edgar/data/1140536/000095017022001932/wtw-ex10_45.htm" TargetMode="External"/><Relationship Id="rId847" Type="http://schemas.openxmlformats.org/officeDocument/2006/relationships/hyperlink" Target="https://www.sec.gov/Archives/edgar/data/1140536/000095017023004303/wtw-ex10_21.htm" TargetMode="External"/><Relationship Id="rId848" Type="http://schemas.openxmlformats.org/officeDocument/2006/relationships/hyperlink" Target="https://www.sec.gov/Archives/edgar/data/1140536/000119312521030287/d109756dex101.htm" TargetMode="External"/><Relationship Id="rId849" Type="http://schemas.openxmlformats.org/officeDocument/2006/relationships/hyperlink" Target="https://www.sec.gov/Archives/edgar/data/1140536/000119312516421492/d113853dex991.htm" TargetMode="External"/><Relationship Id="rId850" Type="http://schemas.openxmlformats.org/officeDocument/2006/relationships/hyperlink" Target="https://www.sec.gov/Archives/edgar/data/1103126/000110465906058914/a06-18179_1ex10d21.htm" TargetMode="External"/><Relationship Id="rId851" Type="http://schemas.openxmlformats.org/officeDocument/2006/relationships/hyperlink" Target="https://www.sec.gov/Archives/edgar/data/1103126/000110465906058914/a06-18179_1ex10d22.htm" TargetMode="External"/><Relationship Id="rId852" Type="http://schemas.openxmlformats.org/officeDocument/2006/relationships/hyperlink" Target="https://www.sec.gov/Archives/edgar/data/1470215/000119312512374298/d403185dex1010.htm" TargetMode="External"/><Relationship Id="rId853" Type="http://schemas.openxmlformats.org/officeDocument/2006/relationships/hyperlink" Target="https://www.sec.gov/Archives/edgar/data/1140536/000114053616000074/wtw-ex101_20160930.htm" TargetMode="External"/><Relationship Id="rId854" Type="http://schemas.openxmlformats.org/officeDocument/2006/relationships/hyperlink" Target="https://www.sec.gov/Archives/edgar/data/1140536/000119312518220684/d542210dex993.htm" TargetMode="External"/><Relationship Id="rId855" Type="http://schemas.openxmlformats.org/officeDocument/2006/relationships/hyperlink" Target="https://www.sec.gov/Archives/edgar/data/1140536/000156459021007578/wltw-ex1062_44.htm" TargetMode="External"/><Relationship Id="rId856" Type="http://schemas.openxmlformats.org/officeDocument/2006/relationships/hyperlink" Target="https://www.sec.gov/Archives/edgar/data/1140536/000156459021040668/wltw-ex102_100.htm" TargetMode="External"/><Relationship Id="rId857" Type="http://schemas.openxmlformats.org/officeDocument/2006/relationships/hyperlink" Target="https://www.sec.gov/Archives/edgar/data/1140536/000156459021040668/wltw-ex103_101.htm" TargetMode="External"/><Relationship Id="rId858" Type="http://schemas.openxmlformats.org/officeDocument/2006/relationships/hyperlink" Target="https://www.sec.gov/Archives/edgar/data/1140536/000119312522058337/d452103dex101.htm" TargetMode="External"/><Relationship Id="rId859" Type="http://schemas.openxmlformats.org/officeDocument/2006/relationships/hyperlink" Target="https://www.sec.gov/Archives/edgar/data/1140536/000119312522058337/d452103dex102.htm" TargetMode="External"/><Relationship Id="rId862" Type="http://schemas.openxmlformats.org/officeDocument/2006/relationships/hyperlink" Target="https://www.sec.gov/Archives/edgar/data/1140536/000095017023015309/wtw-ex10_1.htm" TargetMode="External"/><Relationship Id="rId863" Type="http://schemas.openxmlformats.org/officeDocument/2006/relationships/hyperlink" Target="https://www.sec.gov/Archives/edgar/data/1140536/000095017023015309/wtw-ex10_2.htm" TargetMode="External"/><Relationship Id="rId864" Type="http://schemas.openxmlformats.org/officeDocument/2006/relationships/hyperlink" Target="https://www.sec.gov/Archives/edgar/data/1140536/000119312522058337/d452103dex103.htm" TargetMode="External"/><Relationship Id="rId865" Type="http://schemas.openxmlformats.org/officeDocument/2006/relationships/hyperlink" Target="https://www.sec.gov/Archives/edgar/data/1140536/000119312522058337/d452103dex104.htm" TargetMode="External"/><Relationship Id="rId866" Type="http://schemas.openxmlformats.org/officeDocument/2006/relationships/hyperlink" Target="https://www.sec.gov/Archives/edgar/data/1140536/000095017023055453/wtw-ex2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2024-02-22T12:06:11Z</dcterms:created>
  <dcterms:modified xsi:type="dcterms:W3CDTF">2024-02-22T12:06:11Z</dcterms:modified>
</cp:coreProperties>
</file>