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Pullum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Co-Head of Corporate Dev.</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3"/>
        <w:gridCol w:w="899"/>
        <w:gridCol w:w="771"/>
        <w:gridCol w:w="597"/>
        <w:gridCol w:w="337"/>
        <w:gridCol w:w="854"/>
        <w:gridCol w:w="423"/>
        <w:gridCol w:w="586"/>
        <w:gridCol w:w="1422"/>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6.631</w:t>
            </w:r>
            <w:r>
              <w:rPr>
                <w:rFonts w:ascii="Times;serif" w:hAnsi="Times;serif"/>
                <w:color w:val="008000"/>
                <w:position w:val="7"/>
                <w:sz w:val="16"/>
                <w:sz w:val="20"/>
                <w:shd w:fill="FFFFFF" w:val="clear"/>
              </w:rPr>
              <w:t>(1)</w:t>
            </w:r>
            <w:r>
              <w:rPr/>
              <w:t xml:space="preserve"> </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22,448.2439</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1341"/>
        <w:gridCol w:w="801"/>
        <w:gridCol w:w="801"/>
        <w:gridCol w:w="1071"/>
        <w:gridCol w:w="831"/>
        <w:gridCol w:w="846"/>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8.648</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2,628.9323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3.1008</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924.0208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Pullum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834"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872</Words>
  <Characters>4788</Characters>
  <CharactersWithSpaces>5580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