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wtw-20260630.htm"/>
      <w:bookmarkStart w:id="1" w:name="kswtw20260630"/>
      <w:bookmarkEnd w:id="0"/>
      <w:bookmarkEnd w:id="1"/>
      <w:r>
        <w:rPr/>
        <w:t> </w:t>
      </w:r>
    </w:p>
    <w:p>
      <w:pPr>
        <w:pStyle w:val="TextBody"/>
        <w:pBdr>
          <w:bottom w:val="double" w:sz="4" w:space="1" w:color="000000"/>
        </w:pBdr>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June 30, 2026</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rPr>
        <w:t xml:space="preserve"> </w:t>
      </w:r>
      <w:r>
        <w:rPr>
          <w:rFonts w:ascii="Times New Roman" w:hAnsi="Times New Roman"/>
          <w:b/>
          <w:color w:val="000000"/>
          <w:sz w:val="20"/>
        </w:rPr>
        <w:t>to ___________</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001-16503</w:t>
      </w:r>
    </w:p>
    <w:p>
      <w:pPr>
        <w:pStyle w:val="TextBody"/>
        <w:pBdr>
          <w:bottom w:val="single" w:sz="4" w:space="1" w:color="000000"/>
        </w:pBdr>
        <w:bidi w:val="0"/>
        <w:jc w:val="center"/>
        <w:rPr/>
      </w:pPr>
      <w:r>
        <w:rPr/>
        <w:t> </w:t>
      </w:r>
    </w:p>
    <w:p>
      <w:pPr>
        <w:pStyle w:val="TextBody"/>
        <w:bidi w:val="0"/>
        <w:spacing w:before="240" w:after="283"/>
        <w:jc w:val="center"/>
        <w:rPr/>
      </w:pPr>
      <w:r>
        <w:rPr/>
        <w:drawing>
          <wp:inline distT="0" distB="0" distL="0" distR="0">
            <wp:extent cx="1333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33500" cy="428625"/>
                    </a:xfrm>
                    <a:prstGeom prst="rect">
                      <a:avLst/>
                    </a:prstGeom>
                  </pic:spPr>
                </pic:pic>
              </a:graphicData>
            </a:graphic>
          </wp:inline>
        </w:drawing>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WILLIS TOWERS WATSON PUBLIC LIMITED COMPANY</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663" w:type="dxa"/>
        <w:jc w:val="left"/>
        <w:tblInd w:w="0" w:type="dxa"/>
        <w:tblLayout w:type="fixed"/>
        <w:tblCellMar>
          <w:top w:w="28" w:type="dxa"/>
          <w:left w:w="28" w:type="dxa"/>
          <w:bottom w:w="28" w:type="dxa"/>
          <w:right w:w="28" w:type="dxa"/>
        </w:tblCellMar>
      </w:tblPr>
      <w:tblGrid>
        <w:gridCol w:w="3646"/>
        <w:gridCol w:w="146"/>
        <w:gridCol w:w="387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Ireland</w:t>
            </w:r>
          </w:p>
          <w:p>
            <w:pPr>
              <w:pStyle w:val="TableContents"/>
              <w:bidi w:val="0"/>
              <w:jc w:val="center"/>
              <w:rPr>
                <w:rFonts w:ascii="Times New Roman" w:hAnsi="Times New Roman"/>
                <w:i/>
                <w:color w:val="000000"/>
                <w:sz w:val="16"/>
              </w:rPr>
            </w:pPr>
            <w:r>
              <w:rPr>
                <w:rFonts w:ascii="Times New Roman" w:hAnsi="Times New Roman"/>
                <w:i/>
                <w:color w:val="000000"/>
                <w:sz w:val="16"/>
              </w:rPr>
              <w:t>(Jurisdiction of</w:t>
            </w:r>
          </w:p>
          <w:p>
            <w:pPr>
              <w:pStyle w:val="TableContents"/>
              <w:bidi w:val="0"/>
              <w:spacing w:before="0" w:after="283"/>
              <w:ind w:left="0" w:right="0" w:firstLine="30"/>
              <w:jc w:val="center"/>
              <w:rPr>
                <w:rFonts w:ascii="Times New Roman" w:hAnsi="Times New Roman"/>
                <w:i/>
                <w:color w:val="000000"/>
                <w:sz w:val="16"/>
              </w:rPr>
            </w:pPr>
            <w:r>
              <w:rPr>
                <w:rFonts w:ascii="Times New Roman" w:hAnsi="Times New Roman"/>
                <w:i/>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98-0352587</w:t>
            </w:r>
          </w:p>
          <w:p>
            <w:pPr>
              <w:pStyle w:val="TableContents"/>
              <w:bidi w:val="0"/>
              <w:jc w:val="center"/>
              <w:rPr>
                <w:rFonts w:ascii="Times New Roman" w:hAnsi="Times New Roman"/>
                <w:i/>
                <w:color w:val="000000"/>
                <w:sz w:val="16"/>
              </w:rPr>
            </w:pPr>
            <w:r>
              <w:rPr>
                <w:rFonts w:ascii="Times New Roman" w:hAnsi="Times New Roman"/>
                <w:i/>
                <w:color w:val="000000"/>
                <w:sz w:val="16"/>
              </w:rPr>
              <w:t>(I.R.S. Employer</w:t>
            </w:r>
          </w:p>
          <w:p>
            <w:pPr>
              <w:pStyle w:val="TableContents"/>
              <w:bidi w:val="0"/>
              <w:spacing w:before="0" w:after="283"/>
              <w:jc w:val="center"/>
              <w:rPr>
                <w:rFonts w:ascii="Times New Roman" w:hAnsi="Times New Roman"/>
                <w:sz w:val="20"/>
              </w:rPr>
            </w:pPr>
            <w:r>
              <w:rPr>
                <w:rFonts w:ascii="Times New Roman" w:hAnsi="Times New Roman"/>
                <w:i/>
                <w:color w:val="000000"/>
                <w:sz w:val="16"/>
              </w:rPr>
              <w:t>Identification No.)</w:t>
            </w:r>
            <w:r>
              <w:rPr>
                <w:rFonts w:ascii="Times New Roman" w:hAnsi="Times New Roman"/>
                <w:color w:val="000000"/>
                <w:sz w:val="20"/>
              </w:rPr>
              <w:t xml:space="preserve"> </w:t>
            </w:r>
          </w:p>
        </w:tc>
      </w:tr>
      <w:tr>
        <w:trPr/>
        <w:tc>
          <w:tcPr>
            <w:tcW w:w="3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c/o Willis Group Limited</w:t>
            </w:r>
          </w:p>
          <w:p>
            <w:pPr>
              <w:pStyle w:val="TableContents"/>
              <w:bidi w:val="0"/>
              <w:jc w:val="center"/>
              <w:rPr>
                <w:rFonts w:ascii="Times New Roman" w:hAnsi="Times New Roman"/>
                <w:sz w:val="20"/>
              </w:rPr>
            </w:pPr>
            <w:r>
              <w:rPr>
                <w:rFonts w:ascii="Times New Roman" w:hAnsi="Times New Roman"/>
                <w:b/>
                <w:color w:val="000000"/>
                <w:sz w:val="18"/>
              </w:rPr>
              <w:t>51 Lime Street, London</w:t>
            </w:r>
            <w:r>
              <w:rPr>
                <w:rFonts w:ascii="Times New Roman" w:hAnsi="Times New Roman"/>
                <w:color w:val="000000"/>
                <w:sz w:val="20"/>
              </w:rPr>
              <w:t xml:space="preserve"> </w:t>
            </w:r>
            <w:r>
              <w:rPr>
                <w:rFonts w:ascii="Times New Roman" w:hAnsi="Times New Roman"/>
                <w:b/>
                <w:color w:val="000000"/>
                <w:sz w:val="18"/>
              </w:rPr>
              <w:t>EC3M 7DQ, England</w:t>
            </w:r>
          </w:p>
          <w:p>
            <w:pPr>
              <w:pStyle w:val="TableContents"/>
              <w:bidi w:val="0"/>
              <w:spacing w:before="0" w:after="283"/>
              <w:ind w:left="0" w:right="0" w:firstLine="30"/>
              <w:jc w:val="center"/>
              <w:rPr>
                <w:rFonts w:ascii="Times New Roman" w:hAnsi="Times New Roman"/>
                <w:i/>
                <w:color w:val="000000"/>
                <w:sz w:val="16"/>
              </w:rPr>
            </w:pPr>
            <w:r>
              <w:rPr>
                <w:rFonts w:ascii="Times New Roman" w:hAnsi="Times New Roman"/>
                <w:i/>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(011) 44-20-3124-6000</w:t>
            </w:r>
          </w:p>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(Registrant’s telephone number, including area code)</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4246"/>
        <w:gridCol w:w="146"/>
        <w:gridCol w:w="826"/>
        <w:gridCol w:w="146"/>
        <w:gridCol w:w="3316"/>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Ordinary Shares, nominal value $0.000304635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NASDAQ Global Select Market</w:t>
            </w:r>
          </w:p>
        </w:tc>
      </w:tr>
    </w:tbl>
    <w:p>
      <w:pPr>
        <w:pStyle w:val="TextBody"/>
        <w:bidi w:val="0"/>
        <w:spacing w:before="1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9608" w:type="dxa"/>
        <w:jc w:val="left"/>
        <w:tblInd w:w="0" w:type="dxa"/>
        <w:tblLayout w:type="fixed"/>
        <w:tblCellMar>
          <w:top w:w="28" w:type="dxa"/>
          <w:left w:w="28" w:type="dxa"/>
          <w:bottom w:w="28" w:type="dxa"/>
          <w:right w:w="28" w:type="dxa"/>
        </w:tblCellMar>
      </w:tblPr>
      <w:tblGrid>
        <w:gridCol w:w="2086"/>
        <w:gridCol w:w="316"/>
        <w:gridCol w:w="1711"/>
        <w:gridCol w:w="316"/>
        <w:gridCol w:w="2446"/>
        <w:gridCol w:w="316"/>
        <w:gridCol w:w="2056"/>
        <w:gridCol w:w="361"/>
      </w:tblGrid>
      <w:tr>
        <w:trPr/>
        <w:tc>
          <w:tcPr>
            <w:tcW w:w="20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Large accelerated filer</w:t>
            </w:r>
            <w:r>
              <w:rPr>
                <w:rFonts w:ascii="Times New Roman" w:hAnsi="Times New Roman"/>
                <w:color w:val="000000"/>
                <w:sz w:val="20"/>
              </w:rPr>
              <w:t xml:space="preserve">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11"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 xml:space="preserve">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46" w:type="dxa"/>
            <w:tcBorders/>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6"/>
              </w:rPr>
              <w:t xml:space="preserve">Non-accelerated filer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4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6"/>
        </w:rPr>
        <w:t>As of July 27, 2026, there were outstanding 92,871,937</w:t>
      </w:r>
      <w:r>
        <w:rPr>
          <w:rFonts w:ascii="Times New Roman" w:hAnsi="Times New Roman"/>
          <w:color w:val="000000"/>
          <w:sz w:val="20"/>
        </w:rPr>
        <w:t xml:space="preserve"> </w:t>
      </w:r>
      <w:r>
        <w:rPr>
          <w:rFonts w:ascii="Times New Roman" w:hAnsi="Times New Roman"/>
          <w:color w:val="000000"/>
          <w:sz w:val="16"/>
        </w:rPr>
        <w:t>ordinary shares, nominal value $0.000304635 per share, of the registrant.</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WILLIS TOWERS WATSON PUBLIC LIMITED COMPANY</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 TO FORM 10-Q</w:t>
      </w:r>
    </w:p>
    <w:p>
      <w:pPr>
        <w:pStyle w:val="TextBody"/>
        <w:bidi w:val="0"/>
        <w:spacing w:before="240" w:after="283"/>
        <w:jc w:val="center"/>
        <w:rPr>
          <w:rFonts w:ascii="Times New Roman" w:hAnsi="Times New Roman"/>
          <w:sz w:val="20"/>
        </w:rPr>
      </w:pPr>
      <w:r>
        <w:rPr>
          <w:rFonts w:ascii="Times New Roman" w:hAnsi="Times New Roman"/>
          <w:color w:val="000000"/>
          <w:sz w:val="20"/>
        </w:rPr>
        <w:t xml:space="preserve">For the Three and Six Months Ended </w:t>
      </w:r>
      <w:r>
        <w:rPr>
          <w:rFonts w:ascii="Times New Roman" w:hAnsi="Times New Roman"/>
          <w:color w:val="000000"/>
          <w:sz w:val="24"/>
        </w:rPr>
        <w:t>June</w:t>
      </w:r>
      <w:r>
        <w:rPr>
          <w:rFonts w:ascii="Times New Roman" w:hAnsi="Times New Roman"/>
          <w:color w:val="000000"/>
          <w:sz w:val="20"/>
        </w:rPr>
        <w:t xml:space="preserv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93"/>
        <w:gridCol w:w="176"/>
        <w:gridCol w:w="1036"/>
      </w:tblGrid>
      <w:tr>
        <w:trPr/>
        <w:tc>
          <w:tcPr>
            <w:tcW w:w="89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firstLine="30"/>
              <w:jc w:val="left"/>
              <w:rPr>
                <w:sz w:val="4"/>
                <w:szCs w:val="4"/>
              </w:rPr>
            </w:pPr>
            <w:r>
              <w:rPr>
                <w:sz w:val="4"/>
                <w:szCs w:val="4"/>
              </w:rPr>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16"/>
              </w:rPr>
            </w:pPr>
            <w:r>
              <w:rPr>
                <w:rFonts w:ascii="Times New Roman" w:hAnsi="Times New Roman"/>
                <w:color w:val="000000"/>
                <w:sz w:val="16"/>
              </w:rPr>
              <w:t>Page</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ertain_definitions">
              <w:r>
                <w:rPr>
                  <w:rStyle w:val="InternetLink"/>
                  <w:rFonts w:ascii="Times New Roman" w:hAnsi="Times New Roman"/>
                  <w:color w:val="0000FF"/>
                  <w:sz w:val="20"/>
                  <w:u w:val="single"/>
                </w:rPr>
                <w:t>Certain Definitions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disclaimer_regarding_forwardlooking_stat">
              <w:r>
                <w:rPr>
                  <w:rStyle w:val="InternetLink"/>
                  <w:rFonts w:ascii="Times New Roman" w:hAnsi="Times New Roman"/>
                  <w:color w:val="0000FF"/>
                  <w:sz w:val="20"/>
                  <w:u w:val="single"/>
                </w:rPr>
                <w:t>Disclaimer Regarding Forward-looking Statements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4</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_financial_information">
              <w:r>
                <w:rPr>
                  <w:rStyle w:val="InternetLink"/>
                  <w:rFonts w:ascii="Times New Roman" w:hAnsi="Times New Roman"/>
                  <w:color w:val="0000FF"/>
                  <w:sz w:val="20"/>
                  <w:u w:val="single"/>
                </w:rPr>
                <w:t>PART I. FINANCIAL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7</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financial_statements_unaudited">
              <w:r>
                <w:rPr>
                  <w:rStyle w:val="InternetLink"/>
                  <w:rFonts w:ascii="Times New Roman" w:hAnsi="Times New Roman"/>
                  <w:color w:val="0000FF"/>
                  <w:sz w:val="20"/>
                  <w:u w:val="single"/>
                </w:rPr>
                <w:t>Item 1. Financial Statements (Unaudited)</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780"/>
              <w:jc w:val="center"/>
              <w:rPr>
                <w:rFonts w:ascii="Times New Roman" w:hAnsi="Times New Roman"/>
                <w:color w:val="000000"/>
                <w:sz w:val="20"/>
              </w:rPr>
            </w:pPr>
            <w:r>
              <w:rPr>
                <w:rFonts w:ascii="Times New Roman" w:hAnsi="Times New Roman"/>
                <w:color w:val="000000"/>
                <w:sz w:val="20"/>
              </w:rPr>
              <w:t>7</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compre">
              <w:r>
                <w:rPr>
                  <w:rStyle w:val="InternetLink"/>
                  <w:rFonts w:ascii="Times New Roman" w:hAnsi="Times New Roman"/>
                  <w:color w:val="0000FF"/>
                  <w:sz w:val="20"/>
                  <w:u w:val="single"/>
                </w:rPr>
                <w:t>Condensed Consolidated Statements of Comprehensive Income - Three and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420"/>
              <w:jc w:val="center"/>
              <w:rPr>
                <w:rFonts w:ascii="Times New Roman" w:hAnsi="Times New Roman"/>
                <w:color w:val="000000"/>
                <w:sz w:val="20"/>
              </w:rPr>
            </w:pPr>
            <w:r>
              <w:rPr>
                <w:rFonts w:ascii="Times New Roman" w:hAnsi="Times New Roman"/>
                <w:color w:val="000000"/>
                <w:sz w:val="20"/>
              </w:rPr>
              <w:t>7</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balance_sheets">
              <w:r>
                <w:rPr>
                  <w:rStyle w:val="InternetLink"/>
                  <w:rFonts w:ascii="Times New Roman" w:hAnsi="Times New Roman"/>
                  <w:color w:val="0000FF"/>
                  <w:sz w:val="20"/>
                  <w:u w:val="single"/>
                </w:rPr>
                <w:t>Condensed Consolidated Balance Sheets - June 30, 2026 and December 31,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420"/>
              <w:jc w:val="center"/>
              <w:rPr>
                <w:rFonts w:ascii="Times New Roman" w:hAnsi="Times New Roman"/>
                <w:color w:val="000000"/>
                <w:sz w:val="20"/>
              </w:rPr>
            </w:pPr>
            <w:r>
              <w:rPr>
                <w:rFonts w:ascii="Times New Roman" w:hAnsi="Times New Roman"/>
                <w:color w:val="000000"/>
                <w:sz w:val="20"/>
              </w:rPr>
              <w:t>8</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cash_f">
              <w:r>
                <w:rPr>
                  <w:rStyle w:val="InternetLink"/>
                  <w:rFonts w:ascii="Times New Roman" w:hAnsi="Times New Roman"/>
                  <w:color w:val="0000FF"/>
                  <w:sz w:val="20"/>
                  <w:u w:val="single"/>
                </w:rPr>
                <w:t>Condensed Consolidated Statements of Cash Flows -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420"/>
              <w:jc w:val="center"/>
              <w:rPr>
                <w:rFonts w:ascii="Times New Roman" w:hAnsi="Times New Roman"/>
                <w:color w:val="000000"/>
                <w:sz w:val="20"/>
              </w:rPr>
            </w:pPr>
            <w:r>
              <w:rPr>
                <w:rFonts w:ascii="Times New Roman" w:hAnsi="Times New Roman"/>
                <w:color w:val="000000"/>
                <w:sz w:val="20"/>
              </w:rPr>
              <w:t>9</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condensed_consolidated_statements_change">
              <w:r>
                <w:rPr>
                  <w:rStyle w:val="InternetLink"/>
                  <w:rFonts w:ascii="Times New Roman" w:hAnsi="Times New Roman"/>
                  <w:color w:val="0000FF"/>
                  <w:sz w:val="20"/>
                  <w:u w:val="single"/>
                </w:rPr>
                <w:t>Condensed Consolidated Statements of Changes in Equity - Three and Six Months Ended June 30, 2026 and 2025</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420"/>
              <w:jc w:val="center"/>
              <w:rPr>
                <w:rFonts w:ascii="Times New Roman" w:hAnsi="Times New Roman"/>
                <w:color w:val="000000"/>
                <w:sz w:val="20"/>
              </w:rPr>
            </w:pPr>
            <w:r>
              <w:rPr>
                <w:rFonts w:ascii="Times New Roman" w:hAnsi="Times New Roman"/>
                <w:color w:val="000000"/>
                <w:sz w:val="20"/>
              </w:rPr>
              <w:t>10</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12</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32</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49</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controls_procedures">
              <w:r>
                <w:rPr>
                  <w:rStyle w:val="InternetLink"/>
                  <w:rFonts w:ascii="Times New Roman" w:hAnsi="Times New Roman"/>
                  <w:color w:val="0000FF"/>
                  <w:sz w:val="20"/>
                  <w:u w:val="single"/>
                </w:rPr>
                <w:t>Item 4. Controls and Procedures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49</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part_ii_or_information">
              <w:r>
                <w:rPr>
                  <w:rStyle w:val="InternetLink"/>
                  <w:rFonts w:ascii="Times New Roman" w:hAnsi="Times New Roman"/>
                  <w:color w:val="0000FF"/>
                  <w:sz w:val="20"/>
                  <w:u w:val="single"/>
                </w:rPr>
                <w:t>PART II. 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51</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_legal_proceedings">
              <w:r>
                <w:rPr>
                  <w:rStyle w:val="InternetLink"/>
                  <w:rFonts w:ascii="Times New Roman" w:hAnsi="Times New Roman"/>
                  <w:color w:val="0000FF"/>
                  <w:sz w:val="20"/>
                  <w:u w:val="single"/>
                </w:rPr>
                <w:t>Item 1. Legal Proceedings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51</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1a_risk_factors">
              <w:r>
                <w:rPr>
                  <w:rStyle w:val="InternetLink"/>
                  <w:rFonts w:ascii="Times New Roman" w:hAnsi="Times New Roman"/>
                  <w:color w:val="0000FF"/>
                  <w:sz w:val="20"/>
                  <w:u w:val="single"/>
                </w:rPr>
                <w:t>Item 1A. Risk Factors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51</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51</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52</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52</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5_or_information">
              <w:r>
                <w:rPr>
                  <w:rStyle w:val="InternetLink"/>
                  <w:rFonts w:ascii="Times New Roman" w:hAnsi="Times New Roman"/>
                  <w:color w:val="0000FF"/>
                  <w:sz w:val="20"/>
                  <w:u w:val="single"/>
                </w:rPr>
                <w:t>Item 5. Other Information</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52</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item_6_exhibits">
              <w:r>
                <w:rPr>
                  <w:rStyle w:val="InternetLink"/>
                  <w:rFonts w:ascii="Times New Roman" w:hAnsi="Times New Roman"/>
                  <w:color w:val="0000FF"/>
                  <w:sz w:val="20"/>
                  <w:u w:val="single"/>
                </w:rPr>
                <w:t>Item 6. Exhibits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53</w:t>
            </w:r>
          </w:p>
        </w:tc>
      </w:tr>
      <w:tr>
        <w:trPr/>
        <w:tc>
          <w:tcPr>
            <w:tcW w:w="8993" w:type="dxa"/>
            <w:tcBorders/>
            <w:tcMar>
              <w:top w:w="0" w:type="dxa"/>
              <w:left w:w="0" w:type="dxa"/>
              <w:bottom w:w="0" w:type="dxa"/>
              <w:right w:w="0" w:type="dxa"/>
            </w:tcMar>
            <w:vAlign w:val="center"/>
          </w:tcPr>
          <w:p>
            <w:pPr>
              <w:pStyle w:val="TableContents"/>
              <w:bidi w:val="0"/>
              <w:spacing w:before="0" w:after="283"/>
              <w:ind w:left="0" w:right="0" w:firstLine="30"/>
              <w:jc w:val="left"/>
              <w:rPr/>
            </w:pPr>
            <w:hyperlink w:anchor="signatures">
              <w:r>
                <w:rPr>
                  <w:rStyle w:val="InternetLink"/>
                  <w:rFonts w:ascii="Times New Roman" w:hAnsi="Times New Roman"/>
                  <w:color w:val="0000FF"/>
                  <w:sz w:val="20"/>
                  <w:u w:val="single"/>
                </w:rPr>
                <w:t>Signatures</w:t>
              </w:r>
            </w:hyperlink>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center"/>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bl>
    <w:p>
      <w:pPr>
        <w:pStyle w:val="TextBody"/>
        <w:bidi w:val="0"/>
        <w:jc w:val="left"/>
        <w:rPr/>
      </w:pPr>
      <w:bookmarkStart w:id="2" w:name="wltw_20180630_10q_htm_s677566182e865482b"/>
      <w:bookmarkStart w:id="3" w:name="eolpage3"/>
      <w:bookmarkEnd w:id="2"/>
      <w:bookmarkEnd w:id="3"/>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certain_definitions"/>
      <w:bookmarkEnd w:id="4"/>
      <w:r>
        <w:rPr>
          <w:rFonts w:ascii="Times New Roman" w:hAnsi="Times New Roman"/>
          <w:b/>
          <w:color w:val="000000"/>
          <w:sz w:val="20"/>
        </w:rPr>
        <w:t>Certain Definitions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definitions apply throughout this quarterly report unless the context requires otherwise: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65"/>
        <w:gridCol w:w="176"/>
        <w:gridCol w:w="5564"/>
      </w:tblGrid>
      <w:tr>
        <w:trPr/>
        <w:tc>
          <w:tcPr>
            <w:tcW w:w="446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564" w:type="dxa"/>
            <w:tcBorders/>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We’, ‘Us’, ‘Company’, ‘Willis Towers Watson’, ‘Our’, ‘Willis Towers Watson plc’ or ‘WTW’</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Willis Towers Watson Public Limited Company, a company organized under the laws of Ireland, and its subsidiaries</w:t>
            </w:r>
          </w:p>
        </w:tc>
      </w:tr>
      <w:tr>
        <w:trPr/>
        <w:tc>
          <w:tcPr>
            <w:tcW w:w="4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both"/>
              <w:rPr>
                <w:color w:val="000000"/>
              </w:rPr>
            </w:pPr>
            <w:r>
              <w:rPr>
                <w:color w:val="000000"/>
              </w:rPr>
              <w:t>‘</w:t>
            </w:r>
            <w:r>
              <w:rPr>
                <w:rFonts w:ascii="Times New Roman" w:hAnsi="Times New Roman"/>
                <w:color w:val="000000"/>
                <w:sz w:val="20"/>
              </w:rPr>
              <w:t>shares’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The ordinary shares of Willis Towers Watson Public Limited Company, nominal value $0.000304635 per share</w:t>
            </w:r>
          </w:p>
        </w:tc>
      </w:tr>
      <w:tr>
        <w:trPr/>
        <w:tc>
          <w:tcPr>
            <w:tcW w:w="4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color w:val="000000"/>
                <w:sz w:val="20"/>
              </w:rPr>
              <w:t>U.S.’</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States</w:t>
            </w:r>
          </w:p>
        </w:tc>
      </w:tr>
      <w:tr>
        <w:trPr/>
        <w:tc>
          <w:tcPr>
            <w:tcW w:w="4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U.K.’</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Kingdom</w:t>
            </w:r>
          </w:p>
        </w:tc>
      </w:tr>
      <w:tr>
        <w:trPr/>
        <w:tc>
          <w:tcPr>
            <w:tcW w:w="44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E.U.’</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European Union or European Union 27 (the number of member countries following the United Kingdom’s exit)</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U.S. GAAP’</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States Generally Accepted Accounting Principles</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FASB’</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ASC’</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Accounting Standards Codification</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ASU’</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Accounting Standards Update</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SEC’</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United States Securities and Exchange Commission</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4465" w:type="dxa"/>
            <w:tcBorders/>
            <w:tcMar>
              <w:top w:w="0" w:type="dxa"/>
              <w:left w:w="0" w:type="dxa"/>
              <w:bottom w:w="0" w:type="dxa"/>
              <w:right w:w="0" w:type="dxa"/>
            </w:tcMar>
            <w:vAlign w:val="center"/>
          </w:tcPr>
          <w:p>
            <w:pPr>
              <w:pStyle w:val="TableContents"/>
              <w:bidi w:val="0"/>
              <w:spacing w:before="0" w:after="283"/>
              <w:ind w:left="0" w:right="0" w:firstLine="30"/>
              <w:jc w:val="left"/>
              <w:rPr>
                <w:color w:val="000000"/>
              </w:rPr>
            </w:pPr>
            <w:r>
              <w:rPr>
                <w:color w:val="000000"/>
              </w:rPr>
              <w:t>‘</w:t>
            </w:r>
            <w:r>
              <w:rPr>
                <w:rFonts w:ascii="Times New Roman" w:hAnsi="Times New Roman"/>
                <w:color w:val="000000"/>
                <w:sz w:val="20"/>
              </w:rPr>
              <w:t>EBITDA’</w:t>
            </w:r>
          </w:p>
        </w:tc>
        <w:tc>
          <w:tcPr>
            <w:tcW w:w="176"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c>
          <w:tcPr>
            <w:tcW w:w="5564"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Earnings before Interest, Taxes, Depreciation and Amortization</w:t>
            </w:r>
          </w:p>
        </w:tc>
      </w:tr>
    </w:tbl>
    <w:p>
      <w:pPr>
        <w:pStyle w:val="TextBody"/>
        <w:bidi w:val="0"/>
        <w:spacing w:before="18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 w:name="wltw_20180630_10q_htm_s5c87da84c0f45a628"/>
      <w:bookmarkStart w:id="6" w:name="eolpage4"/>
      <w:bookmarkEnd w:id="5"/>
      <w:bookmarkEnd w:id="6"/>
      <w:r>
        <w:rPr>
          <w:rFonts w:ascii="Times New Roman" w:hAnsi="Times New Roman"/>
          <w:b/>
          <w:color w:val="000000"/>
          <w:sz w:val="20"/>
        </w:rPr>
        <w:t>Disclaimer Regarding For</w:t>
      </w:r>
      <w:bookmarkStart w:id="7" w:name="disclaimer_regarding_forwardlooking_stat"/>
      <w:bookmarkEnd w:id="7"/>
      <w:r>
        <w:rPr>
          <w:rFonts w:ascii="Times New Roman" w:hAnsi="Times New Roman"/>
          <w:b/>
          <w:color w:val="000000"/>
          <w:sz w:val="20"/>
        </w:rPr>
        <w:t>ward-looking Statements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acquisitions of Newfront Insurance Holdings, Inc. and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or investment initiatives including our newly launched artificial intelligence acceleration plan (the ‘Plan’); our cybersecurity and privacy processes; our application of artificial intelligence technologies throughout our business and our ability to compete with artificial intelligence technologies offered by new or existing competitors;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are important risks, uncertainties, events and factors that could cause our actual results or performance to differ materially from those in the forward-looking statements contained in this document,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establish, execute and achieve our global business strategy as it evolves;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fully realize the anticipated benefits of our growth strategy, including inorganic growth through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achieve our short-term and long-term financial goals, including with respect to our cash flow generation, the timing with respect to such achievement and how such achievement may be impacted by any of the risks or uncertainties set forth herein or elsewhere;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related to changes in general economic conditions, business and political conditions, changes in the financial markets, inflation, credit availability, increased interest rates, changes in trade policies, increased tariffs and retaliatory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divestitures or acquisitions, including our ability to integrate or manage acquired businesses or carve-out businesses to be disposed, as well as our ability to identify and successfully execute on opportunities for strategic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hedge against fluctuations in foreign currency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competition that we face and the potential for loss of market share and/or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seasonality and differences in timing of renewals and non-recurring revenue increases from disposals and book-of-business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comply with complex and evolving regulations related to data privacy, cybersecurity and artificial intelligence;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interruptions to or loss of our information processing capabilities, or failure to effectively maintain and upgrade our information technology resources and systems and related risks of cybersecurity breaches or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insufficiency of client data protection, potential breaches of information systems or insufficient safeguards against cybersecurity breaches or incidents;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apply artificial intelligence and other technology, data and analytics solutions, including through the use of artificial intelligence, for internal operations, maintaining industry standards, meeting client preferences and gaining competitive advantage,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competitive products (including those incorporating artificial intelligence) and pricing, including the level of success of new product developments and related global expansion;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increased liability or new legal claims arising from or relating to our operations, products and/or services, and expectations, intentions and outcomes relating to outstanding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substantial negative outcomes on existing or potential future litigation or investigation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regulatory environment in which we operate, including, among other risks, the impacts of pending competition law and regulatory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extensive government regulation;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regulatory claims, government inquiries or investigations or the potential for regulatory action in various jurisdictions where we operate around the world;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direct-to-consumer sales and marketing solutions with our existing offerings and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manage organizational changes, including as a result of our investments in improving systems and processes or other initiatives, and in connection with our acquisition and divestiture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relating to the implementation of the Plan;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disasters or business continuity problems;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relating to the adverse impacts of natural or man-made disasters such as health pandemics and other world health crises on the demand for our products and services, our cash flows and our business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increase free cash flow through enhanced billing, collection and other working capital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properly identify and manage conflicts of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including from association with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third-party service providers and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changes in our management structures and in senior leadership;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hire key employees and maintain an appropriate number of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corporate culture;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doing business internationally, including the impact of global trade policies and retaliatory considerations as well as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of sanctions imposed by governments, or changes to associated sanction regulations and related counter-sanctions;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and developments in the insurance industry or the U.S. healthcare system, including those related to Medicare, and any other changes and developments in legal, regulatory, economic, business or operational conditions that could impact our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protect our intellectual property rights, or the potential infringement upon the intellectual property rights of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our capital structure, including indebtedness amounts, the limitations imposed by the covenants in the documents governing such indebtedness and the maintenance of the financial and disclosure controls and procedures of each;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financing on favorable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changes in our credit ratings;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recent or potential changes in state, federal, and/or foreign tax laws and regulations, including those that may impose additional excise taxes or impact our effective tax rate, including H.R. 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income tax consequences to U.S. persons owning at least 10%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 estimates or assumptions;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recognition of future impairment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or arising from environmental, social and governance (‘ESG’)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 in revenue against our relatively fixed or higher-than-expected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that market downturns can have a significant impact on investments made across our portfolios;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laws of Ireland being different from the laws of the U.S. and potentially affording less protections to the holders of our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holding company structure potentially preventing us from being able to receive dividends or other distributions in needed amounts from our subsidiaries.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8" w:name="fis_part_i"/>
      <w:bookmarkStart w:id="9" w:name="wltw_20180630_10q_htm_s92b183b4580155a19"/>
      <w:bookmarkEnd w:id="8"/>
      <w:bookmarkEnd w:id="9"/>
      <w:r>
        <w:rPr>
          <w:rFonts w:ascii="Times New Roman" w:hAnsi="Times New Roman"/>
          <w:b/>
          <w:color w:val="000000"/>
          <w:sz w:val="20"/>
        </w:rPr>
        <w:t>PART I. FINANCI</w:t>
      </w:r>
      <w:bookmarkStart w:id="10" w:name="part_i_financial_information"/>
      <w:bookmarkEnd w:id="10"/>
      <w:r>
        <w:rPr>
          <w:rFonts w:ascii="Times New Roman" w:hAnsi="Times New Roman"/>
          <w:b/>
          <w:color w:val="000000"/>
          <w:sz w:val="20"/>
        </w:rPr>
        <w:t>AL INFORMATION</w:t>
      </w:r>
    </w:p>
    <w:p>
      <w:pPr>
        <w:pStyle w:val="TextBody"/>
        <w:bidi w:val="0"/>
        <w:jc w:val="left"/>
        <w:rPr>
          <w:rFonts w:ascii="Times New Roman" w:hAnsi="Times New Roman"/>
          <w:b/>
          <w:color w:val="000000"/>
          <w:sz w:val="20"/>
        </w:rPr>
      </w:pPr>
      <w:bookmarkStart w:id="11" w:name="item_1_financial_statements_unaudited"/>
      <w:bookmarkEnd w:id="11"/>
      <w:r>
        <w:rPr>
          <w:rFonts w:ascii="Times New Roman" w:hAnsi="Times New Roman"/>
          <w:b/>
          <w:color w:val="000000"/>
          <w:sz w:val="20"/>
        </w:rPr>
        <w:t>ITEM 1. FINANCIAL STATEMENTS (UNAUDITED)</w:t>
      </w:r>
    </w:p>
    <w:p>
      <w:pPr>
        <w:pStyle w:val="TextBody"/>
        <w:bidi w:val="0"/>
        <w:spacing w:before="180" w:after="283"/>
        <w:jc w:val="center"/>
        <w:rPr>
          <w:rFonts w:ascii="Times New Roman" w:hAnsi="Times New Roman"/>
          <w:b/>
          <w:color w:val="000000"/>
          <w:sz w:val="20"/>
        </w:rPr>
      </w:pPr>
      <w:bookmarkStart w:id="12" w:name="willis_towers_watson"/>
      <w:bookmarkEnd w:id="12"/>
      <w:r>
        <w:rPr>
          <w:rFonts w:ascii="Times New Roman" w:hAnsi="Times New Roman"/>
          <w:b/>
          <w:color w:val="000000"/>
          <w:sz w:val="20"/>
        </w:rPr>
        <w:t>WILLIS TOWERS WATSON PUBLIC LIMITED COMPANY</w:t>
      </w:r>
    </w:p>
    <w:p>
      <w:pPr>
        <w:pStyle w:val="TextBody"/>
        <w:bidi w:val="0"/>
        <w:jc w:val="center"/>
        <w:rPr>
          <w:rFonts w:ascii="Times New Roman" w:hAnsi="Times New Roman"/>
          <w:b/>
          <w:color w:val="000000"/>
          <w:sz w:val="20"/>
        </w:rPr>
      </w:pPr>
      <w:bookmarkStart w:id="13" w:name="condensed_consolidated_statements_compre"/>
      <w:bookmarkEnd w:id="13"/>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color w:val="000000"/>
          <w:sz w:val="20"/>
        </w:rPr>
      </w:pPr>
      <w:r>
        <w:rPr>
          <w:rFonts w:ascii="Times New Roman" w:hAnsi="Times New Roman"/>
          <w:color w:val="000000"/>
          <w:sz w:val="20"/>
        </w:rPr>
        <w:t>(In millions of U.S. dollars,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9997" w:type="dxa"/>
        <w:jc w:val="left"/>
        <w:tblInd w:w="0" w:type="dxa"/>
        <w:tblLayout w:type="fixed"/>
        <w:tblCellMar>
          <w:top w:w="28" w:type="dxa"/>
          <w:left w:w="28" w:type="dxa"/>
          <w:bottom w:w="28" w:type="dxa"/>
          <w:right w:w="28" w:type="dxa"/>
        </w:tblCellMar>
      </w:tblPr>
      <w:tblGrid>
        <w:gridCol w:w="5296"/>
        <w:gridCol w:w="146"/>
        <w:gridCol w:w="211"/>
        <w:gridCol w:w="571"/>
        <w:gridCol w:w="166"/>
        <w:gridCol w:w="146"/>
        <w:gridCol w:w="211"/>
        <w:gridCol w:w="571"/>
        <w:gridCol w:w="166"/>
        <w:gridCol w:w="146"/>
        <w:gridCol w:w="211"/>
        <w:gridCol w:w="571"/>
        <w:gridCol w:w="166"/>
        <w:gridCol w:w="146"/>
        <w:gridCol w:w="211"/>
        <w:gridCol w:w="571"/>
        <w:gridCol w:w="49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providing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costs of providing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income/(loss),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FROM OPERATIONS BEFORE INCOME TAXES </w:t>
              <w:br/>
              <w:t>   AND INTEREST IN EARNINGS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for)/benefit from income taxes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FROM OPERATIONS BEFORE INTEREST IN </w:t>
              <w:br/>
              <w:t>   EARNINGS OF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Interests in earnings of associates, net of tax</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non-controlling interests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491" w:type="dxa"/>
            <w:tcBorders>
              <w:bottom w:val="double" w:sz="6"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before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non-controlling interests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WTW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fis_balance_sheet"/>
      <w:bookmarkStart w:id="15" w:name="wltw_20180630_10q_htm_s3112c918b5fd56a79"/>
      <w:bookmarkEnd w:id="14"/>
      <w:bookmarkEnd w:id="15"/>
      <w:r>
        <w:rPr>
          <w:rFonts w:ascii="Times New Roman" w:hAnsi="Times New Roman"/>
          <w:b/>
          <w:color w:val="000000"/>
          <w:sz w:val="20"/>
        </w:rPr>
        <w:t>WILLIS TOWERS WATSON PUBLIC LIMITED COMPANY</w:t>
      </w:r>
    </w:p>
    <w:p>
      <w:pPr>
        <w:pStyle w:val="TextBody"/>
        <w:bidi w:val="0"/>
        <w:jc w:val="center"/>
        <w:rPr>
          <w:rFonts w:ascii="Times New Roman" w:hAnsi="Times New Roman"/>
          <w:b/>
          <w:color w:val="000000"/>
          <w:sz w:val="20"/>
        </w:rPr>
      </w:pPr>
      <w:bookmarkStart w:id="16" w:name="condensed_consolidated_balance_sheets"/>
      <w:bookmarkEnd w:id="16"/>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millions of U.S. dollars, except share data)</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left"/>
        <w:rPr/>
      </w:pPr>
      <w:r>
        <w:rPr/>
        <w:t> </w:t>
      </w:r>
    </w:p>
    <w:tbl>
      <w:tblPr>
        <w:tblW w:w="7287" w:type="dxa"/>
        <w:jc w:val="left"/>
        <w:tblInd w:w="0" w:type="dxa"/>
        <w:tblLayout w:type="fixed"/>
        <w:tblCellMar>
          <w:top w:w="28" w:type="dxa"/>
          <w:left w:w="28" w:type="dxa"/>
          <w:bottom w:w="28" w:type="dxa"/>
          <w:right w:w="28" w:type="dxa"/>
        </w:tblCellMar>
      </w:tblPr>
      <w:tblGrid>
        <w:gridCol w:w="4356"/>
        <w:gridCol w:w="146"/>
        <w:gridCol w:w="211"/>
        <w:gridCol w:w="676"/>
        <w:gridCol w:w="166"/>
        <w:gridCol w:w="146"/>
        <w:gridCol w:w="260"/>
        <w:gridCol w:w="835"/>
        <w:gridCol w:w="491"/>
      </w:tblGrid>
      <w:tr>
        <w:trPr/>
        <w:tc>
          <w:tcPr>
            <w:tcW w:w="4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Pension benefits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Liability for pension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WTW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29,530</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pPr>
      <w:r>
        <w:rPr>
          <w:rFonts w:ascii="Times New Roman" w:hAnsi="Times New Roman"/>
          <w:color w:val="000000"/>
          <w:sz w:val="16"/>
        </w:rPr>
        <w:t>Equity includes (a) Ordinary shares $0.000304635</w:t>
      </w:r>
      <w:r>
        <w:rPr>
          <w:color w:val="000000"/>
        </w:rPr>
        <w:t xml:space="preserve"> </w:t>
      </w:r>
      <w:r>
        <w:rPr>
          <w:rFonts w:ascii="Times New Roman" w:hAnsi="Times New Roman"/>
          <w:color w:val="000000"/>
          <w:sz w:val="16"/>
        </w:rPr>
        <w:t>nominal value; Authorized 1,510,003,775; Issued</w:t>
      </w:r>
      <w:r>
        <w:rPr>
          <w:color w:val="000000"/>
        </w:rPr>
        <w:t xml:space="preserve"> </w:t>
      </w:r>
      <w:r>
        <w:rPr>
          <w:rFonts w:ascii="Times New Roman" w:hAnsi="Times New Roman"/>
          <w:color w:val="000000"/>
          <w:sz w:val="16"/>
        </w:rPr>
        <w:t>93,003,869</w:t>
      </w:r>
      <w:r>
        <w:rPr>
          <w:color w:val="000000"/>
        </w:rPr>
        <w:t xml:space="preserve"> </w:t>
      </w:r>
      <w:r>
        <w:rPr>
          <w:rFonts w:ascii="Times New Roman" w:hAnsi="Times New Roman"/>
          <w:color w:val="000000"/>
          <w:sz w:val="16"/>
        </w:rPr>
        <w:t>(2026) and 95,079,835</w:t>
      </w:r>
      <w:r>
        <w:rPr>
          <w:color w:val="000000"/>
        </w:rPr>
        <w:t xml:space="preserve"> </w:t>
      </w:r>
      <w:r>
        <w:rPr>
          <w:rFonts w:ascii="Times New Roman" w:hAnsi="Times New Roman"/>
          <w:color w:val="000000"/>
          <w:sz w:val="16"/>
        </w:rPr>
        <w:t>(2025); Outstanding 93,003,869</w:t>
      </w:r>
      <w:r>
        <w:rPr>
          <w:color w:val="000000"/>
        </w:rPr>
        <w:t xml:space="preserve"> </w:t>
      </w:r>
      <w:r>
        <w:rPr>
          <w:rFonts w:ascii="Times New Roman" w:hAnsi="Times New Roman"/>
          <w:color w:val="000000"/>
          <w:sz w:val="16"/>
        </w:rPr>
        <w:t>(2026) and 95,079,835</w:t>
      </w:r>
      <w:r>
        <w:rPr>
          <w:color w:val="000000"/>
        </w:rPr>
        <w:t xml:space="preserve"> </w:t>
      </w:r>
      <w:r>
        <w:rPr>
          <w:rFonts w:ascii="Times New Roman" w:hAnsi="Times New Roman"/>
          <w:color w:val="000000"/>
          <w:sz w:val="16"/>
        </w:rPr>
        <w:t>(2025) and (b) Preference shares, $0.000115</w:t>
      </w:r>
      <w:r>
        <w:rPr>
          <w:color w:val="000000"/>
        </w:rPr>
        <w:t xml:space="preserve"> </w:t>
      </w:r>
      <w:r>
        <w:rPr>
          <w:rFonts w:ascii="Times New Roman" w:hAnsi="Times New Roman"/>
          <w:color w:val="000000"/>
          <w:sz w:val="16"/>
        </w:rPr>
        <w:t>nominal value; Authorized 1,000,000,000</w:t>
      </w:r>
      <w:r>
        <w:rPr>
          <w:color w:val="000000"/>
        </w:rPr>
        <w:t xml:space="preserve"> </w:t>
      </w:r>
      <w:r>
        <w:rPr>
          <w:rFonts w:ascii="Times New Roman" w:hAnsi="Times New Roman"/>
          <w:color w:val="000000"/>
          <w:sz w:val="16"/>
        </w:rPr>
        <w:t>and Issued none</w:t>
      </w:r>
      <w:r>
        <w:rPr>
          <w:color w:val="000000"/>
        </w:rPr>
        <w:t xml:space="preserve"> </w:t>
      </w:r>
      <w:r>
        <w:rPr>
          <w:rFonts w:ascii="Times New Roman" w:hAnsi="Times New Roman"/>
          <w:color w:val="000000"/>
          <w:sz w:val="16"/>
        </w:rPr>
        <w:t>in 2026 and 2025.</w:t>
      </w:r>
    </w:p>
    <w:p>
      <w:pPr>
        <w:pStyle w:val="TextBody"/>
        <w:bidi w:val="0"/>
        <w:spacing w:before="40" w:after="283"/>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WILLIS TOWERS WATSON PUBLIC LIMITED COMPANY</w:t>
      </w:r>
    </w:p>
    <w:p>
      <w:pPr>
        <w:pStyle w:val="TextBody"/>
        <w:bidi w:val="0"/>
        <w:jc w:val="center"/>
        <w:rPr>
          <w:rFonts w:ascii="Times New Roman" w:hAnsi="Times New Roman"/>
          <w:b/>
          <w:color w:val="000000"/>
          <w:sz w:val="20"/>
        </w:rPr>
      </w:pPr>
      <w:bookmarkStart w:id="17" w:name="condensed_consolidated_statements_cash_f"/>
      <w:bookmarkEnd w:id="1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millions of U.S. dollars)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5"/>
        <w:gridCol w:w="146"/>
        <w:gridCol w:w="224"/>
        <w:gridCol w:w="673"/>
        <w:gridCol w:w="176"/>
        <w:gridCol w:w="155"/>
        <w:gridCol w:w="224"/>
        <w:gridCol w:w="608"/>
        <w:gridCol w:w="814"/>
      </w:tblGrid>
      <w:tr>
        <w:trPr/>
        <w:tc>
          <w:tcPr>
            <w:tcW w:w="7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total 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periodic cost of defined benefit pension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doubtful receivables from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Benefit from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foreign exchange (gain)/loss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 net of effects from purchase of</w:t>
              <w:br/>
              <w:t>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fixed assets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operations,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 to investments in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sale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purchases of held-to-maturity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purchases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 of other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proceeds from fiduciary funds held for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deferred and contingent consideration related to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employee taxes on withholding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and dividends paid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(DECREASE)/INCREASE IN CASH, CASH EQUIVALENTS AND RESTRICTED CASH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BEGINNING OF PERIOD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END OF PERIOD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pPr>
      <w:r>
        <w:rPr>
          <w:rFonts w:ascii="Times New Roman" w:hAnsi="Times New Roman"/>
          <w:color w:val="000000"/>
          <w:sz w:val="16"/>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color w:val="000000"/>
        </w:rPr>
        <w:t xml:space="preserve">— </w:t>
      </w:r>
      <w:r>
        <w:rPr>
          <w:rFonts w:ascii="Times New Roman" w:hAnsi="Times New Roman"/>
          <w:color w:val="000000"/>
          <w:sz w:val="16"/>
        </w:rPr>
        <w:t>Supplemental Disclosures of Cash Flow Information.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wltw_20180630_10q_htm_s3a173decfea1514ea"/>
      <w:bookmarkStart w:id="19" w:name="fis_stockholders_equity"/>
      <w:bookmarkEnd w:id="18"/>
      <w:bookmarkEnd w:id="19"/>
      <w:r>
        <w:rPr>
          <w:rFonts w:ascii="Times New Roman" w:hAnsi="Times New Roman"/>
          <w:b/>
          <w:color w:val="000000"/>
          <w:sz w:val="20"/>
        </w:rPr>
        <w:t>WILLIS TOWERS WATSON PUBLIC LIMITED COMPANY</w:t>
      </w:r>
    </w:p>
    <w:p>
      <w:pPr>
        <w:pStyle w:val="TextBody"/>
        <w:bidi w:val="0"/>
        <w:jc w:val="center"/>
        <w:rPr>
          <w:rFonts w:ascii="Times New Roman" w:hAnsi="Times New Roman"/>
          <w:b/>
          <w:color w:val="000000"/>
          <w:sz w:val="20"/>
        </w:rPr>
      </w:pPr>
      <w:bookmarkStart w:id="20" w:name="condensed_consolidated_statements_change"/>
      <w:bookmarkEnd w:id="20"/>
      <w:r>
        <w:rPr>
          <w:rFonts w:ascii="Times New Roman" w:hAnsi="Times New Roman"/>
          <w:b/>
          <w:color w:val="000000"/>
          <w:sz w:val="20"/>
        </w:rPr>
        <w:t>Condensed Consolidated Statements of Changes in Equity</w:t>
      </w:r>
    </w:p>
    <w:p>
      <w:pPr>
        <w:pStyle w:val="TextBody"/>
        <w:bidi w:val="0"/>
        <w:jc w:val="center"/>
        <w:rPr>
          <w:rFonts w:ascii="Times New Roman" w:hAnsi="Times New Roman"/>
          <w:color w:val="000000"/>
          <w:sz w:val="18"/>
        </w:rPr>
      </w:pPr>
      <w:r>
        <w:rPr>
          <w:rFonts w:ascii="Times New Roman" w:hAnsi="Times New Roman"/>
          <w:color w:val="000000"/>
          <w:sz w:val="18"/>
        </w:rPr>
        <w:t>(In millions of U.S. dollars and number of shares in thousands)</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2"/>
        <w:gridCol w:w="146"/>
        <w:gridCol w:w="205"/>
        <w:gridCol w:w="723"/>
        <w:gridCol w:w="151"/>
        <w:gridCol w:w="146"/>
        <w:gridCol w:w="252"/>
        <w:gridCol w:w="716"/>
        <w:gridCol w:w="151"/>
        <w:gridCol w:w="146"/>
        <w:gridCol w:w="326"/>
        <w:gridCol w:w="681"/>
        <w:gridCol w:w="151"/>
        <w:gridCol w:w="146"/>
        <w:gridCol w:w="181"/>
        <w:gridCol w:w="481"/>
        <w:gridCol w:w="151"/>
        <w:gridCol w:w="146"/>
        <w:gridCol w:w="353"/>
        <w:gridCol w:w="852"/>
        <w:gridCol w:w="151"/>
        <w:gridCol w:w="146"/>
        <w:gridCol w:w="410"/>
        <w:gridCol w:w="784"/>
        <w:gridCol w:w="151"/>
        <w:gridCol w:w="146"/>
        <w:gridCol w:w="196"/>
        <w:gridCol w:w="473"/>
        <w:gridCol w:w="202"/>
      </w:tblGrid>
      <w:tr>
        <w:trPr/>
        <w:tc>
          <w:tcPr>
            <w:tcW w:w="1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5"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 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 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 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 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 xml:space="preserve">AOCL </w:t>
            </w:r>
            <w:r>
              <w:rPr>
                <w:rFonts w:ascii="Times New Roman" w:hAnsi="Times New Roman"/>
                <w:b/>
                <w:color w:val="000000"/>
                <w:sz w:val="9"/>
              </w:rPr>
              <w:t>(i)</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WTW shareholders’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95,080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Dividends declared ($0.96</w:t>
            </w:r>
            <w:r>
              <w:rPr>
                <w:rFonts w:ascii="Times New Roman" w:hAnsi="Times New Roman"/>
                <w:color w:val="000000"/>
                <w:sz w:val="20"/>
              </w:rPr>
              <w:t> </w:t>
            </w:r>
            <w:r>
              <w:rPr>
                <w:rFonts w:ascii="Times New Roman" w:hAnsi="Times New Roman"/>
                <w:color w:val="000000"/>
                <w:sz w:val="14"/>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under employee stock</w:t>
              <w:br/>
              <w:t>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and net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Acquisition of Newfront </w:t>
            </w:r>
            <w:r>
              <w:rPr>
                <w:rFonts w:ascii="Times New Roman" w:hAnsi="Times New Roman"/>
                <w:color w:val="000000"/>
                <w:sz w:val="9"/>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94,278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8,059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Dividends declared ($0.96</w:t>
            </w:r>
            <w:r>
              <w:rPr>
                <w:rFonts w:ascii="Times New Roman" w:hAnsi="Times New Roman"/>
                <w:color w:val="000000"/>
                <w:sz w:val="20"/>
              </w:rPr>
              <w:t> </w:t>
            </w:r>
            <w:r>
              <w:rPr>
                <w:rFonts w:ascii="Times New Roman" w:hAnsi="Times New Roman"/>
                <w:color w:val="000000"/>
                <w:sz w:val="14"/>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under employee stock</w:t>
              <w:br/>
              <w:t>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and net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Acquisition of Newfront </w:t>
            </w:r>
            <w:r>
              <w:rPr>
                <w:rFonts w:ascii="Times New Roman" w:hAnsi="Times New Roman"/>
                <w:color w:val="000000"/>
                <w:sz w:val="9"/>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7,770</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Accumulated other comprehensive loss, net of tax (‘AOCL’).</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(ii)</w:t>
      </w:r>
    </w:p>
    <w:p>
      <w:pPr>
        <w:pStyle w:val="TextBody"/>
        <w:bidi w:val="0"/>
        <w:spacing w:before="40" w:after="283"/>
        <w:jc w:val="left"/>
        <w:rPr/>
      </w:pPr>
      <w:r>
        <w:rPr>
          <w:rFonts w:ascii="Times New Roman" w:hAnsi="Times New Roman"/>
          <w:color w:val="000000"/>
          <w:sz w:val="15"/>
        </w:rPr>
        <w:t>As part of the acquisition of Newfront, in the first quarter, 199,028</w:t>
      </w:r>
      <w:r>
        <w:rPr>
          <w:color w:val="000000"/>
        </w:rPr>
        <w:t xml:space="preserve"> </w:t>
      </w:r>
      <w:r>
        <w:rPr>
          <w:rFonts w:ascii="Times New Roman" w:hAnsi="Times New Roman"/>
          <w:color w:val="000000"/>
          <w:sz w:val="15"/>
        </w:rPr>
        <w:t>ordinary shares were issued to certain award holders. Additionally, $93</w:t>
      </w:r>
      <w:r>
        <w:rPr>
          <w:color w:val="000000"/>
        </w:rPr>
        <w:t xml:space="preserve"> </w:t>
      </w:r>
      <w:r>
        <w:rPr>
          <w:rFonts w:ascii="Times New Roman" w:hAnsi="Times New Roman"/>
          <w:color w:val="000000"/>
          <w:sz w:val="15"/>
        </w:rPr>
        <w:t>million was allocated to pre-combination service for all replaced share-based compensation awards. In the second quarter, 26,353</w:t>
      </w:r>
      <w:r>
        <w:rPr>
          <w:color w:val="000000"/>
        </w:rPr>
        <w:t xml:space="preserve"> </w:t>
      </w:r>
      <w:r>
        <w:rPr>
          <w:rFonts w:ascii="Times New Roman" w:hAnsi="Times New Roman"/>
          <w:color w:val="000000"/>
          <w:sz w:val="15"/>
        </w:rPr>
        <w:t xml:space="preserve">ordinary shares were issued and the estimate of pre-combination service for all replaced share-based compensation awards was revised downwards. See </w:t>
      </w:r>
      <w:r>
        <w:rPr>
          <w:rFonts w:ascii="Times New Roman" w:hAnsi="Times New Roman"/>
          <w:color w:val="000000"/>
          <w:sz w:val="16"/>
        </w:rPr>
        <w:t>Note 3 — Acquisitions.</w:t>
      </w:r>
    </w:p>
    <w:p>
      <w:pPr>
        <w:pStyle w:val="TextBody"/>
        <w:bidi w:val="0"/>
        <w:spacing w:before="180" w:after="283"/>
        <w:jc w:val="center"/>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WILLIS TOWERS WATSON PUBLIC LIMITED COMPANY</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Equity</w:t>
      </w:r>
    </w:p>
    <w:p>
      <w:pPr>
        <w:pStyle w:val="TextBody"/>
        <w:bidi w:val="0"/>
        <w:jc w:val="center"/>
        <w:rPr>
          <w:rFonts w:ascii="Times New Roman" w:hAnsi="Times New Roman"/>
          <w:color w:val="000000"/>
          <w:sz w:val="18"/>
        </w:rPr>
      </w:pPr>
      <w:r>
        <w:rPr>
          <w:rFonts w:ascii="Times New Roman" w:hAnsi="Times New Roman"/>
          <w:color w:val="000000"/>
          <w:sz w:val="18"/>
        </w:rPr>
        <w:t>(In millions of U.S. dollars and number of shares in thousands)</w:t>
      </w:r>
    </w:p>
    <w:p>
      <w:pPr>
        <w:pStyle w:val="TextBody"/>
        <w:bidi w:val="0"/>
        <w:jc w:val="center"/>
        <w:rPr>
          <w:rFonts w:ascii="Times New Roman" w:hAnsi="Times New Roman"/>
          <w:color w:val="000000"/>
          <w:sz w:val="18"/>
        </w:rPr>
      </w:pPr>
      <w:r>
        <w:rPr>
          <w:rFonts w:ascii="Times New Roman" w:hAnsi="Times New Roman"/>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9"/>
        <w:gridCol w:w="146"/>
        <w:gridCol w:w="204"/>
        <w:gridCol w:w="718"/>
        <w:gridCol w:w="151"/>
        <w:gridCol w:w="146"/>
        <w:gridCol w:w="249"/>
        <w:gridCol w:w="705"/>
        <w:gridCol w:w="151"/>
        <w:gridCol w:w="146"/>
        <w:gridCol w:w="324"/>
        <w:gridCol w:w="676"/>
        <w:gridCol w:w="151"/>
        <w:gridCol w:w="146"/>
        <w:gridCol w:w="181"/>
        <w:gridCol w:w="481"/>
        <w:gridCol w:w="151"/>
        <w:gridCol w:w="146"/>
        <w:gridCol w:w="348"/>
        <w:gridCol w:w="839"/>
        <w:gridCol w:w="151"/>
        <w:gridCol w:w="146"/>
        <w:gridCol w:w="407"/>
        <w:gridCol w:w="778"/>
        <w:gridCol w:w="151"/>
        <w:gridCol w:w="146"/>
        <w:gridCol w:w="195"/>
        <w:gridCol w:w="471"/>
        <w:gridCol w:w="202"/>
      </w:tblGrid>
      <w:tr>
        <w:trPr/>
        <w:tc>
          <w:tcPr>
            <w:tcW w:w="1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Six Months Ended June 30, 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 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 paid-in 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 earnings/</w:t>
              <w:b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Times New Roman" w:hAnsi="Times New Roman"/>
                <w:b/>
                <w:color w:val="000000"/>
                <w:sz w:val="13"/>
              </w:rPr>
              <w:t xml:space="preserve">AOCL </w:t>
            </w:r>
            <w:r>
              <w:rPr>
                <w:rFonts w:ascii="Times New Roman" w:hAnsi="Times New Roman"/>
                <w:b/>
                <w:color w:val="000000"/>
                <w:sz w:val="9"/>
              </w:rPr>
              <w:t>(i)</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WTW shareholders’ 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Non-controlling interests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 equity</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99,806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8,017</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239</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Dividends declared ($0.92</w:t>
            </w:r>
            <w:r>
              <w:rPr>
                <w:rFonts w:ascii="Times New Roman" w:hAnsi="Times New Roman"/>
                <w:color w:val="000000"/>
                <w:sz w:val="20"/>
              </w:rPr>
              <w:t> </w:t>
            </w:r>
            <w:r>
              <w:rPr>
                <w:rFonts w:ascii="Times New Roman" w:hAnsi="Times New Roman"/>
                <w:color w:val="000000"/>
                <w:sz w:val="14"/>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under employee stock</w:t>
              <w:br/>
              <w:t>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and net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8,214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repurchased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Dividends declared ($0.92</w:t>
            </w:r>
            <w:r>
              <w:rPr>
                <w:rFonts w:ascii="Times New Roman" w:hAnsi="Times New Roman"/>
                <w:color w:val="000000"/>
                <w:sz w:val="20"/>
              </w:rPr>
              <w:t> </w:t>
            </w:r>
            <w:r>
              <w:rPr>
                <w:rFonts w:ascii="Times New Roman" w:hAnsi="Times New Roman"/>
                <w:color w:val="000000"/>
                <w:sz w:val="14"/>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Dividends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under employee stock</w:t>
              <w:br/>
              <w:t>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and net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97,853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8,100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8,180</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(i)</w:t>
      </w:r>
    </w:p>
    <w:p>
      <w:pPr>
        <w:pStyle w:val="TextBody"/>
        <w:bidi w:val="0"/>
        <w:spacing w:before="40" w:after="283"/>
        <w:jc w:val="left"/>
        <w:rPr>
          <w:rFonts w:ascii="Times New Roman" w:hAnsi="Times New Roman"/>
          <w:color w:val="000000"/>
          <w:sz w:val="15"/>
        </w:rPr>
      </w:pPr>
      <w:r>
        <w:rPr>
          <w:rFonts w:ascii="Times New Roman" w:hAnsi="Times New Roman"/>
          <w:color w:val="000000"/>
          <w:sz w:val="15"/>
        </w:rPr>
        <w:t>Accumulated other comprehensive loss, net of tax (‘AOCL’).</w:t>
      </w:r>
    </w:p>
    <w:p>
      <w:pPr>
        <w:pStyle w:val="TextBody"/>
        <w:bidi w:val="0"/>
        <w:spacing w:before="40" w:after="283"/>
        <w:jc w:val="left"/>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olpage10"/>
      <w:bookmarkStart w:id="22" w:name="wltw_20180630_10q_htm_s801286314b345b0da"/>
      <w:bookmarkEnd w:id="21"/>
      <w:bookmarkEnd w:id="22"/>
      <w:r>
        <w:rPr>
          <w:rFonts w:ascii="Times New Roman" w:hAnsi="Times New Roman"/>
          <w:b/>
          <w:color w:val="000000"/>
          <w:sz w:val="20"/>
        </w:rPr>
        <w:t>WILLIS TOWERS WATSON</w:t>
      </w:r>
      <w:bookmarkStart w:id="23" w:name="fis_notes_to_financial_statement"/>
      <w:bookmarkEnd w:id="23"/>
      <w:r>
        <w:rPr>
          <w:rFonts w:ascii="Times New Roman" w:hAnsi="Times New Roman"/>
          <w:color w:val="000000"/>
          <w:sz w:val="20"/>
        </w:rPr>
        <w:t xml:space="preserve"> </w:t>
      </w:r>
      <w:r>
        <w:rPr>
          <w:rFonts w:ascii="Times New Roman" w:hAnsi="Times New Roman"/>
          <w:b/>
          <w:color w:val="000000"/>
          <w:sz w:val="20"/>
        </w:rPr>
        <w:t>PUBLIC LIMITED COMPANY</w:t>
      </w:r>
    </w:p>
    <w:p>
      <w:pPr>
        <w:pStyle w:val="TextBody"/>
        <w:bidi w:val="0"/>
        <w:jc w:val="center"/>
        <w:rPr>
          <w:rFonts w:ascii="Times New Roman" w:hAnsi="Times New Roman"/>
          <w:b/>
          <w:color w:val="000000"/>
          <w:sz w:val="20"/>
        </w:rPr>
      </w:pPr>
      <w:bookmarkStart w:id="24" w:name="notes_to_condensed_consolidated_financia"/>
      <w:bookmarkEnd w:id="24"/>
      <w:r>
        <w:rPr>
          <w:rFonts w:ascii="Times New Roman" w:hAnsi="Times New Roman"/>
          <w:b/>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(Tabular amounts in millions of U.S. dollars, except per share data)</w:t>
      </w:r>
    </w:p>
    <w:p>
      <w:pPr>
        <w:pStyle w:val="TextBody"/>
        <w:bidi w:val="0"/>
        <w:jc w:val="center"/>
        <w:rPr>
          <w:rFonts w:ascii="Times New Roman" w:hAnsi="Times New Roman"/>
          <w:color w:val="000000"/>
          <w:sz w:val="20"/>
        </w:rPr>
      </w:pPr>
      <w:bookmarkStart w:id="25" w:name="wltw_20180630_10q_htm_sb3d45ec4fdea5a09b"/>
      <w:bookmarkEnd w:id="25"/>
      <w:r>
        <w:rPr>
          <w:rFonts w:ascii="Times New Roman" w:hAnsi="Times New Roman"/>
          <w:color w:val="000000"/>
          <w:sz w:val="20"/>
        </w:rPr>
        <w:t>(Unaudited)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 — Nature of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Willis Towers Watson Public Limited Company is a leading global advisory, broking and solutions company that provides data-driven, insight-led solutions in the areas of people, risk and capital. The Company has approximately 48,100 colleagues serving more than 140 countries and markets.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design and deliver solutions that manage risk, optimize benefits, cultivate talent and expand the power of capital to protect and strengthen institutions and individuals.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risk control services include strategic risk expertise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We help our clients enhance their business performance by delivering advisory services, technology and solutions that help them anticipate, identify and capitalize on emerging opportunities in human capital management, and by offering investment advice to help them develop disciplined and efficient strategies to meet their investment goals.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operate a private Medicare marketplace in the U.S. through which, along with our active employee marketplace, we help our clients move to a more sustainable economic model by capping and controlling the costs associated with healthcare benefits.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pStyle w:val="TextBody"/>
        <w:bidi w:val="0"/>
        <w:spacing w:before="180" w:after="283"/>
        <w:jc w:val="left"/>
        <w:rPr>
          <w:rFonts w:ascii="Times New Roman" w:hAnsi="Times New Roman"/>
          <w:sz w:val="20"/>
        </w:rPr>
      </w:pPr>
      <w:bookmarkStart w:id="26" w:name="wltw_20180630_10q_htm_s396b50dfdb7d5fd7b"/>
      <w:bookmarkEnd w:id="26"/>
      <w:r>
        <w:rPr>
          <w:rFonts w:ascii="Times New Roman" w:hAnsi="Times New Roman"/>
          <w:b/>
          <w:color w:val="000000"/>
          <w:sz w:val="20"/>
        </w:rPr>
        <w:t>Note 2</w:t>
      </w:r>
      <w:r>
        <w:rPr>
          <w:rFonts w:ascii="Times New Roman" w:hAnsi="Times New Roman"/>
          <w:color w:val="000000"/>
          <w:sz w:val="20"/>
        </w:rPr>
        <w:t xml:space="preserve"> — </w:t>
      </w:r>
      <w:r>
        <w:rPr>
          <w:rFonts w:ascii="Times New Roman" w:hAnsi="Times New Roman"/>
          <w:b/>
          <w:color w:val="000000"/>
          <w:sz w:val="20"/>
        </w:rPr>
        <w:t>Basis of Presentation and Recent Accounting Pronouncements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Certain prior-period amounts have been reclassified to conform to the current-period presentation. All intercompany accounts and transactions have been eliminated in consolidation. The condensed consolidated financial statements should be read together with the Company’s Annual Report on Form 10-K, filed with the SEC on February 25, 2026, and may be accessed via EDGAR on the SEC’s web site at www.sec.gov.</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results of operations for the three and six months ended June 30, 2026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Not Yet Adopted</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Disaggregation of Income Statement Expense</w:t>
      </w:r>
      <w:r>
        <w:rPr>
          <w:rFonts w:ascii="Times New Roman" w:hAnsi="Times New Roman"/>
          <w:color w:val="000000"/>
          <w:sz w:val="20"/>
        </w:rPr>
        <w:t xml:space="preserve">, which is intended to provide transparency about the components of expenses included in the income statement. This ASU requires public companies to disclose additional information about certain expenses in the notes to the financial statements on a quarterly and annual basis, including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Times New Roman" w:hAnsi="Times New Roman"/>
          <w:color w:val="000000"/>
          <w:sz w:val="20"/>
        </w:rPr>
        <w:t>purchases of inventory, employee compensation, depreciation, intangible asset amortization and depletion for each income statement line item that contains those expenses. The ASU requires a new tabular disclosure format that centralizes expense information and</w:t>
      </w:r>
      <w:r>
        <w:rPr>
          <w:rFonts w:ascii="Times New Roman" w:hAnsi="Times New Roman"/>
          <w:color w:val="FF0000"/>
          <w:sz w:val="20"/>
        </w:rPr>
        <w:t xml:space="preserve"> </w:t>
      </w:r>
      <w:r>
        <w:rPr>
          <w:rFonts w:ascii="Times New Roman" w:hAnsi="Times New Roman"/>
          <w:color w:val="000000"/>
          <w:sz w:val="20"/>
        </w:rPr>
        <w:t xml:space="preserve">additional qualitative disclosure. The guidance does not change the existing income statement presentation. The annual requirements for this ASU become effective with the Company's Annual Report on Form 10-K for the year ended December 31, 2027, and for its interim periods beginning on January 1, 2028. Early adoption is permitted. The guidance is to be applied prospectively, with the option for retrospective application. The Company currently does not plan to early-adopt this ASU and is assessing the expected impact on its condensed consolidated financial statements.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which is intended to clarify and modernize the accounting for costs related to internal-use software. This ASU changes capitalization requirements from being tied to development stages and instead creates a capitalization threshold which is achieved when it is probable the software will be completed for its intended purpose. The annual and interim requirements for this ASU become effective for the Company on January 1, 2028. Early adoption is permitted and may be applied using a prospective, retrospective, or modified transition approach. The Company is assessing all aspects of the ASU, including adoption timing and transition method, and the expected impact on its condensed consolidated financial statements.</w:t>
      </w:r>
    </w:p>
    <w:p>
      <w:pPr>
        <w:pStyle w:val="TextBody"/>
        <w:bidi w:val="0"/>
        <w:spacing w:before="180" w:after="283"/>
        <w:jc w:val="left"/>
        <w:rPr>
          <w:rFonts w:ascii="Times New Roman" w:hAnsi="Times New Roman"/>
          <w:sz w:val="20"/>
        </w:rPr>
      </w:pPr>
      <w:r>
        <w:rPr>
          <w:rFonts w:ascii="Times New Roman" w:hAnsi="Times New Roman"/>
          <w:i/>
          <w:color w:val="000000"/>
          <w:sz w:val="20"/>
        </w:rPr>
        <w:t>Adopted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is intended to improve guidance on the measurement of credit losses for accounts receivable and contract assets. This ASU provides an optional practical expedient to assume that current conditions as of the balance sheet date do not change for the remaining life of the assets. The requirements for this ASU became effective for the Company on January 1, 2026, at which time it was adopted. This ASU did not have a material impact on our condensed consolidated financial statements.</w:t>
      </w:r>
    </w:p>
    <w:p>
      <w:pPr>
        <w:pStyle w:val="TextBody"/>
        <w:bidi w:val="0"/>
        <w:spacing w:before="180" w:after="283"/>
        <w:jc w:val="left"/>
        <w:rPr>
          <w:rFonts w:ascii="Times New Roman" w:hAnsi="Times New Roman"/>
          <w:sz w:val="20"/>
        </w:rPr>
      </w:pPr>
      <w:r>
        <w:rPr>
          <w:rFonts w:ascii="Times New Roman" w:hAnsi="Times New Roman"/>
          <w:b/>
          <w:color w:val="000000"/>
          <w:sz w:val="20"/>
        </w:rPr>
        <w:t>Other Legislation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i/>
          <w:color w:val="000000"/>
          <w:sz w:val="20"/>
        </w:rPr>
        <w:t>Pillar Two</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December 2021, the Organisation for Economic Co-operation and Development (‘OECD’) and G20 Inclusive Framework on Base Erosion and Profit Shifting released the Model Global Anti-Base Erosion (‘GloBE’) rules (the ‘OECD Model Rules’) under Pillar Two. In 2023, many E.U. countries, including Ireland, enacted the necessary legislation (based on the OECD Model Rules) to implement Pillar Two in 2024. Other countries and territories introduced Pillar Two legislation in 2024 and 2025. In January 2026, the OECD announced the release of a new package of administrative guidance under the Pillar Two global minimum tax rules (the ‘side-by-side’ (SbS) package). Key components of the package include a simplified effective tax rate safe harbor, an extension of the transitional country-by-country reporting safe harbor, a substance-based tax incentive safe harbor, a side-by-side safe harbor for certain multinational groups located in eligible jurisdictions, an ultimate parent entity safe harbor for eligible countries, and a commitment to focus on additional clarifications and simplifications. These new safe harbor rules do not affect the application of a qualified domestic minimum top-up tax. Except for the extension of the transitional country-by-country reporting safe harbor, the Company does not expect the new safe harbors to apply. The Pillar Two minimum tax is treated as a period-cost beginning in 2024 and does not have a material impact on the Company's financial results of operations for the periods presented.</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H.R. 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4, 2025, the ‘Act to provide for reconciliation pursuant to title II of H. Con. Res. 14’ (‘H.R. 1’) was enacted into law and generally became effective on January 1, 2026, with certain exceptions. H.R. 1 included numerous changes to existing tax law affecting businesses, including extending and modifying certain key provisions of the Tax Cuts and Jobs Act of 2017, both domestic and international, expanding certain Investment Retirement Account incentives while accelerating the phase-out of others. In 2025, the Company recognized cash tax benefits related to the acceleration of certain timing differences. The Company will continue to evaluate the overall impact of H.R. 1 and related regulations on our operations and tax positions.</w:t>
      </w:r>
    </w:p>
    <w:p>
      <w:pPr>
        <w:pStyle w:val="TextBody"/>
        <w:bidi w:val="0"/>
        <w:spacing w:before="180" w:after="283"/>
        <w:jc w:val="left"/>
        <w:rPr>
          <w:rFonts w:ascii="Times New Roman" w:hAnsi="Times New Roman"/>
          <w:sz w:val="20"/>
        </w:rPr>
      </w:pPr>
      <w:r>
        <w:rPr>
          <w:rFonts w:ascii="Times New Roman" w:hAnsi="Times New Roman"/>
          <w:b/>
          <w:color w:val="000000"/>
          <w:sz w:val="20"/>
        </w:rPr>
        <w:t>Note 3</w:t>
      </w:r>
      <w:r>
        <w:rPr>
          <w:rFonts w:ascii="Times New Roman" w:hAnsi="Times New Roman"/>
          <w:color w:val="000000"/>
          <w:sz w:val="20"/>
        </w:rPr>
        <w:t xml:space="preserve"> — </w:t>
      </w:r>
      <w:r>
        <w:rPr>
          <w:rFonts w:ascii="Times New Roman" w:hAnsi="Times New Roman"/>
          <w:b/>
          <w:color w:val="000000"/>
          <w:sz w:val="20"/>
        </w:rPr>
        <w:t>Acquisitions</w:t>
      </w:r>
      <w:r>
        <w:rPr>
          <w:rFonts w:ascii="Times New Roman" w:hAnsi="Times New Roman"/>
          <w:color w:val="000000"/>
          <w:sz w:val="20"/>
        </w:rPr>
        <w:t xml:space="preserve">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Newfront Insurance Holdings, Inc. Acquisition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January 27, 2026, the Company completed the acquisition of Newfront Insurance Holdings, Inc. (‘Newfront’), a U.S.-based broker combining specialty expertise and cutting-edge technology, for up-front and contingent consideration. The $1.05 billion up-front portion of the purchase price was comprised of approximately $900 million in cash paid to all of Newfront’s shareholders and $150 million in replacement award equity paid only to Newfront’s employee-shareholders and subject to ongoing vesting. The contingent consideration includes up to $250 million, subject to Newfront’s achievement of specified three-year performance targets, and up to an incremental $150 million which would become payable if Newfront achieves above-target revenue growth. Both tranches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of contingent consideration are payable primarily in equity awards subject to service requirements and will be recognized as compensation expense. The cash portion of these arrangements has no service requirements and is included in the estimate of consideration transferred. The cash consideration and related fees, costs and expenses for the acquisition were funded with the net proceeds from our December 2025 issuance of $1.0 billion of senior notes (see Note 9 — Debt for additional information). Newfront operates as part of both our Health, Wealth &amp; Career (Health &amp; Benefits and Investment businesses) and Risk &amp; Broking (Corporate Risk &amp; Broking business)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part of the replacement of the share-based compensation awards and stock of Newfront which were held by Newfront employees and trusts held by certain key employees of Newfront, the Company granted approximately 225,000 restricted stock awards (‘RSAs’) subject to vesting and transfer restrictions. In the first quarter of 2026, the Company issued an aggregate of approximately 199,000 RSAs as ordinary shares, subject to vesting and transfer restrictions, via private placement (outside of the Willis Towers Watson Public Limited Company 2012 Equity Incentive Plan (the ‘Plan’)) to trusts established by certain key employees of Newfront. The remaining approximately 26,000 RSAs were issued pursuant to the Plan during the second quarter of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addition to the RSAs, the Company granted approximately 187,000 restricted stock units (‘RSUs’), the majority of which were granted during the first quarter of 2026 under the Plan. The remaining approximately 3,000 RSUs were granted during the second quarter of 2026 via private placement (outside of the Plan) to trusts established by certain key employees of Newfront. All RSUs granted are subject to vesting and transfer restrictions.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preliminary fair values of the Newfront identifiable assets acquired and liabilities assumed at January 27, 2026 are summarized in the following table. We have prepared analyses necessary to assess the fair values of the assets acquired and liabilities assumed and the amount of goodwill and consideration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Accordingly, there may be adjustments to the assigned values of acquired assets and liabilities assumed. The final determination of acquisition date fair values and residual goodwill will be completed as soon as practicable, and within the measurement period of up to one year from the acquisition date as permitted under U.S. GAAP. Any adjustments to provisional amounts that are identified during the measurement period will be recorded in the reporting period in which the adjustment is determined.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During the second quarter of 2026, the Company made adjustments to its preliminary fair values related to the valuation of consideration transferred in the form of share-based compensation and contingent consideration, and adjusted both the values of intangible assets, deferred taxes and goodwill. </w:t>
      </w:r>
    </w:p>
    <w:p>
      <w:pPr>
        <w:pStyle w:val="TextBody"/>
        <w:bidi w:val="0"/>
        <w:jc w:val="left"/>
        <w:rPr/>
      </w:pPr>
      <w:r>
        <w:rPr/>
        <w:t> </w:t>
      </w:r>
    </w:p>
    <w:tbl>
      <w:tblPr>
        <w:tblW w:w="4440" w:type="dxa"/>
        <w:jc w:val="left"/>
        <w:tblInd w:w="0" w:type="dxa"/>
        <w:tblLayout w:type="fixed"/>
        <w:tblCellMar>
          <w:top w:w="28" w:type="dxa"/>
          <w:left w:w="28" w:type="dxa"/>
          <w:bottom w:w="28" w:type="dxa"/>
          <w:right w:w="28" w:type="dxa"/>
        </w:tblCellMar>
      </w:tblPr>
      <w:tblGrid>
        <w:gridCol w:w="3301"/>
        <w:gridCol w:w="146"/>
        <w:gridCol w:w="211"/>
        <w:gridCol w:w="57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Fiduciary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Preliminary values of intangible assets consist primarily of $209 million of customer relationships and $55 million of developed software, with preliminary weighted-average expected lives of 13 years and 7 years, respectively.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Goodwill is calculated as the difference between the aggregate consideration and the acquisition date fair value of the net assets acquired, including acquired intangible assets, and represents the value of Newfront’s assembled workforce and the future economic benefits that we expect to achieve as a result of the acquisition. The assignment of the acquired goodwill to the individual reporting units is not yet finalized. None of the goodwill recognized on the transaction is tax-deductible, however there is tax-deductible goodwill that will be carried forward from previous acquisitions by Newfront.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Cushon Acquisition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On April 30, 2026, the Company completed the acquisition of Cushon, </w:t>
      </w:r>
      <w:r>
        <w:rPr>
          <w:rFonts w:ascii="Times New Roman" w:hAnsi="Times New Roman"/>
          <w:color w:val="2A2A2B"/>
          <w:sz w:val="20"/>
        </w:rPr>
        <w:t>a workplace pensions, savings and financial well-being company, for cash consideration of £150 million, subject to working capital and other adjustments, and contingent consideration of up to £100 million. T</w:t>
      </w:r>
      <w:r>
        <w:rPr>
          <w:rFonts w:ascii="Times New Roman" w:hAnsi="Times New Roman"/>
          <w:color w:val="000000"/>
          <w:sz w:val="20"/>
        </w:rPr>
        <w:t>he Company funded the acquisition with the remaining available balance on the delayed draw term loan (see Note 9 — Debt for additional information). Cushon operates as part of our Health, Wealth &amp; Career (Benefits Delivery &amp; Outsourcing) segment.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 summary of preliminary fair values of the identifiable assets acquired and liabilities assumed of Cushon at April 30, 2026 are summarized in the following table. We have prepared analyses necessary to assess the fair values of the assets acquired and liabilities assumed and the amount of goodwill and consideration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Accordingly, there may be adjustments to the assigned values of acquired assets and liabilities assumed. The final determination of acquisition date fair values and residual goodwill will be completed as soon as practicable, and within the measurement period of up to one year from the acquisition date as permitted under U.S. GAAP. Any adjustments to provisional amounts that are identified during the measurement period will be recorded in the reporting period in which the adjustment is determined.</w:t>
      </w:r>
    </w:p>
    <w:p>
      <w:pPr>
        <w:pStyle w:val="TextBody"/>
        <w:bidi w:val="0"/>
        <w:jc w:val="left"/>
        <w:rPr/>
      </w:pPr>
      <w:r>
        <w:rPr/>
        <w:t> </w:t>
      </w:r>
    </w:p>
    <w:tbl>
      <w:tblPr>
        <w:tblW w:w="4290" w:type="dxa"/>
        <w:jc w:val="left"/>
        <w:tblInd w:w="0" w:type="dxa"/>
        <w:tblLayout w:type="fixed"/>
        <w:tblCellMar>
          <w:top w:w="28" w:type="dxa"/>
          <w:left w:w="28" w:type="dxa"/>
          <w:bottom w:w="28" w:type="dxa"/>
          <w:right w:w="28" w:type="dxa"/>
        </w:tblCellMar>
      </w:tblPr>
      <w:tblGrid>
        <w:gridCol w:w="3301"/>
        <w:gridCol w:w="146"/>
        <w:gridCol w:w="211"/>
        <w:gridCol w:w="42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Preliminary values of intangible assets consist primarily of $58 million of customer relationships, $49 million of developed software and $4 million of trade names with preliminary weighted-average expected lives of 20 years, 5 years and 10 years, respectively.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Goodwill is calculated as the difference between the aggregate consideration and the acquisition date fair value of the net assets acquired, including acquired intangible assets, and represents the value of Cushon’s assembled workforce and the future economic benefits that we expect to achieve as a result of the acquisition. None of the goodwill recognized on the transaction is tax-deductible.</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Pending Acquisition</w:t>
      </w:r>
    </w:p>
    <w:p>
      <w:pPr>
        <w:pStyle w:val="TextBody"/>
        <w:bidi w:val="0"/>
        <w:spacing w:before="180" w:after="283"/>
        <w:jc w:val="left"/>
        <w:rPr>
          <w:rFonts w:ascii="Times New Roman" w:hAnsi="Times New Roman"/>
          <w:sz w:val="20"/>
        </w:rPr>
      </w:pPr>
      <w:r>
        <w:rPr>
          <w:rFonts w:ascii="Times New Roman" w:hAnsi="Times New Roman"/>
          <w:i/>
          <w:color w:val="000000"/>
          <w:sz w:val="20"/>
        </w:rPr>
        <w:t xml:space="preserve">Al-Futtaim Willis — </w:t>
      </w:r>
      <w:r>
        <w:rPr>
          <w:rFonts w:ascii="Times New Roman" w:hAnsi="Times New Roman"/>
          <w:color w:val="000000"/>
          <w:sz w:val="20"/>
        </w:rPr>
        <w:t xml:space="preserve">On May 2, 2025, the Company entered into a definitive agreement to acquire the remaining 51% controlling interest of its longstanding broking joint venture, Al-Futtaim Willis (‘AFW’), based in the United Arab Emirates, for cash consideration of $58 million, subject to certain adjustments. The results of AFW are currently included in interest in earnings of associates, net of tax, on the condensed consolidated statements of comprehensive income, but will be fully consolidated after the close of the transaction. The transaction is expected to close during the second half of 2026, subject to receipt of certain regulatory approvals and other customary closing conditions.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during the six months ended June 30, 2026 the Company made contributions to interests in associates accounted for under the equity method of accounting in cash payments of $23 million and made acquisitions for cash consideration of $42 million and related contingent consideration valued at $6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27" w:name="wltw_20180630_10q_htm_s9db111f0d6ad520ba"/>
      <w:bookmarkEnd w:id="27"/>
      <w:r>
        <w:rPr>
          <w:rFonts w:ascii="Times New Roman" w:hAnsi="Times New Roman"/>
          <w:b/>
          <w:color w:val="000000"/>
          <w:sz w:val="20"/>
        </w:rPr>
        <w:t>Note 4</w:t>
      </w:r>
      <w:r>
        <w:rPr>
          <w:rFonts w:ascii="Times New Roman" w:hAnsi="Times New Roman"/>
          <w:color w:val="000000"/>
          <w:sz w:val="20"/>
        </w:rPr>
        <w:t xml:space="preserve"> — </w:t>
      </w:r>
      <w:r>
        <w:rPr>
          <w:rFonts w:ascii="Times New Roman" w:hAnsi="Times New Roman"/>
          <w:b/>
          <w:color w:val="000000"/>
          <w:sz w:val="20"/>
        </w:rPr>
        <w:t>Revenue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Disaggregation of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reports revenue by segment in Note 5 — Segment Information. The following tables present revenue by service offering and segment, as well as reconciliations to total revenue for the three and six months ended June 30, 2026 and 2025. Along with reimbursable expenses and other, total revenue by service offering represents our revenue from customer contracts.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8"/>
        <w:gridCol w:w="146"/>
        <w:gridCol w:w="196"/>
        <w:gridCol w:w="511"/>
        <w:gridCol w:w="146"/>
        <w:gridCol w:w="146"/>
        <w:gridCol w:w="196"/>
        <w:gridCol w:w="511"/>
        <w:gridCol w:w="146"/>
        <w:gridCol w:w="146"/>
        <w:gridCol w:w="196"/>
        <w:gridCol w:w="511"/>
        <w:gridCol w:w="146"/>
        <w:gridCol w:w="146"/>
        <w:gridCol w:w="196"/>
        <w:gridCol w:w="511"/>
        <w:gridCol w:w="146"/>
        <w:gridCol w:w="146"/>
        <w:gridCol w:w="196"/>
        <w:gridCol w:w="346"/>
        <w:gridCol w:w="146"/>
        <w:gridCol w:w="146"/>
        <w:gridCol w:w="196"/>
        <w:gridCol w:w="346"/>
        <w:gridCol w:w="146"/>
        <w:gridCol w:w="146"/>
        <w:gridCol w:w="196"/>
        <w:gridCol w:w="511"/>
        <w:gridCol w:w="146"/>
        <w:gridCol w:w="146"/>
        <w:gridCol w:w="196"/>
        <w:gridCol w:w="511"/>
        <w:gridCol w:w="191"/>
      </w:tblGrid>
      <w:tr>
        <w:trPr/>
        <w:tc>
          <w:tcPr>
            <w:tcW w:w="2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Outsourced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by service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Reimbursable expenses and other </w:t>
            </w:r>
            <w:r>
              <w:rPr>
                <w:rFonts w:ascii="Times New Roman" w:hAnsi="Times New Roman"/>
                <w:color w:val="000000"/>
                <w:sz w:val="8"/>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from 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8"/>
        <w:gridCol w:w="146"/>
        <w:gridCol w:w="196"/>
        <w:gridCol w:w="511"/>
        <w:gridCol w:w="146"/>
        <w:gridCol w:w="146"/>
        <w:gridCol w:w="196"/>
        <w:gridCol w:w="511"/>
        <w:gridCol w:w="146"/>
        <w:gridCol w:w="146"/>
        <w:gridCol w:w="196"/>
        <w:gridCol w:w="511"/>
        <w:gridCol w:w="146"/>
        <w:gridCol w:w="146"/>
        <w:gridCol w:w="196"/>
        <w:gridCol w:w="511"/>
        <w:gridCol w:w="146"/>
        <w:gridCol w:w="146"/>
        <w:gridCol w:w="196"/>
        <w:gridCol w:w="346"/>
        <w:gridCol w:w="146"/>
        <w:gridCol w:w="146"/>
        <w:gridCol w:w="196"/>
        <w:gridCol w:w="346"/>
        <w:gridCol w:w="146"/>
        <w:gridCol w:w="146"/>
        <w:gridCol w:w="196"/>
        <w:gridCol w:w="511"/>
        <w:gridCol w:w="146"/>
        <w:gridCol w:w="146"/>
        <w:gridCol w:w="196"/>
        <w:gridCol w:w="511"/>
        <w:gridCol w:w="191"/>
      </w:tblGrid>
      <w:tr>
        <w:trPr/>
        <w:tc>
          <w:tcPr>
            <w:tcW w:w="24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Corporate </w:t>
            </w:r>
            <w:r>
              <w:rPr>
                <w:rFonts w:ascii="Times New Roman" w:hAnsi="Times New Roman"/>
                <w:b/>
                <w:color w:val="000000"/>
                <w:sz w:val="11"/>
              </w:rPr>
              <w:t>(i)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Consulting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Outsourced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by service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Reimbursable expenses and other </w:t>
            </w:r>
            <w:r>
              <w:rPr>
                <w:rFonts w:ascii="Times New Roman" w:hAnsi="Times New Roman"/>
                <w:color w:val="000000"/>
                <w:sz w:val="8"/>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from 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Interest and other income is included in segment revenue and total revenue, however it has been presented separately in the above table because it does not arise directly from contracts with customers. The significant components of interest and other income are as follows for the periods presented above: </w:t>
      </w:r>
    </w:p>
    <w:p>
      <w:pPr>
        <w:pStyle w:val="TextBody"/>
        <w:bidi w:val="0"/>
        <w:jc w:val="left"/>
        <w:rPr/>
      </w:pPr>
      <w:r>
        <w:rPr/>
        <w:t> </w:t>
      </w:r>
    </w:p>
    <w:tbl>
      <w:tblPr>
        <w:tblW w:w="8818" w:type="dxa"/>
        <w:jc w:val="left"/>
        <w:tblInd w:w="0" w:type="dxa"/>
        <w:tblLayout w:type="fixed"/>
        <w:tblCellMar>
          <w:top w:w="28" w:type="dxa"/>
          <w:left w:w="28" w:type="dxa"/>
          <w:bottom w:w="28" w:type="dxa"/>
          <w:right w:w="28" w:type="dxa"/>
        </w:tblCellMar>
      </w:tblPr>
      <w:tblGrid>
        <w:gridCol w:w="2281"/>
        <w:gridCol w:w="146"/>
        <w:gridCol w:w="196"/>
        <w:gridCol w:w="346"/>
        <w:gridCol w:w="146"/>
        <w:gridCol w:w="146"/>
        <w:gridCol w:w="196"/>
        <w:gridCol w:w="346"/>
        <w:gridCol w:w="146"/>
        <w:gridCol w:w="146"/>
        <w:gridCol w:w="196"/>
        <w:gridCol w:w="346"/>
        <w:gridCol w:w="146"/>
        <w:gridCol w:w="146"/>
        <w:gridCol w:w="196"/>
        <w:gridCol w:w="286"/>
        <w:gridCol w:w="146"/>
        <w:gridCol w:w="146"/>
        <w:gridCol w:w="196"/>
        <w:gridCol w:w="346"/>
        <w:gridCol w:w="146"/>
        <w:gridCol w:w="146"/>
        <w:gridCol w:w="196"/>
        <w:gridCol w:w="346"/>
        <w:gridCol w:w="146"/>
        <w:gridCol w:w="146"/>
        <w:gridCol w:w="196"/>
        <w:gridCol w:w="286"/>
        <w:gridCol w:w="146"/>
        <w:gridCol w:w="146"/>
        <w:gridCol w:w="196"/>
        <w:gridCol w:w="28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Book-of-business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pPr>
      <w:r>
        <w:rPr/>
        <w:t> </w:t>
      </w:r>
    </w:p>
    <w:tbl>
      <w:tblPr>
        <w:tblW w:w="8698" w:type="dxa"/>
        <w:jc w:val="left"/>
        <w:tblInd w:w="0" w:type="dxa"/>
        <w:tblLayout w:type="fixed"/>
        <w:tblCellMar>
          <w:top w:w="28" w:type="dxa"/>
          <w:left w:w="28" w:type="dxa"/>
          <w:bottom w:w="28" w:type="dxa"/>
          <w:right w:w="28" w:type="dxa"/>
        </w:tblCellMar>
      </w:tblPr>
      <w:tblGrid>
        <w:gridCol w:w="2281"/>
        <w:gridCol w:w="146"/>
        <w:gridCol w:w="196"/>
        <w:gridCol w:w="346"/>
        <w:gridCol w:w="146"/>
        <w:gridCol w:w="146"/>
        <w:gridCol w:w="196"/>
        <w:gridCol w:w="286"/>
        <w:gridCol w:w="146"/>
        <w:gridCol w:w="146"/>
        <w:gridCol w:w="196"/>
        <w:gridCol w:w="286"/>
        <w:gridCol w:w="146"/>
        <w:gridCol w:w="146"/>
        <w:gridCol w:w="196"/>
        <w:gridCol w:w="286"/>
        <w:gridCol w:w="146"/>
        <w:gridCol w:w="146"/>
        <w:gridCol w:w="196"/>
        <w:gridCol w:w="346"/>
        <w:gridCol w:w="146"/>
        <w:gridCol w:w="146"/>
        <w:gridCol w:w="196"/>
        <w:gridCol w:w="346"/>
        <w:gridCol w:w="146"/>
        <w:gridCol w:w="146"/>
        <w:gridCol w:w="196"/>
        <w:gridCol w:w="286"/>
        <w:gridCol w:w="146"/>
        <w:gridCol w:w="146"/>
        <w:gridCol w:w="196"/>
        <w:gridCol w:w="286"/>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Book-of-business 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present revenue from service offerings by the geography where our work was performed for the three and six months ended June 30, 2026 and 2025. Reconciliations to total revenue on our condensed consolidated statements of comprehensive income and to segment revenue are shown in the tables above.</w:t>
      </w:r>
    </w:p>
    <w:p>
      <w:pPr>
        <w:pStyle w:val="TextBody"/>
        <w:bidi w:val="0"/>
        <w:jc w:val="left"/>
        <w:rPr/>
      </w:pPr>
      <w:r>
        <w:rPr/>
        <w:t> </w:t>
      </w:r>
    </w:p>
    <w:tbl>
      <w:tblPr>
        <w:tblW w:w="9808" w:type="dxa"/>
        <w:jc w:val="left"/>
        <w:tblInd w:w="0" w:type="dxa"/>
        <w:tblLayout w:type="fixed"/>
        <w:tblCellMar>
          <w:top w:w="28" w:type="dxa"/>
          <w:left w:w="28" w:type="dxa"/>
          <w:bottom w:w="28" w:type="dxa"/>
          <w:right w:w="28" w:type="dxa"/>
        </w:tblCellMar>
      </w:tblPr>
      <w:tblGrid>
        <w:gridCol w:w="2101"/>
        <w:gridCol w:w="146"/>
        <w:gridCol w:w="196"/>
        <w:gridCol w:w="511"/>
        <w:gridCol w:w="146"/>
        <w:gridCol w:w="146"/>
        <w:gridCol w:w="196"/>
        <w:gridCol w:w="511"/>
        <w:gridCol w:w="146"/>
        <w:gridCol w:w="146"/>
        <w:gridCol w:w="196"/>
        <w:gridCol w:w="511"/>
        <w:gridCol w:w="146"/>
        <w:gridCol w:w="146"/>
        <w:gridCol w:w="196"/>
        <w:gridCol w:w="511"/>
        <w:gridCol w:w="146"/>
        <w:gridCol w:w="146"/>
        <w:gridCol w:w="196"/>
        <w:gridCol w:w="346"/>
        <w:gridCol w:w="146"/>
        <w:gridCol w:w="146"/>
        <w:gridCol w:w="196"/>
        <w:gridCol w:w="346"/>
        <w:gridCol w:w="146"/>
        <w:gridCol w:w="146"/>
        <w:gridCol w:w="196"/>
        <w:gridCol w:w="511"/>
        <w:gridCol w:w="146"/>
        <w:gridCol w:w="146"/>
        <w:gridCol w:w="196"/>
        <w:gridCol w:w="51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by geography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808" w:type="dxa"/>
        <w:jc w:val="left"/>
        <w:tblInd w:w="0" w:type="dxa"/>
        <w:tblLayout w:type="fixed"/>
        <w:tblCellMar>
          <w:top w:w="28" w:type="dxa"/>
          <w:left w:w="28" w:type="dxa"/>
          <w:bottom w:w="28" w:type="dxa"/>
          <w:right w:w="28" w:type="dxa"/>
        </w:tblCellMar>
      </w:tblPr>
      <w:tblGrid>
        <w:gridCol w:w="2101"/>
        <w:gridCol w:w="146"/>
        <w:gridCol w:w="196"/>
        <w:gridCol w:w="511"/>
        <w:gridCol w:w="146"/>
        <w:gridCol w:w="146"/>
        <w:gridCol w:w="196"/>
        <w:gridCol w:w="511"/>
        <w:gridCol w:w="146"/>
        <w:gridCol w:w="146"/>
        <w:gridCol w:w="196"/>
        <w:gridCol w:w="511"/>
        <w:gridCol w:w="146"/>
        <w:gridCol w:w="146"/>
        <w:gridCol w:w="196"/>
        <w:gridCol w:w="511"/>
        <w:gridCol w:w="146"/>
        <w:gridCol w:w="146"/>
        <w:gridCol w:w="196"/>
        <w:gridCol w:w="346"/>
        <w:gridCol w:w="146"/>
        <w:gridCol w:w="146"/>
        <w:gridCol w:w="196"/>
        <w:gridCol w:w="346"/>
        <w:gridCol w:w="146"/>
        <w:gridCol w:w="146"/>
        <w:gridCol w:w="196"/>
        <w:gridCol w:w="511"/>
        <w:gridCol w:w="146"/>
        <w:gridCol w:w="146"/>
        <w:gridCol w:w="196"/>
        <w:gridCol w:w="511"/>
        <w:gridCol w:w="1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0"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 by geography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reports accounts receivable, net on the condensed consolidated balance sheets, which includes billed and unbilled receivables and current contract assets. In addition to accounts receivable, net, the Company had the following non-current accounts receivable and deferred revenue balances at June 30, 2026 and December 31,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8"/>
        <w:gridCol w:w="146"/>
        <w:gridCol w:w="295"/>
        <w:gridCol w:w="800"/>
        <w:gridCol w:w="146"/>
        <w:gridCol w:w="146"/>
        <w:gridCol w:w="387"/>
        <w:gridCol w:w="1054"/>
        <w:gridCol w:w="393"/>
      </w:tblGrid>
      <w:tr>
        <w:trPr/>
        <w:tc>
          <w:tcPr>
            <w:tcW w:w="6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Billed receivables, net of allowance for doubtful accounts of $37 million and $30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and six months ended June 30, 2026, revenue of $91 million and $395 million, respectively, was recognized that was reflected as deferred revenue at December 31, 2025. During the three months ended June 30, 2026, revenue of $274 million was recognized that was reflected as deferred revenue at March 31, 2026.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had no revenue related to performance obligations satisfied in a prior period.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Performance Obligations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contracts for which performance obligations have not been satisfied as of June 30, 2026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In addition, in accordance with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has elected not to disclose the remaining performance obligations when one or both of the following circumstances apply: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obligations which are part of a contract that has an original expected duration of less than one year,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obligations satisfied in accordance with ASC 606-10-55-18 (‘right to invoice’).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27"/>
        <w:gridCol w:w="146"/>
        <w:gridCol w:w="476"/>
        <w:gridCol w:w="955"/>
        <w:gridCol w:w="146"/>
        <w:gridCol w:w="146"/>
        <w:gridCol w:w="211"/>
        <w:gridCol w:w="421"/>
        <w:gridCol w:w="146"/>
        <w:gridCol w:w="146"/>
        <w:gridCol w:w="338"/>
        <w:gridCol w:w="680"/>
        <w:gridCol w:w="146"/>
        <w:gridCol w:w="146"/>
        <w:gridCol w:w="211"/>
        <w:gridCol w:w="571"/>
        <w:gridCol w:w="193"/>
      </w:tblGrid>
      <w:tr>
        <w:trPr/>
        <w:tc>
          <w:tcPr>
            <w:tcW w:w="5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Remainder of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 onward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expected to be recognized on contracts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 most of the Company’s contracts are cancellable with less than one year’s notice and have no substantive penalty for cancellation, the majority of the Company’s remaining performance obligations as of June 30, 2026 have been excluded from the table above.</w:t>
      </w:r>
    </w:p>
    <w:p>
      <w:pPr>
        <w:pStyle w:val="TextBody"/>
        <w:bidi w:val="0"/>
        <w:jc w:val="left"/>
        <w:rPr/>
      </w:pPr>
      <w:r>
        <w:rPr/>
        <w:t> </w:t>
      </w:r>
    </w:p>
    <w:p>
      <w:pPr>
        <w:pStyle w:val="TextBody"/>
        <w:bidi w:val="0"/>
        <w:jc w:val="left"/>
        <w:rPr>
          <w:rFonts w:ascii="Times New Roman" w:hAnsi="Times New Roman"/>
          <w:sz w:val="20"/>
        </w:rPr>
      </w:pPr>
      <w:bookmarkStart w:id="28" w:name="wltw_20180630_10q_htm_s7293a10643c65ae68"/>
      <w:bookmarkEnd w:id="28"/>
      <w:r>
        <w:rPr>
          <w:rFonts w:ascii="Times New Roman" w:hAnsi="Times New Roman"/>
          <w:b/>
          <w:color w:val="000000"/>
          <w:sz w:val="20"/>
        </w:rPr>
        <w:t>Note 5</w:t>
      </w:r>
      <w:r>
        <w:rPr>
          <w:rFonts w:ascii="Times New Roman" w:hAnsi="Times New Roman"/>
          <w:color w:val="000000"/>
          <w:sz w:val="20"/>
        </w:rPr>
        <w:t xml:space="preserve"> — </w:t>
      </w:r>
      <w:r>
        <w:rPr>
          <w:rFonts w:ascii="Times New Roman" w:hAnsi="Times New Roman"/>
          <w:b/>
          <w:color w:val="000000"/>
          <w:sz w:val="20"/>
        </w:rPr>
        <w:t>Segment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WTW has two reportable operating segments or business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Wealth &amp; Career (‘HWC’);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&amp; Broking (‘R&amp;B’).</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WTW’s chief operating decision maker (‘CODM’) is its chief executive officer. We determined that the operational data used by the CODM is at the segment level. Management bases strategic goals and decisions for these segments on the data presented below which is used to assess the adequacy of strategic decisions and the methods of achieving these strategies and related financial results. Management evaluates the performance of its segments and allocates resources to them based on net segment operating income performance and prospects on a pre-tax basis.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the segment structure and for internal and segment reporting, WTW segment revenue includes commissions and fees, interest and other income. U.S. GAAP revenue also includes amounts that were directly incurred on behalf of our clients and reimbursed by them (reimbursable expenses), which are not included in segment revenue. There is no significant segment revenue derived from transactions between the segments.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not presented any individual significant expense categories due to the following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CODM’s review focuses on segment operating income results in total, rather than on individual expenses to arrive at segment operating income. The CODM uses segment operating income to make decisions and allocate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does not regularly review any individual significant expense categories at the segment level. Rather, the segment leaders are tasked with achieving the targeted segment operating income and have discretion to determine how to manage their respective expense categories to achieve the targets set by the CODM.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Instead, the CODM routinely reviews budgeted, forecasted and actual expense information at the consolidated level only and not at the individual segment level.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Segment operating income excludes certain costs, including (i) amortization of intangibles; (ii) certain transaction and integration expenses; and (iii) to the extent that the actual expense based upon which allocations are made differs from the forecast/budget amount, a reconciling item will be created between internally-allocated expenses and the actual expenses that we report for U.S. GAAP purposes. Although not reviewed individually by the CODM, amounts included in segment expenses may be determined on both a direct and allocated basis and are related to salaries and benefits, depreciation, corporate overhead charges and other operating expenses, including for occupancy, colleague travel costs, legal, marketing, technology, professional fees and professional liability costs.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experiences seasonal fluctuations of its revenue. Revenue is typically higher during the Company’s first and fourth quarters due primarily to the timing of broking-related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presents segment revenue, segment expenses and segment operating income for our reportable segments for the three months ended June 30, 2026 and 2025. </w:t>
      </w:r>
    </w:p>
    <w:p>
      <w:pPr>
        <w:pStyle w:val="TextBody"/>
        <w:bidi w:val="0"/>
        <w:jc w:val="left"/>
        <w:rPr/>
      </w:pPr>
      <w:r>
        <w:rPr/>
        <w:t> </w:t>
      </w:r>
    </w:p>
    <w:tbl>
      <w:tblPr>
        <w:tblW w:w="10165"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segment revenue, segment expenses and segment operating income for our reportable segments for the six months ended June 30, 2026 and 2025.</w:t>
      </w:r>
    </w:p>
    <w:p>
      <w:pPr>
        <w:pStyle w:val="TextBody"/>
        <w:bidi w:val="0"/>
        <w:jc w:val="left"/>
        <w:rPr/>
      </w:pPr>
      <w:r>
        <w:rPr/>
        <w:t> </w:t>
      </w:r>
    </w:p>
    <w:tbl>
      <w:tblPr>
        <w:tblW w:w="10165" w:type="dxa"/>
        <w:jc w:val="left"/>
        <w:tblInd w:w="0" w:type="dxa"/>
        <w:tblLayout w:type="fixed"/>
        <w:tblCellMar>
          <w:top w:w="28" w:type="dxa"/>
          <w:left w:w="28" w:type="dxa"/>
          <w:bottom w:w="28" w:type="dxa"/>
          <w:right w:w="28" w:type="dxa"/>
        </w:tblCellMar>
      </w:tblPr>
      <w:tblGrid>
        <w:gridCol w:w="367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reconciliations of the information reported by segment to the Company’s condensed consolidated statements of comprehensive income amounts reported for the three and six months ended June 30, 2026 and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84"/>
        <w:gridCol w:w="146"/>
        <w:gridCol w:w="211"/>
        <w:gridCol w:w="571"/>
        <w:gridCol w:w="166"/>
        <w:gridCol w:w="146"/>
        <w:gridCol w:w="211"/>
        <w:gridCol w:w="571"/>
        <w:gridCol w:w="166"/>
        <w:gridCol w:w="146"/>
        <w:gridCol w:w="211"/>
        <w:gridCol w:w="571"/>
        <w:gridCol w:w="166"/>
        <w:gridCol w:w="146"/>
        <w:gridCol w:w="211"/>
        <w:gridCol w:w="571"/>
        <w:gridCol w:w="411"/>
      </w:tblGrid>
      <w:tr>
        <w:trPr/>
        <w:tc>
          <w:tcPr>
            <w:tcW w:w="5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Reimbursable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segment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Transaction and integration expenses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Unallocated, net </w:t>
            </w:r>
            <w:r>
              <w:rPr>
                <w:rFonts w:ascii="Times New Roman" w:hAnsi="Times New Roman"/>
                <w:color w:val="000000"/>
                <w:sz w:val="13"/>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operations before income taxes and interest in earnings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sz w:val="20"/>
        </w:rPr>
      </w:pPr>
      <w:r>
        <w:rPr>
          <w:rFonts w:ascii="Times New Roman" w:hAnsi="Times New Roman"/>
          <w:color w:val="000000"/>
          <w:sz w:val="16"/>
        </w:rPr>
        <w:t>Primarily includes share-based compensation and other transaction-related costs attributable to our Newfront acquisition</w:t>
      </w:r>
      <w:r>
        <w:rPr>
          <w:rFonts w:ascii="Times New Roman" w:hAnsi="Times New Roman"/>
          <w:color w:val="000000"/>
          <w:sz w:val="20"/>
        </w:rPr>
        <w:t xml:space="preserve"> </w:t>
      </w:r>
      <w:r>
        <w:rPr>
          <w:rFonts w:ascii="Times New Roman" w:hAnsi="Times New Roman"/>
          <w:color w:val="000000"/>
          <w:sz w:val="16"/>
        </w:rPr>
        <w:t>(see Note 3 — Acquisitions).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does not currently provide asset information by reportable segment as it does not routinely evaluate the total asset position by segment.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Below are our revenue (on the basis of where the work was performed) and tangible long-lived assets for Ireland, our country of domicile, countries with significant concentrations and all other foreign countries as of and for the periods ended as indicated: </w:t>
      </w:r>
    </w:p>
    <w:p>
      <w:pPr>
        <w:pStyle w:val="TextBody"/>
        <w:bidi w:val="0"/>
        <w:spacing w:before="180" w:after="283"/>
        <w:jc w:val="left"/>
        <w:rPr/>
      </w:pPr>
      <w:r>
        <w:rPr/>
        <w:t> </w:t>
      </w:r>
    </w:p>
    <w:tbl>
      <w:tblPr>
        <w:tblW w:w="8873" w:type="dxa"/>
        <w:jc w:val="left"/>
        <w:tblInd w:w="0" w:type="dxa"/>
        <w:tblLayout w:type="fixed"/>
        <w:tblCellMar>
          <w:top w:w="28" w:type="dxa"/>
          <w:left w:w="28" w:type="dxa"/>
          <w:bottom w:w="28" w:type="dxa"/>
          <w:right w:w="28" w:type="dxa"/>
        </w:tblCellMar>
      </w:tblPr>
      <w:tblGrid>
        <w:gridCol w:w="2071"/>
        <w:gridCol w:w="146"/>
        <w:gridCol w:w="211"/>
        <w:gridCol w:w="571"/>
        <w:gridCol w:w="146"/>
        <w:gridCol w:w="146"/>
        <w:gridCol w:w="211"/>
        <w:gridCol w:w="571"/>
        <w:gridCol w:w="146"/>
        <w:gridCol w:w="146"/>
        <w:gridCol w:w="211"/>
        <w:gridCol w:w="571"/>
        <w:gridCol w:w="146"/>
        <w:gridCol w:w="146"/>
        <w:gridCol w:w="211"/>
        <w:gridCol w:w="571"/>
        <w:gridCol w:w="146"/>
        <w:gridCol w:w="146"/>
        <w:gridCol w:w="211"/>
        <w:gridCol w:w="571"/>
        <w:gridCol w:w="146"/>
        <w:gridCol w:w="146"/>
        <w:gridCol w:w="294"/>
        <w:gridCol w:w="80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Long-Lived Assets </w:t>
            </w:r>
            <w:r>
              <w:rPr>
                <w:rFonts w:ascii="Times New Roman" w:hAnsi="Times New Roman"/>
                <w:b/>
                <w:color w:val="000000"/>
                <w:sz w:val="11"/>
              </w:rPr>
              <w:t>(i)</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Foreign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sz w:val="20"/>
        </w:rPr>
      </w:pPr>
      <w:r>
        <w:rPr>
          <w:rFonts w:ascii="Times New Roman" w:hAnsi="Times New Roman"/>
          <w:color w:val="000000"/>
          <w:sz w:val="16"/>
        </w:rPr>
        <w:t>Tangible long-lived assets consist of fixed assets and right-of-use (‘ROU’)</w:t>
      </w:r>
      <w:r>
        <w:rPr>
          <w:rFonts w:ascii="Times New Roman" w:hAnsi="Times New Roman"/>
          <w:color w:val="000000"/>
          <w:sz w:val="20"/>
        </w:rPr>
        <w:t xml:space="preserve"> </w:t>
      </w:r>
      <w:r>
        <w:rPr>
          <w:rFonts w:ascii="Times New Roman" w:hAnsi="Times New Roman"/>
          <w:color w:val="000000"/>
          <w:sz w:val="16"/>
        </w:rPr>
        <w:t>assets.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Income Taxes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Provision for income taxes for the three months ended June 30, 2026 was $57 million compared to a benefit from income taxes of $21 million for the three months ended June 30, 2025. Provision for income taxes was $127 million and $44 million for the six months ended June 30, 2026 and 2025, respectively. The effective tax rates were 19.8% and 19.1% for the three and six months ended June 30, 2026, respectively, and (6.8)% and 7.1% for the three and six months ended June 30, 2025, respectively. These effective tax rates are calculated using extended values from our condensed consolidated statements of comprehensive income and are therefore more precise tax rates than can be calculated from rounded values. The prior-year effective tax rates were lower primarily due to favorable discrete items including an adjustment to the tax provision associated with the earnout received from the sale of our Willis Re business, and changes in measurement for existing uncertain tax positions.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Company records valuation allowances against net deferred tax assets based on whether it is more likely than not that the deferred tax assets will be realized. At June 30, 2026, we have liabilities for uncertain tax positions under ASC 740, </w:t>
      </w:r>
      <w:r>
        <w:rPr>
          <w:rFonts w:ascii="Times New Roman" w:hAnsi="Times New Roman"/>
          <w:i/>
          <w:color w:val="000000"/>
          <w:sz w:val="20"/>
        </w:rPr>
        <w:t>Income Taxes</w:t>
      </w:r>
      <w:r>
        <w:rPr>
          <w:rFonts w:ascii="Times New Roman" w:hAnsi="Times New Roman"/>
          <w:color w:val="000000"/>
          <w:sz w:val="20"/>
        </w:rPr>
        <w:t xml:space="preserve"> of $38 million, excluding interest and penalties. </w:t>
      </w:r>
    </w:p>
    <w:p>
      <w:pPr>
        <w:pStyle w:val="TextBody"/>
        <w:bidi w:val="0"/>
        <w:spacing w:before="180" w:after="283"/>
        <w:jc w:val="left"/>
        <w:rPr>
          <w:rFonts w:ascii="Times New Roman" w:hAnsi="Times New Roman"/>
          <w:sz w:val="20"/>
        </w:rPr>
      </w:pPr>
      <w:bookmarkStart w:id="29" w:name="wltw_20180630_10q_htm_s1faebaef0d6f58868"/>
      <w:bookmarkEnd w:id="29"/>
      <w:r>
        <w:rPr>
          <w:rFonts w:ascii="Times New Roman" w:hAnsi="Times New Roman"/>
          <w:b/>
          <w:color w:val="000000"/>
          <w:sz w:val="20"/>
        </w:rPr>
        <w:t>Note 7</w:t>
      </w:r>
      <w:r>
        <w:rPr>
          <w:rFonts w:ascii="Times New Roman" w:hAnsi="Times New Roman"/>
          <w:color w:val="000000"/>
          <w:sz w:val="20"/>
        </w:rPr>
        <w:t xml:space="preserve"> — </w:t>
      </w:r>
      <w:r>
        <w:rPr>
          <w:rFonts w:ascii="Times New Roman" w:hAnsi="Times New Roman"/>
          <w:b/>
          <w:color w:val="000000"/>
          <w:sz w:val="20"/>
        </w:rPr>
        <w:t>Goodwill and Other Intangible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components of goodwill are outlined below for the six months ended June 30, 2026: </w:t>
      </w:r>
    </w:p>
    <w:p>
      <w:pPr>
        <w:pStyle w:val="TextBody"/>
        <w:bidi w:val="0"/>
        <w:jc w:val="left"/>
        <w:rPr/>
      </w:pPr>
      <w:r>
        <w:rPr/>
        <w:t> </w:t>
      </w:r>
    </w:p>
    <w:tbl>
      <w:tblPr>
        <w:tblW w:w="6568" w:type="dxa"/>
        <w:jc w:val="left"/>
        <w:tblInd w:w="0" w:type="dxa"/>
        <w:tblLayout w:type="fixed"/>
        <w:tblCellMar>
          <w:top w:w="28" w:type="dxa"/>
          <w:left w:w="28" w:type="dxa"/>
          <w:bottom w:w="28" w:type="dxa"/>
          <w:right w:w="28" w:type="dxa"/>
        </w:tblCellMar>
      </w:tblPr>
      <w:tblGrid>
        <w:gridCol w:w="2956"/>
        <w:gridCol w:w="146"/>
        <w:gridCol w:w="211"/>
        <w:gridCol w:w="571"/>
        <w:gridCol w:w="166"/>
        <w:gridCol w:w="146"/>
        <w:gridCol w:w="211"/>
        <w:gridCol w:w="571"/>
        <w:gridCol w:w="166"/>
        <w:gridCol w:w="146"/>
        <w:gridCol w:w="211"/>
        <w:gridCol w:w="676"/>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HWC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R&amp;B</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impairment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net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Intangible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reflects changes in the net carrying amounts of the components of finite-lived intangible assets for the six months ended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17"/>
        <w:gridCol w:w="146"/>
        <w:gridCol w:w="344"/>
        <w:gridCol w:w="1037"/>
        <w:gridCol w:w="166"/>
        <w:gridCol w:w="146"/>
        <w:gridCol w:w="233"/>
        <w:gridCol w:w="533"/>
        <w:gridCol w:w="166"/>
        <w:gridCol w:w="146"/>
        <w:gridCol w:w="491"/>
        <w:gridCol w:w="1333"/>
        <w:gridCol w:w="166"/>
        <w:gridCol w:w="146"/>
        <w:gridCol w:w="211"/>
        <w:gridCol w:w="376"/>
        <w:gridCol w:w="166"/>
        <w:gridCol w:w="146"/>
        <w:gridCol w:w="211"/>
        <w:gridCol w:w="631"/>
        <w:gridCol w:w="394"/>
      </w:tblGrid>
      <w:tr>
        <w:trPr/>
        <w:tc>
          <w:tcPr>
            <w:tcW w:w="3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Client relationships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Trademark and trade name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weighted-average remaining life of amortizable intangible assets at June 30, 2026 was 10.8 years.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table below reflects the future estimated amortization expense for amortizable intangible assets for the remainder of 2026 and for subsequent years: </w:t>
      </w:r>
    </w:p>
    <w:p>
      <w:pPr>
        <w:pStyle w:val="TextBody"/>
        <w:bidi w:val="0"/>
        <w:jc w:val="left"/>
        <w:rPr/>
      </w:pPr>
      <w:r>
        <w:rPr/>
        <w:t> </w:t>
      </w:r>
    </w:p>
    <w:tbl>
      <w:tblPr>
        <w:tblW w:w="3099" w:type="dxa"/>
        <w:jc w:val="left"/>
        <w:tblInd w:w="0" w:type="dxa"/>
        <w:tblLayout w:type="fixed"/>
        <w:tblCellMar>
          <w:top w:w="28" w:type="dxa"/>
          <w:left w:w="28" w:type="dxa"/>
          <w:bottom w:w="28" w:type="dxa"/>
          <w:right w:w="28" w:type="dxa"/>
        </w:tblCellMar>
      </w:tblPr>
      <w:tblGrid>
        <w:gridCol w:w="1681"/>
        <w:gridCol w:w="146"/>
        <w:gridCol w:w="291"/>
        <w:gridCol w:w="790"/>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bookmarkStart w:id="30" w:name="wltw_20180630_10q_htm_s48667f3885d45b4d9"/>
      <w:bookmarkEnd w:id="30"/>
      <w:r>
        <w:rPr>
          <w:rFonts w:ascii="Times New Roman" w:hAnsi="Times New Roman"/>
          <w:b/>
          <w:color w:val="000000"/>
          <w:sz w:val="20"/>
        </w:rPr>
        <w:t>Note 8</w:t>
      </w:r>
      <w:r>
        <w:rPr>
          <w:rFonts w:ascii="Times New Roman" w:hAnsi="Times New Roman"/>
          <w:color w:val="000000"/>
          <w:sz w:val="20"/>
        </w:rPr>
        <w:t xml:space="preserve"> — </w:t>
      </w:r>
      <w:r>
        <w:rPr>
          <w:rFonts w:ascii="Times New Roman" w:hAnsi="Times New Roman"/>
          <w:b/>
          <w:color w:val="000000"/>
          <w:sz w:val="20"/>
        </w:rPr>
        <w:t>Derivative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10 — Fair Value Measurements and Investments and Note 16 — Accumulated Other Comprehensive Loss.</w:t>
      </w:r>
    </w:p>
    <w:p>
      <w:pPr>
        <w:pStyle w:val="TextBody"/>
        <w:bidi w:val="0"/>
        <w:spacing w:before="180" w:after="283"/>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These derivatives were designated as hedging instruments and at June 30, 2026 and December 31, 2025 had total notional amounts of $175 million and $165 million, respectively, with net fair value assets of $1 million and $3 million, respectively.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June 30, 2026, the Company estimates, based on current exchange rates, there will be $1 million of net derivative gains on forward exchange rates reclassified from accumulated other comprehensive loss into earnings within the next twelve months as the forecast transactions affect earnings. At June 30, 2026, our longest outstanding maturity was 1.7 years.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effects of the material derivative instruments that are designated as hedging instruments on the condensed consolidated statements of comprehensive income for the three and six months ended June 30, 2026 and 2025 are below. Amounts pertaining to the ineffective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portion of hedging instruments and those excluded from effectiveness testing were not material for the three and six months ended June 30, 2026 and 2025. </w:t>
      </w:r>
    </w:p>
    <w:p>
      <w:pPr>
        <w:pStyle w:val="TextBody"/>
        <w:bidi w:val="0"/>
        <w:jc w:val="left"/>
        <w:rPr/>
      </w:pPr>
      <w:r>
        <w:rPr/>
        <w:t> </w:t>
      </w:r>
    </w:p>
    <w:tbl>
      <w:tblPr>
        <w:tblW w:w="7131" w:type="dxa"/>
        <w:jc w:val="left"/>
        <w:tblInd w:w="0" w:type="dxa"/>
        <w:tblLayout w:type="fixed"/>
        <w:tblCellMar>
          <w:top w:w="28" w:type="dxa"/>
          <w:left w:w="28" w:type="dxa"/>
          <w:bottom w:w="28" w:type="dxa"/>
          <w:right w:w="28" w:type="dxa"/>
        </w:tblCellMar>
      </w:tblPr>
      <w:tblGrid>
        <w:gridCol w:w="2116"/>
        <w:gridCol w:w="146"/>
        <w:gridCol w:w="412"/>
        <w:gridCol w:w="412"/>
        <w:gridCol w:w="307"/>
        <w:gridCol w:w="307"/>
        <w:gridCol w:w="412"/>
        <w:gridCol w:w="412"/>
        <w:gridCol w:w="174"/>
        <w:gridCol w:w="174"/>
        <w:gridCol w:w="308"/>
        <w:gridCol w:w="544"/>
        <w:gridCol w:w="229"/>
        <w:gridCol w:w="229"/>
        <w:gridCol w:w="308"/>
        <w:gridCol w:w="450"/>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 recognized in OCI (effective element)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Forward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1"/>
        <w:gridCol w:w="146"/>
        <w:gridCol w:w="324"/>
        <w:gridCol w:w="573"/>
        <w:gridCol w:w="242"/>
        <w:gridCol w:w="242"/>
        <w:gridCol w:w="329"/>
        <w:gridCol w:w="424"/>
        <w:gridCol w:w="275"/>
        <w:gridCol w:w="242"/>
        <w:gridCol w:w="324"/>
        <w:gridCol w:w="573"/>
        <w:gridCol w:w="242"/>
        <w:gridCol w:w="242"/>
        <w:gridCol w:w="324"/>
        <w:gridCol w:w="573"/>
        <w:gridCol w:w="199"/>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Location of (loss)/gain reclassified from Accumulated OCL into income (effective element)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(Loss)/gain reclassified from Accumulated OCL into income (effective element)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June 30, 2026 and December 31, 2025, we had notional amounts of $683 million and $739 million, respectively, with a net fair value liability of $1 million and a net fair value asset of $1 million, respectively. Such derivatives typically mature within three months.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effects of derivatives that have not been designated as hedging instruments on the condensed consolidated statements of comprehensive income for the three and six months ended June 30, 2026 and 2025 are as follows (see Note 15 — Other Income/(Loss), Net for the net foreign currency impact on the Company’s condensed consolidated statements of comprehensive income which includes the results of the offset of underlying exposures). Additionally, the Company had foreign exchange option derivatives to hedge against cash flow risk associated with its now-completed Cushon acquisition (see Note 3 — Acquisitions). These derivatives were not designated as hedging instruments and matured during the second quarter of 2026. The effect of the foreign exchange options on the condensed consolidated statements of comprehensive income was not material for the three and six months ended June 30, 2026. </w:t>
      </w:r>
    </w:p>
    <w:p>
      <w:pPr>
        <w:pStyle w:val="TextBody"/>
        <w:bidi w:val="0"/>
        <w:jc w:val="left"/>
        <w:rPr/>
      </w:pPr>
      <w:r>
        <w:rPr/>
        <w:t> </w:t>
      </w:r>
    </w:p>
    <w:tbl>
      <w:tblPr>
        <w:tblW w:w="9489" w:type="dxa"/>
        <w:jc w:val="left"/>
        <w:tblInd w:w="0" w:type="dxa"/>
        <w:tblLayout w:type="fixed"/>
        <w:tblCellMar>
          <w:top w:w="28" w:type="dxa"/>
          <w:left w:w="28" w:type="dxa"/>
          <w:bottom w:w="28" w:type="dxa"/>
          <w:right w:w="28" w:type="dxa"/>
        </w:tblCellMar>
      </w:tblPr>
      <w:tblGrid>
        <w:gridCol w:w="3796"/>
        <w:gridCol w:w="146"/>
        <w:gridCol w:w="1816"/>
        <w:gridCol w:w="146"/>
        <w:gridCol w:w="300"/>
        <w:gridCol w:w="300"/>
        <w:gridCol w:w="224"/>
        <w:gridCol w:w="224"/>
        <w:gridCol w:w="300"/>
        <w:gridCol w:w="300"/>
        <w:gridCol w:w="146"/>
        <w:gridCol w:w="146"/>
        <w:gridCol w:w="229"/>
        <w:gridCol w:w="299"/>
        <w:gridCol w:w="193"/>
        <w:gridCol w:w="170"/>
        <w:gridCol w:w="229"/>
        <w:gridCol w:w="334"/>
        <w:gridCol w:w="1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Gain/(loss) recognized in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not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 of gain/(loss)</w:t>
              <w:br/>
              <w:t>recognized in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Forward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Other income/(loss),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1" w:name="wltw_20180630_10q_htm_sd255a859a8ed56959"/>
      <w:bookmarkEnd w:id="31"/>
      <w:r>
        <w:rPr>
          <w:rFonts w:ascii="Times New Roman" w:hAnsi="Times New Roman"/>
          <w:b/>
          <w:color w:val="000000"/>
          <w:sz w:val="20"/>
        </w:rPr>
        <w:t>Note 9</w:t>
      </w:r>
      <w:r>
        <w:rPr>
          <w:rFonts w:ascii="Times New Roman" w:hAnsi="Times New Roman"/>
          <w:color w:val="000000"/>
          <w:sz w:val="20"/>
        </w:rPr>
        <w:t xml:space="preserve"> — </w:t>
      </w:r>
      <w:r>
        <w:rPr>
          <w:rFonts w:ascii="Times New Roman" w:hAnsi="Times New Roman"/>
          <w:b/>
          <w:color w:val="000000"/>
          <w:sz w:val="20"/>
        </w:rPr>
        <w:t>Debt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Current debt consists of the following:</w:t>
      </w:r>
    </w:p>
    <w:p>
      <w:pPr>
        <w:pStyle w:val="TextBody"/>
        <w:bidi w:val="0"/>
        <w:jc w:val="left"/>
        <w:rPr/>
      </w:pPr>
      <w:r>
        <w:rPr/>
        <w:t> </w:t>
      </w:r>
    </w:p>
    <w:tbl>
      <w:tblPr>
        <w:tblW w:w="5115" w:type="dxa"/>
        <w:jc w:val="left"/>
        <w:tblInd w:w="0" w:type="dxa"/>
        <w:tblLayout w:type="fixed"/>
        <w:tblCellMar>
          <w:top w:w="28" w:type="dxa"/>
          <w:left w:w="28" w:type="dxa"/>
          <w:bottom w:w="28" w:type="dxa"/>
          <w:right w:w="28" w:type="dxa"/>
        </w:tblCellMar>
      </w:tblPr>
      <w:tblGrid>
        <w:gridCol w:w="2581"/>
        <w:gridCol w:w="146"/>
        <w:gridCol w:w="255"/>
        <w:gridCol w:w="510"/>
        <w:gridCol w:w="146"/>
        <w:gridCol w:w="146"/>
        <w:gridCol w:w="379"/>
        <w:gridCol w:w="761"/>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4.400% senior notes due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4.650%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Long-term debt consists of the following: </w:t>
      </w:r>
    </w:p>
    <w:p>
      <w:pPr>
        <w:pStyle w:val="TextBody"/>
        <w:bidi w:val="0"/>
        <w:jc w:val="left"/>
        <w:rPr/>
      </w:pPr>
      <w:r>
        <w:rPr/>
        <w:t> </w:t>
      </w:r>
    </w:p>
    <w:tbl>
      <w:tblPr>
        <w:tblW w:w="5687" w:type="dxa"/>
        <w:jc w:val="left"/>
        <w:tblInd w:w="0" w:type="dxa"/>
        <w:tblLayout w:type="fixed"/>
        <w:tblCellMar>
          <w:top w:w="28" w:type="dxa"/>
          <w:left w:w="28" w:type="dxa"/>
          <w:bottom w:w="28" w:type="dxa"/>
          <w:right w:w="28" w:type="dxa"/>
        </w:tblCellMar>
      </w:tblPr>
      <w:tblGrid>
        <w:gridCol w:w="3136"/>
        <w:gridCol w:w="146"/>
        <w:gridCol w:w="211"/>
        <w:gridCol w:w="571"/>
        <w:gridCol w:w="146"/>
        <w:gridCol w:w="146"/>
        <w:gridCol w:w="306"/>
        <w:gridCol w:w="834"/>
        <w:gridCol w:w="1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$1.5 billion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Delayed draw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4.650% senior notes due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4.500% senior notes due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2.950% senior notes due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4.550% senior notes due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5.350% senior notes due 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5.150% senior notes due 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6.125% senior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5.050% senior notes due 2048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3.875% senior notes due 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5.900% senior notes due 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Delayed draw term loan</w:t>
      </w:r>
    </w:p>
    <w:p>
      <w:pPr>
        <w:pStyle w:val="TextBody"/>
        <w:bidi w:val="0"/>
        <w:spacing w:before="180" w:after="283"/>
        <w:jc w:val="left"/>
        <w:rPr>
          <w:rFonts w:ascii="Times New Roman" w:hAnsi="Times New Roman"/>
          <w:sz w:val="20"/>
        </w:rPr>
      </w:pPr>
      <w:r>
        <w:rPr>
          <w:rFonts w:ascii="Times New Roman" w:hAnsi="Times New Roman"/>
          <w:color w:val="000000"/>
          <w:sz w:val="20"/>
        </w:rPr>
        <w:t>On January 7, 2026, the Company, together with Trinity Acquisition plc and Willis North America Inc. as borrowers (the ‘Borrowers’), entered into a $775 million delayed draw term loan (the ‘DDTL’). Drawings against the DDTL may be used (i) to finance a portion of the Newfront acquisition (see Note 3 — Acquisitions);</w:t>
      </w:r>
      <w:r>
        <w:rPr>
          <w:rFonts w:ascii="Times New Roman" w:hAnsi="Times New Roman"/>
          <w:color w:val="FF0000"/>
          <w:sz w:val="20"/>
        </w:rPr>
        <w:t xml:space="preserve"> </w:t>
      </w:r>
      <w:r>
        <w:rPr>
          <w:rFonts w:ascii="Times New Roman" w:hAnsi="Times New Roman"/>
          <w:color w:val="000000"/>
          <w:sz w:val="20"/>
        </w:rPr>
        <w:t>(ii) to refinance certain outstanding indebtedness of the Company and its subsidiaries, and (iii) for working capital, capital expenditures, permitted acquisitions and general corporate purposes.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Amounts outstanding under the DDTL shall bear interest, at the Borrowers’ option, at a rate equal to (i) the term secured overnight financing rate plus an applicable margin of 0.625% to 1.250% (based upon the Company’s guaranteed senior-unsecured long-term debt rating) or (ii) the base rate plus an applicable margin of 0.00% to 0.250% (based upon the Company’s guaranteed senior-unsecured long-term debt rating). In addition, the Borrowers will pay a commitment fee in an amount equal to 0.055% to 0.140% (based upon the Company’s guaranteed senior-unsecured long-term debt rating) on the unused amount of commitments under the DDTL. Interest is payable no later than every three months and interest rates are reset on a one-, three- or six-month basis, at the election of the Company, but may be shorter or longer durations with consent of the lenders.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DDTL may be drawn on up to four borrowings, each of which is subject to customary conditions, including, solely in the case of drawings that are not used to fund the Newfront acquisition, the accuracy and completeness in all material respects of all representations and warranties in the loan documentation and that no default under the DDTL shall exist, or would result from such borrowing or the application of the drawings thereof.</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March 16, 2026, the Company made the first borrowing under the DDTL for $550 million in relation to the repayment of the 4.400% senior notes due 2026 (see below). On April 30, 2026, the Company borrowed the remaining $225 million available under the DDTL to fund its Cushon acquisition (see Note 3 — Acquisitions). In accordance with the terms of the DDTL agreement, the maturity date for all borrowings is established as three years from the date of the first borrowing, or March 16, 2029.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Repayment of 4.400% Senior Notes due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March 16, 2026, the Company repaid in full the $550 million aggregate principal amount and related accrued interest of the 4.400% senior notes due 2026 ($562 million in total) using borrowings against the DDTL and cash on hand.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Covenant Compliance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June 30, 2026 and December 31, 2025, we were in compliance with all financial covenants.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bookmarkStart w:id="32" w:name="wltw_20180630_10q_htm_sbd4e3437a8d75991b"/>
      <w:bookmarkEnd w:id="32"/>
      <w:r>
        <w:rPr>
          <w:rFonts w:ascii="Times New Roman" w:hAnsi="Times New Roman"/>
          <w:b/>
          <w:color w:val="000000"/>
          <w:sz w:val="20"/>
        </w:rPr>
        <w:t>Note 10</w:t>
      </w:r>
      <w:r>
        <w:rPr>
          <w:rFonts w:ascii="Times New Roman" w:hAnsi="Times New Roman"/>
          <w:color w:val="000000"/>
          <w:sz w:val="20"/>
        </w:rPr>
        <w:t xml:space="preserve"> — </w:t>
      </w:r>
      <w:r>
        <w:rPr>
          <w:rFonts w:ascii="Times New Roman" w:hAnsi="Times New Roman"/>
          <w:b/>
          <w:color w:val="000000"/>
          <w:sz w:val="20"/>
        </w:rPr>
        <w:t>Fair Value Measurements and Investments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categorized its assets and liabilities that are measured at fair value on a recurring and non-recurring basis into a three-level fair value hierarchy, based on the reliability of the inputs used to determine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refers to fair values determined based on quoted market prices in active markets for identical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refers to fair values estimated using observable market-based inputs or unobservable inputs that are corroborated by market data;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includes fair values estimated using unobservable inputs that are not corroborated by market data.</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methods and assumptions were used by the Company in estimating its fair value disclosure for financial instruments: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Mutual funds and exchange-traded funds are classified as Level 1 because we use quoted market prices in active markets in determining the fair value of these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securities are classified as Level 1 financial instruments as they are based on quoted market prices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Commingled funds are not leveled within the fair value hierarchy as the funds are valued at the net value of shares held as reported by the manager of the funds. These funds are not exchange-traded.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tables present our assets and liabilities measured at fair value on a recurring basis at June 30, 2026 and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6"/>
        <w:gridCol w:w="146"/>
        <w:gridCol w:w="3527"/>
        <w:gridCol w:w="146"/>
        <w:gridCol w:w="214"/>
        <w:gridCol w:w="427"/>
        <w:gridCol w:w="148"/>
        <w:gridCol w:w="148"/>
        <w:gridCol w:w="214"/>
        <w:gridCol w:w="352"/>
        <w:gridCol w:w="148"/>
        <w:gridCol w:w="148"/>
        <w:gridCol w:w="214"/>
        <w:gridCol w:w="352"/>
        <w:gridCol w:w="148"/>
        <w:gridCol w:w="148"/>
        <w:gridCol w:w="214"/>
        <w:gridCol w:w="427"/>
        <w:gridCol w:w="398"/>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 on a Recurring Basis at</w:t>
              <w:br/>
              <w:t>June 30, 2026</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Mutual funds/exchange traded funds </w:t>
            </w:r>
            <w:r>
              <w:rPr>
                <w:rFonts w:ascii="Times New Roman" w:hAnsi="Times New Roman"/>
                <w:color w:val="000000"/>
                <w:sz w:val="12"/>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Fiduciary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Commingled funds </w:t>
            </w:r>
            <w:r>
              <w:rPr>
                <w:rFonts w:ascii="Times New Roman" w:hAnsi="Times New Roman"/>
                <w:color w:val="000000"/>
                <w:sz w:val="12"/>
              </w:rPr>
              <w:t>(i)</w:t>
            </w:r>
            <w:r>
              <w:rPr>
                <w:rFonts w:ascii="Times New Roman" w:hAnsi="Times New Roman"/>
                <w:color w:val="000000"/>
                <w:sz w:val="18"/>
              </w:rPr>
              <w:t xml:space="preserve"> </w:t>
            </w:r>
            <w:r>
              <w:rPr>
                <w:rFonts w:ascii="Times New Roman" w:hAnsi="Times New Roman"/>
                <w:color w:val="000000"/>
                <w:sz w:val="12"/>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Hedge funds </w:t>
            </w:r>
            <w:r>
              <w:rPr>
                <w:rFonts w:ascii="Times New Roman" w:hAnsi="Times New Roman"/>
                <w:color w:val="000000"/>
                <w:sz w:val="12"/>
              </w:rPr>
              <w:t>(i)</w:t>
            </w:r>
            <w:r>
              <w:rPr>
                <w:rFonts w:ascii="Times New Roman" w:hAnsi="Times New Roman"/>
                <w:color w:val="000000"/>
                <w:sz w:val="18"/>
              </w:rPr>
              <w:t xml:space="preserve"> </w:t>
            </w:r>
            <w:r>
              <w:rPr>
                <w:rFonts w:ascii="Times New Roman" w:hAnsi="Times New Roman"/>
                <w:color w:val="000000"/>
                <w:sz w:val="12"/>
              </w:rPr>
              <w:t>(iii)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Derivative financial instruments </w:t>
            </w:r>
            <w:r>
              <w:rPr>
                <w:rFonts w:ascii="Times New Roman" w:hAnsi="Times New Roman"/>
                <w:color w:val="000000"/>
                <w:sz w:val="12"/>
              </w:rPr>
              <w:t>(iv)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Contingent consideration </w:t>
            </w:r>
            <w:r>
              <w:rPr>
                <w:rFonts w:ascii="Times New Roman" w:hAnsi="Times New Roman"/>
                <w:color w:val="000000"/>
                <w:sz w:val="12"/>
              </w:rPr>
              <w:t>(v)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 and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Derivative financial instruments </w:t>
            </w:r>
            <w:r>
              <w:rPr>
                <w:rFonts w:ascii="Times New Roman" w:hAnsi="Times New Roman"/>
                <w:color w:val="000000"/>
                <w:sz w:val="12"/>
              </w:rPr>
              <w: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 and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686"/>
        <w:gridCol w:w="146"/>
        <w:gridCol w:w="3527"/>
        <w:gridCol w:w="146"/>
        <w:gridCol w:w="214"/>
        <w:gridCol w:w="427"/>
        <w:gridCol w:w="148"/>
        <w:gridCol w:w="148"/>
        <w:gridCol w:w="214"/>
        <w:gridCol w:w="352"/>
        <w:gridCol w:w="148"/>
        <w:gridCol w:w="148"/>
        <w:gridCol w:w="214"/>
        <w:gridCol w:w="352"/>
        <w:gridCol w:w="148"/>
        <w:gridCol w:w="148"/>
        <w:gridCol w:w="214"/>
        <w:gridCol w:w="427"/>
        <w:gridCol w:w="398"/>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 on a Recurring Basis at</w:t>
              <w:br/>
              <w:t>December 31, 2025</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Mutual funds/exchange traded funds </w:t>
            </w:r>
            <w:r>
              <w:rPr>
                <w:rFonts w:ascii="Times New Roman" w:hAnsi="Times New Roman"/>
                <w:color w:val="000000"/>
                <w:sz w:val="12"/>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Fiduciary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Commingled funds </w:t>
            </w:r>
            <w:r>
              <w:rPr>
                <w:rFonts w:ascii="Times New Roman" w:hAnsi="Times New Roman"/>
                <w:color w:val="000000"/>
                <w:sz w:val="12"/>
              </w:rPr>
              <w:t>(i)</w:t>
            </w:r>
            <w:r>
              <w:rPr>
                <w:rFonts w:ascii="Times New Roman" w:hAnsi="Times New Roman"/>
                <w:color w:val="000000"/>
                <w:sz w:val="18"/>
              </w:rPr>
              <w:t xml:space="preserve"> </w:t>
            </w:r>
            <w:r>
              <w:rPr>
                <w:rFonts w:ascii="Times New Roman" w:hAnsi="Times New Roman"/>
                <w:color w:val="000000"/>
                <w:sz w:val="12"/>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Hedge funds </w:t>
            </w:r>
            <w:r>
              <w:rPr>
                <w:rFonts w:ascii="Times New Roman" w:hAnsi="Times New Roman"/>
                <w:color w:val="000000"/>
                <w:sz w:val="12"/>
              </w:rPr>
              <w:t>(i)</w:t>
            </w:r>
            <w:r>
              <w:rPr>
                <w:rFonts w:ascii="Times New Roman" w:hAnsi="Times New Roman"/>
                <w:color w:val="000000"/>
                <w:sz w:val="18"/>
              </w:rPr>
              <w:t xml:space="preserve"> </w:t>
            </w:r>
            <w:r>
              <w:rPr>
                <w:rFonts w:ascii="Times New Roman" w:hAnsi="Times New Roman"/>
                <w:color w:val="000000"/>
                <w:sz w:val="12"/>
              </w:rPr>
              <w:t>(iii)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Derivative financial instruments </w:t>
            </w:r>
            <w:r>
              <w:rPr>
                <w:rFonts w:ascii="Times New Roman" w:hAnsi="Times New Roman"/>
                <w:color w:val="000000"/>
                <w:sz w:val="12"/>
              </w:rPr>
              <w:t>(iv)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and other current assets and 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Contingent consideration </w:t>
            </w:r>
            <w:r>
              <w:rPr>
                <w:rFonts w:ascii="Times New Roman" w:hAnsi="Times New Roman"/>
                <w:color w:val="000000"/>
                <w:sz w:val="12"/>
              </w:rPr>
              <w:t>(v)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 and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Derivative financial instruments </w:t>
            </w:r>
            <w:r>
              <w:rPr>
                <w:rFonts w:ascii="Times New Roman" w:hAnsi="Times New Roman"/>
                <w:color w:val="000000"/>
                <w:sz w:val="12"/>
              </w:rPr>
              <w:t>(iv)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 and 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Consists of the Towers Watson Global Equity Focus Fund, for which redemptions can occur on any business day, and require a minimum of one business day’s notice.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(iii)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Consists of the Towers Watson Alternative Credit Fund, for which the redemption period is generally quarterly, however requires a 50-day notice.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(iv)</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See Note 8 — Derivative Financial Instruments for further information on our derivative contracts.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(v)</w:t>
      </w:r>
    </w:p>
    <w:p>
      <w:pPr>
        <w:pStyle w:val="TextBody"/>
        <w:bidi w:val="0"/>
        <w:spacing w:before="40" w:after="283"/>
        <w:jc w:val="left"/>
        <w:rPr>
          <w:rFonts w:ascii="Times New Roman" w:hAnsi="Times New Roman"/>
          <w:sz w:val="20"/>
        </w:rPr>
      </w:pPr>
      <w:r>
        <w:rPr>
          <w:rFonts w:ascii="Times New Roman" w:hAnsi="Times New Roman"/>
          <w:color w:val="000000"/>
          <w:sz w:val="16"/>
        </w:rPr>
        <w:t>At June 30, 2026 and December 31, 2025, represents consideration due to be paid across multiple years until</w:t>
      </w:r>
      <w:r>
        <w:rPr>
          <w:rFonts w:ascii="Times New Roman" w:hAnsi="Times New Roman"/>
          <w:color w:val="000000"/>
          <w:sz w:val="20"/>
        </w:rPr>
        <w:t xml:space="preserve"> </w:t>
      </w:r>
      <w:r>
        <w:rPr>
          <w:rFonts w:ascii="Times New Roman" w:hAnsi="Times New Roman"/>
          <w:color w:val="000000"/>
          <w:sz w:val="16"/>
        </w:rPr>
        <w:t>2031 and 2029, respectively. Probability weightings are based on our knowledge of the past and planned performance of the acquired entity to which the contingent consideration applies. The fair value weighted-average discount rates used in our material contingent consideration calculations were 13.17% and 11.00% at June 30, 2026 and December 31, 2025, respectively. The range of these discount rates was 11.00% - 13.40%</w:t>
      </w:r>
      <w:r>
        <w:rPr>
          <w:rFonts w:ascii="Times New Roman" w:hAnsi="Times New Roman"/>
          <w:color w:val="000000"/>
          <w:sz w:val="20"/>
        </w:rPr>
        <w:t xml:space="preserve"> </w:t>
      </w:r>
      <w:r>
        <w:rPr>
          <w:rFonts w:ascii="Times New Roman" w:hAnsi="Times New Roman"/>
          <w:color w:val="000000"/>
          <w:sz w:val="16"/>
        </w:rPr>
        <w:t>at June 30, 2026. Using different probability weightings and discount rates could result in an increase or decrease of the contingent consideration payable.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summarizes the change in fair value of the Level 3 liabilities: </w:t>
      </w:r>
    </w:p>
    <w:p>
      <w:pPr>
        <w:pStyle w:val="TextBody"/>
        <w:bidi w:val="0"/>
        <w:jc w:val="left"/>
        <w:rPr/>
      </w:pPr>
      <w:r>
        <w:rPr/>
        <w:t> </w:t>
      </w:r>
    </w:p>
    <w:tbl>
      <w:tblPr>
        <w:tblW w:w="7563" w:type="dxa"/>
        <w:jc w:val="left"/>
        <w:tblInd w:w="0" w:type="dxa"/>
        <w:tblLayout w:type="fixed"/>
        <w:tblCellMar>
          <w:top w:w="28" w:type="dxa"/>
          <w:left w:w="28" w:type="dxa"/>
          <w:bottom w:w="28" w:type="dxa"/>
          <w:right w:w="28" w:type="dxa"/>
        </w:tblCellMar>
      </w:tblPr>
      <w:tblGrid>
        <w:gridCol w:w="5851"/>
        <w:gridCol w:w="146"/>
        <w:gridCol w:w="437"/>
        <w:gridCol w:w="718"/>
        <w:gridCol w:w="4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Fair Value Measurements Using Significant Unobservable Inputs (Level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Obligations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Realized and unrealized losses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sz w:val="20"/>
        </w:rPr>
      </w:pPr>
      <w:r>
        <w:rPr>
          <w:rFonts w:ascii="Times New Roman" w:hAnsi="Times New Roman"/>
          <w:color w:val="000000"/>
          <w:sz w:val="16"/>
        </w:rPr>
        <w:t>Realized and unrealized losses include accretion and adjustments to contingent consideration liabilities, which are included within Interest expense and Other operating expenses, respectively,</w:t>
      </w:r>
      <w:r>
        <w:rPr>
          <w:rFonts w:ascii="Times New Roman" w:hAnsi="Times New Roman"/>
          <w:color w:val="000000"/>
          <w:sz w:val="20"/>
        </w:rPr>
        <w:t xml:space="preserve"> </w:t>
      </w:r>
      <w:r>
        <w:rPr>
          <w:rFonts w:ascii="Times New Roman" w:hAnsi="Times New Roman"/>
          <w:color w:val="000000"/>
          <w:sz w:val="16"/>
        </w:rPr>
        <w:t>on the condensed consolidated statements of comprehensive income.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significant transfers to or from Level 3 in the six months ended June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Held-to-Maturity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2025, the Company invested $50 million in debt securities, which it had intended to hold to maturity. During the second quarter of 2026, the Company reclassified these debt instruments to available-for-sale upon determining that the investment strategy could change in the future should the interest rate environment change significantly.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assets that may be required to be recorded at fair value on a non-recurring basis. These assets are evaluated when certain triggering events occur (including the planned disposal of a business or a decrease in estimated future cash flows) that indicate their carrying amounts may not be recoverable.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Additional Fair Value Information about Financial Instruments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tables present our assets and liabilities not measured at fair value on a recurring basis, as well as information about our available-for-sale securities, at June 30, 2026 and December 31, 2025: </w:t>
      </w:r>
    </w:p>
    <w:p>
      <w:pPr>
        <w:pStyle w:val="TextBody"/>
        <w:bidi w:val="0"/>
        <w:jc w:val="left"/>
        <w:rPr/>
      </w:pPr>
      <w:r>
        <w:rPr/>
        <w:t> </w:t>
      </w:r>
    </w:p>
    <w:tbl>
      <w:tblPr>
        <w:tblW w:w="8984" w:type="dxa"/>
        <w:jc w:val="left"/>
        <w:tblInd w:w="0" w:type="dxa"/>
        <w:tblLayout w:type="fixed"/>
        <w:tblCellMar>
          <w:top w:w="28" w:type="dxa"/>
          <w:left w:w="28" w:type="dxa"/>
          <w:bottom w:w="28" w:type="dxa"/>
          <w:right w:w="28" w:type="dxa"/>
        </w:tblCellMar>
      </w:tblPr>
      <w:tblGrid>
        <w:gridCol w:w="3211"/>
        <w:gridCol w:w="146"/>
        <w:gridCol w:w="336"/>
        <w:gridCol w:w="909"/>
        <w:gridCol w:w="146"/>
        <w:gridCol w:w="146"/>
        <w:gridCol w:w="239"/>
        <w:gridCol w:w="646"/>
        <w:gridCol w:w="146"/>
        <w:gridCol w:w="146"/>
        <w:gridCol w:w="336"/>
        <w:gridCol w:w="909"/>
        <w:gridCol w:w="146"/>
        <w:gridCol w:w="146"/>
        <w:gridCol w:w="239"/>
        <w:gridCol w:w="646"/>
        <w:gridCol w:w="4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Debt securities </w:t>
            </w:r>
            <w:r>
              <w:rPr>
                <w:rFonts w:ascii="Times New Roman" w:hAnsi="Times New Roman"/>
                <w:color w:val="000000"/>
                <w:sz w:val="13"/>
              </w:rPr>
              <w:t>(i)</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Due in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Due in greater than five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Consists of available-for-sale securities at June 30, 2026 and held-to-maturity securities at December 31, 2025. At June 30, 2026, the available-for-sale securities are carried at fair value.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carrying values of our revolving credit facility and DDTL approximate their fair values. The fair values above, which exclude accrued interest, are not necessarily indicative of the amounts that the Company would realize upon disposition, nor do they indicate the Company’s intent or ability to dispose of the financial instruments. The fair values of our debt securities are considered Level 1 financial instruments as they are based on quoted market prices in active markets. The fair values of our respective senior notes are considered Level 2 financial instruments as they are corroborated by observable market data. </w:t>
      </w:r>
    </w:p>
    <w:p>
      <w:pPr>
        <w:pStyle w:val="TextBody"/>
        <w:bidi w:val="0"/>
        <w:spacing w:before="180" w:after="283"/>
        <w:jc w:val="left"/>
        <w:rPr>
          <w:rFonts w:ascii="Times New Roman" w:hAnsi="Times New Roman"/>
          <w:sz w:val="20"/>
        </w:rPr>
      </w:pPr>
      <w:bookmarkStart w:id="33" w:name="wltw_20180630_10q_htm_safcc5295b8435cc4b"/>
      <w:bookmarkEnd w:id="33"/>
      <w:r>
        <w:rPr>
          <w:rFonts w:ascii="Times New Roman" w:hAnsi="Times New Roman"/>
          <w:b/>
          <w:color w:val="000000"/>
          <w:sz w:val="20"/>
        </w:rPr>
        <w:t>Note 11</w:t>
      </w:r>
      <w:r>
        <w:rPr>
          <w:rFonts w:ascii="Times New Roman" w:hAnsi="Times New Roman"/>
          <w:color w:val="000000"/>
          <w:sz w:val="20"/>
        </w:rPr>
        <w:t xml:space="preserve"> — </w:t>
      </w:r>
      <w:r>
        <w:rPr>
          <w:rFonts w:ascii="Times New Roman" w:hAnsi="Times New Roman"/>
          <w:b/>
          <w:color w:val="000000"/>
          <w:sz w:val="20"/>
        </w:rPr>
        <w:t>Retirement Benefits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Defined Benefit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Components of Net Periodic Benefit Cost/(Credit) for Defined Benefit Pension Plans</w:t>
      </w:r>
    </w:p>
    <w:p>
      <w:pPr>
        <w:pStyle w:val="TextBody"/>
        <w:bidi w:val="0"/>
        <w:spacing w:before="180" w:after="283"/>
        <w:jc w:val="left"/>
        <w:rPr>
          <w:rFonts w:ascii="Times New Roman" w:hAnsi="Times New Roman"/>
          <w:color w:val="000000"/>
          <w:sz w:val="20"/>
        </w:rPr>
      </w:pPr>
      <w:bookmarkStart w:id="34" w:name="fis_unidentified_table_31"/>
      <w:bookmarkEnd w:id="34"/>
      <w:r>
        <w:rPr>
          <w:rFonts w:ascii="Times New Roman" w:hAnsi="Times New Roman"/>
          <w:color w:val="000000"/>
          <w:sz w:val="20"/>
        </w:rPr>
        <w:t xml:space="preserve">The following tables set forth the components of net periodic benefit cost/(credit) for the Company’s defined benefit pension plans for the three and six months ended June 30, 2026 and 2025: </w:t>
      </w:r>
    </w:p>
    <w:p>
      <w:pPr>
        <w:pStyle w:val="TextBody"/>
        <w:bidi w:val="0"/>
        <w:jc w:val="left"/>
        <w:rPr/>
      </w:pPr>
      <w:r>
        <w:rPr/>
        <w:t> </w:t>
      </w:r>
    </w:p>
    <w:tbl>
      <w:tblPr>
        <w:tblW w:w="7780" w:type="dxa"/>
        <w:jc w:val="left"/>
        <w:tblInd w:w="0" w:type="dxa"/>
        <w:tblLayout w:type="fixed"/>
        <w:tblCellMar>
          <w:top w:w="28" w:type="dxa"/>
          <w:left w:w="28" w:type="dxa"/>
          <w:bottom w:w="28" w:type="dxa"/>
          <w:right w:w="28" w:type="dxa"/>
        </w:tblCellMar>
      </w:tblPr>
      <w:tblGrid>
        <w:gridCol w:w="2611"/>
        <w:gridCol w:w="146"/>
        <w:gridCol w:w="196"/>
        <w:gridCol w:w="346"/>
        <w:gridCol w:w="166"/>
        <w:gridCol w:w="146"/>
        <w:gridCol w:w="196"/>
        <w:gridCol w:w="346"/>
        <w:gridCol w:w="166"/>
        <w:gridCol w:w="146"/>
        <w:gridCol w:w="196"/>
        <w:gridCol w:w="346"/>
        <w:gridCol w:w="166"/>
        <w:gridCol w:w="146"/>
        <w:gridCol w:w="196"/>
        <w:gridCol w:w="346"/>
        <w:gridCol w:w="166"/>
        <w:gridCol w:w="146"/>
        <w:gridCol w:w="196"/>
        <w:gridCol w:w="346"/>
        <w:gridCol w:w="166"/>
        <w:gridCol w:w="146"/>
        <w:gridCol w:w="196"/>
        <w:gridCol w:w="34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periodic benefit cost/(credit)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tbl>
      <w:tblPr>
        <w:tblW w:w="7960" w:type="dxa"/>
        <w:jc w:val="left"/>
        <w:tblInd w:w="0" w:type="dxa"/>
        <w:tblLayout w:type="fixed"/>
        <w:tblCellMar>
          <w:top w:w="28" w:type="dxa"/>
          <w:left w:w="28" w:type="dxa"/>
          <w:bottom w:w="28" w:type="dxa"/>
          <w:right w:w="28" w:type="dxa"/>
        </w:tblCellMar>
      </w:tblPr>
      <w:tblGrid>
        <w:gridCol w:w="2611"/>
        <w:gridCol w:w="146"/>
        <w:gridCol w:w="196"/>
        <w:gridCol w:w="436"/>
        <w:gridCol w:w="166"/>
        <w:gridCol w:w="146"/>
        <w:gridCol w:w="196"/>
        <w:gridCol w:w="346"/>
        <w:gridCol w:w="166"/>
        <w:gridCol w:w="146"/>
        <w:gridCol w:w="196"/>
        <w:gridCol w:w="346"/>
        <w:gridCol w:w="166"/>
        <w:gridCol w:w="146"/>
        <w:gridCol w:w="196"/>
        <w:gridCol w:w="436"/>
        <w:gridCol w:w="166"/>
        <w:gridCol w:w="146"/>
        <w:gridCol w:w="196"/>
        <w:gridCol w:w="346"/>
        <w:gridCol w:w="166"/>
        <w:gridCol w:w="146"/>
        <w:gridCol w:w="196"/>
        <w:gridCol w:w="346"/>
        <w:gridCol w:w="21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return on plan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periodic benefit cost/(credit)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Employer Contributions to Defined Benefit Pension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did not make any contributions to its U.S. plan during the six months ended June 30, 2026 and currently does not anticipate making contributions over the remainder of the fiscal year. The Company made contributions of $1 million to its U.K. plans for the six months ended June 30, 2026 and anticipates making additional contributions totaling $1 million for the remainder of the fiscal year. The Company made contributions of $1 million to its other plans for the six months ended June 30, 2026 and anticipates making additional contributions totaling $1 million for the remainder of the fiscal year.</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Annuity Purchase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In February 2025, the Company’s Willis Towers Watson Pension Plan for U.S. Employees, a qualified pension plan (‘the Plan’), purchased a nonparticipating single premium group annuity contract from a third-party insurance company and irrevocably transferred to that insurance company approximately $423 million of the Plan’s defined benefit pension obligations and related plan assets, thereby reducing the pension obligations and assets of the Plan by this same amount. The group annuity contract was purchased using assets of the Plan and no additional funding contribution was required by the Company. As a result of this transaction, WTW recognized a one-time, non-cash pre-tax pension settlement charge of $82 million in the first quarter of 2025, attributable to the accelerated recognition of accumulated actuarial losses of the Plan.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Defined Contribution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had defined contribution plan expense of $42 million and $83 million during the three and six months ended June 30, 2026, respectively, and $41 million and $81 million during the three and six months ended June 30, 2025, respectively.</w:t>
      </w:r>
    </w:p>
    <w:p>
      <w:pPr>
        <w:pStyle w:val="TextBody"/>
        <w:bidi w:val="0"/>
        <w:spacing w:before="180" w:after="283"/>
        <w:jc w:val="left"/>
        <w:rPr>
          <w:rFonts w:ascii="Times New Roman" w:hAnsi="Times New Roman"/>
          <w:sz w:val="20"/>
        </w:rPr>
      </w:pPr>
      <w:r>
        <w:rPr>
          <w:rFonts w:ascii="Times New Roman" w:hAnsi="Times New Roman"/>
          <w:b/>
          <w:color w:val="000000"/>
          <w:sz w:val="20"/>
        </w:rPr>
        <w:t>Note 12</w:t>
      </w:r>
      <w:r>
        <w:rPr>
          <w:rFonts w:ascii="Times New Roman" w:hAnsi="Times New Roman"/>
          <w:color w:val="000000"/>
          <w:sz w:val="20"/>
        </w:rPr>
        <w:t xml:space="preserve"> — </w:t>
      </w:r>
      <w:r>
        <w:rPr>
          <w:rFonts w:ascii="Times New Roman" w:hAnsi="Times New Roman"/>
          <w:b/>
          <w:color w:val="000000"/>
          <w:sz w:val="20"/>
        </w:rPr>
        <w:t>Leases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tables present lease costs recorded on our condensed consolidated statements of comprehensive income for the three and six months ended June 30, 2026 and 2025:</w:t>
      </w:r>
    </w:p>
    <w:p>
      <w:pPr>
        <w:pStyle w:val="TextBody"/>
        <w:bidi w:val="0"/>
        <w:spacing w:before="60" w:after="283"/>
        <w:jc w:val="left"/>
        <w:rPr/>
      </w:pPr>
      <w:r>
        <w:rPr/>
        <w:t> </w:t>
      </w:r>
    </w:p>
    <w:tbl>
      <w:tblPr>
        <w:tblW w:w="8113" w:type="dxa"/>
        <w:jc w:val="left"/>
        <w:tblInd w:w="0" w:type="dxa"/>
        <w:tblLayout w:type="fixed"/>
        <w:tblCellMar>
          <w:top w:w="28" w:type="dxa"/>
          <w:left w:w="28" w:type="dxa"/>
          <w:bottom w:w="28" w:type="dxa"/>
          <w:right w:w="28" w:type="dxa"/>
        </w:tblCellMar>
      </w:tblPr>
      <w:tblGrid>
        <w:gridCol w:w="3011"/>
        <w:gridCol w:w="146"/>
        <w:gridCol w:w="335"/>
        <w:gridCol w:w="549"/>
        <w:gridCol w:w="263"/>
        <w:gridCol w:w="232"/>
        <w:gridCol w:w="335"/>
        <w:gridCol w:w="549"/>
        <w:gridCol w:w="166"/>
        <w:gridCol w:w="146"/>
        <w:gridCol w:w="294"/>
        <w:gridCol w:w="524"/>
        <w:gridCol w:w="231"/>
        <w:gridCol w:w="203"/>
        <w:gridCol w:w="294"/>
        <w:gridCol w:w="524"/>
        <w:gridCol w:w="31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total lease costs are included in other operating expenses in our condensed consolidated statements of comprehensive income. </w:t>
      </w:r>
    </w:p>
    <w:p>
      <w:pPr>
        <w:pStyle w:val="TextBody"/>
        <w:bidi w:val="0"/>
        <w:spacing w:before="180" w:after="283"/>
        <w:jc w:val="left"/>
        <w:rPr>
          <w:rFonts w:ascii="Times New Roman" w:hAnsi="Times New Roman"/>
          <w:sz w:val="20"/>
        </w:rPr>
      </w:pPr>
      <w:bookmarkStart w:id="35" w:name="wltw_20180630_10q_htm_s96dbedb7c14f547f9"/>
      <w:bookmarkEnd w:id="35"/>
      <w:r>
        <w:rPr>
          <w:rFonts w:ascii="Times New Roman" w:hAnsi="Times New Roman"/>
          <w:b/>
          <w:color w:val="000000"/>
          <w:sz w:val="20"/>
        </w:rPr>
        <w:t>Note 13</w:t>
      </w:r>
      <w:r>
        <w:rPr>
          <w:rFonts w:ascii="Times New Roman" w:hAnsi="Times New Roman"/>
          <w:color w:val="000000"/>
          <w:sz w:val="20"/>
        </w:rPr>
        <w:t xml:space="preserve"> — </w:t>
      </w:r>
      <w:r>
        <w:rPr>
          <w:rFonts w:ascii="Times New Roman" w:hAnsi="Times New Roman"/>
          <w:b/>
          <w:color w:val="000000"/>
          <w:sz w:val="20"/>
        </w:rPr>
        <w:t>Commitments and Contingencies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WTW has various agreements with third parties pursuant to which it may be obligated to indemnify the other party to the agreement with respect to certain matters. Generally, these indemnification provisions are included in contracts arising in the normal course of business and in connection with the purchase and sale of certain businesses. It is not possible to predict the maximum potential amount of future payments that may become due under these indemnification agreements because of the conditional nature of the Company’s obligations, the limited history of prior indemnification claims, and the unique facts of each particular agreement and each indemnification provision therein (even where such indemnification provisions are subject to a maximum liability limit). As of June 30, 2026, we have not incurred a material loss with respect to the indemnification of such third parties. In addition, as of June 30, 2026, we do not believe that any potential liability that may arise from such indemnity obligations is probable or will be material.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14 — Supplementary Information for Certain Balance Sheet Accounts for the amounts accrued at June 30, 2026 and December 31, 2025 in the condensed consolidated balance sheets.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The Company provides for contingent liabilities based on ASC 450, </w:t>
      </w:r>
      <w:r>
        <w:rPr>
          <w:rFonts w:ascii="Times New Roman" w:hAnsi="Times New Roman"/>
          <w:i/>
          <w:color w:val="000000"/>
          <w:sz w:val="20"/>
        </w:rPr>
        <w:t>Contingencies,</w:t>
      </w:r>
      <w:r>
        <w:rPr>
          <w:rFonts w:ascii="Times New Roman" w:hAnsi="Times New Roman"/>
          <w:color w:val="000000"/>
          <w:sz w:val="20"/>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14 — Supplementary Information for Certain Balance Sheet Accounts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 details of specific balance sheet accounts are detailed below.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Prepaid and other current assets consist of the following:</w:t>
      </w:r>
    </w:p>
    <w:p>
      <w:pPr>
        <w:pStyle w:val="TextBody"/>
        <w:bidi w:val="0"/>
        <w:jc w:val="left"/>
        <w:rPr/>
      </w:pPr>
      <w:r>
        <w:rPr/>
        <w:t> </w:t>
      </w:r>
    </w:p>
    <w:tbl>
      <w:tblPr>
        <w:tblW w:w="5595" w:type="dxa"/>
        <w:jc w:val="left"/>
        <w:tblInd w:w="0" w:type="dxa"/>
        <w:tblLayout w:type="fixed"/>
        <w:tblCellMar>
          <w:top w:w="28" w:type="dxa"/>
          <w:left w:w="28" w:type="dxa"/>
          <w:bottom w:w="28" w:type="dxa"/>
          <w:right w:w="28" w:type="dxa"/>
        </w:tblCellMar>
      </w:tblPr>
      <w:tblGrid>
        <w:gridCol w:w="3151"/>
        <w:gridCol w:w="146"/>
        <w:gridCol w:w="240"/>
        <w:gridCol w:w="480"/>
        <w:gridCol w:w="146"/>
        <w:gridCol w:w="146"/>
        <w:gridCol w:w="364"/>
        <w:gridCol w:w="731"/>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Prepayments and accrued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Held-to-maturity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Deferred revenue and accrued expenses consist of the following:</w:t>
      </w:r>
    </w:p>
    <w:p>
      <w:pPr>
        <w:pStyle w:val="TextBody"/>
        <w:bidi w:val="0"/>
        <w:jc w:val="left"/>
        <w:rPr/>
      </w:pPr>
      <w:r>
        <w:rPr/>
        <w:t> </w:t>
      </w:r>
    </w:p>
    <w:tbl>
      <w:tblPr>
        <w:tblW w:w="7367" w:type="dxa"/>
        <w:jc w:val="left"/>
        <w:tblInd w:w="0" w:type="dxa"/>
        <w:tblLayout w:type="fixed"/>
        <w:tblCellMar>
          <w:top w:w="28" w:type="dxa"/>
          <w:left w:w="28" w:type="dxa"/>
          <w:bottom w:w="28" w:type="dxa"/>
          <w:right w:w="28" w:type="dxa"/>
        </w:tblCellMar>
      </w:tblPr>
      <w:tblGrid>
        <w:gridCol w:w="4861"/>
        <w:gridCol w:w="146"/>
        <w:gridCol w:w="211"/>
        <w:gridCol w:w="571"/>
        <w:gridCol w:w="146"/>
        <w:gridCol w:w="146"/>
        <w:gridCol w:w="294"/>
        <w:gridCol w:w="801"/>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 accrued liabilities and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discretionary and incentive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401(k)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employee-related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revenue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Provision for liabilities consists of the following:</w:t>
      </w:r>
    </w:p>
    <w:p>
      <w:pPr>
        <w:pStyle w:val="TextBody"/>
        <w:bidi w:val="0"/>
        <w:jc w:val="left"/>
        <w:rPr/>
      </w:pPr>
      <w:r>
        <w:rPr/>
        <w:t> </w:t>
      </w:r>
    </w:p>
    <w:tbl>
      <w:tblPr>
        <w:tblW w:w="5730" w:type="dxa"/>
        <w:jc w:val="left"/>
        <w:tblInd w:w="0" w:type="dxa"/>
        <w:tblLayout w:type="fixed"/>
        <w:tblCellMar>
          <w:top w:w="28" w:type="dxa"/>
          <w:left w:w="28" w:type="dxa"/>
          <w:bottom w:w="28" w:type="dxa"/>
          <w:right w:w="28" w:type="dxa"/>
        </w:tblCellMar>
      </w:tblPr>
      <w:tblGrid>
        <w:gridCol w:w="3286"/>
        <w:gridCol w:w="146"/>
        <w:gridCol w:w="240"/>
        <w:gridCol w:w="480"/>
        <w:gridCol w:w="146"/>
        <w:gridCol w:w="146"/>
        <w:gridCol w:w="364"/>
        <w:gridCol w:w="731"/>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Claims, lawsuits and other proceedings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provision for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non-current liabilities consist of the following:</w:t>
      </w:r>
    </w:p>
    <w:p>
      <w:pPr>
        <w:pStyle w:val="TextBody"/>
        <w:bidi w:val="0"/>
        <w:jc w:val="left"/>
        <w:rPr/>
      </w:pPr>
      <w:r>
        <w:rPr/>
        <w:t> </w:t>
      </w:r>
    </w:p>
    <w:tbl>
      <w:tblPr>
        <w:tblW w:w="6990" w:type="dxa"/>
        <w:jc w:val="left"/>
        <w:tblInd w:w="0" w:type="dxa"/>
        <w:tblLayout w:type="fixed"/>
        <w:tblCellMar>
          <w:top w:w="28" w:type="dxa"/>
          <w:left w:w="28" w:type="dxa"/>
          <w:bottom w:w="28" w:type="dxa"/>
          <w:right w:w="28" w:type="dxa"/>
        </w:tblCellMar>
      </w:tblPr>
      <w:tblGrid>
        <w:gridCol w:w="4546"/>
        <w:gridCol w:w="146"/>
        <w:gridCol w:w="240"/>
        <w:gridCol w:w="480"/>
        <w:gridCol w:w="146"/>
        <w:gridCol w:w="146"/>
        <w:gridCol w:w="364"/>
        <w:gridCol w:w="731"/>
        <w:gridCol w:w="19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and long-term compensation plan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and deferred consideration on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for 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15 — Other Income/(Loss),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income/(loss), net consists of the following:</w:t>
      </w:r>
    </w:p>
    <w:p>
      <w:pPr>
        <w:pStyle w:val="TextBody"/>
        <w:bidi w:val="0"/>
        <w:jc w:val="left"/>
        <w:rPr/>
      </w:pPr>
      <w:r>
        <w:rPr/>
        <w:t> </w:t>
      </w:r>
    </w:p>
    <w:tbl>
      <w:tblPr>
        <w:tblW w:w="8530" w:type="dxa"/>
        <w:jc w:val="left"/>
        <w:tblInd w:w="0" w:type="dxa"/>
        <w:tblLayout w:type="fixed"/>
        <w:tblCellMar>
          <w:top w:w="28" w:type="dxa"/>
          <w:left w:w="28" w:type="dxa"/>
          <w:bottom w:w="28" w:type="dxa"/>
          <w:right w:w="28" w:type="dxa"/>
        </w:tblCellMar>
      </w:tblPr>
      <w:tblGrid>
        <w:gridCol w:w="4756"/>
        <w:gridCol w:w="146"/>
        <w:gridCol w:w="244"/>
        <w:gridCol w:w="400"/>
        <w:gridCol w:w="192"/>
        <w:gridCol w:w="169"/>
        <w:gridCol w:w="244"/>
        <w:gridCol w:w="400"/>
        <w:gridCol w:w="166"/>
        <w:gridCol w:w="146"/>
        <w:gridCol w:w="211"/>
        <w:gridCol w:w="346"/>
        <w:gridCol w:w="166"/>
        <w:gridCol w:w="146"/>
        <w:gridCol w:w="211"/>
        <w:gridCol w:w="376"/>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periodic pension and postretirement benefit credits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Foreign exchange loss </w:t>
            </w:r>
            <w:r>
              <w:rPr>
                <w:rFonts w:ascii="Times New Roman" w:hAnsi="Times New Roman"/>
                <w:color w:val="000000"/>
                <w:sz w:val="13"/>
              </w:rPr>
              <w:t>(ii)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sz w:val="20"/>
        </w:rPr>
      </w:pPr>
      <w:r>
        <w:rPr>
          <w:rFonts w:ascii="Times New Roman" w:hAnsi="Times New Roman"/>
          <w:color w:val="000000"/>
          <w:sz w:val="16"/>
        </w:rPr>
        <w:t>For the six months ended June 30, 2025, includes a pension settlement charge of $82</w:t>
      </w:r>
      <w:r>
        <w:rPr>
          <w:rFonts w:ascii="Times New Roman" w:hAnsi="Times New Roman"/>
          <w:color w:val="000000"/>
          <w:sz w:val="20"/>
        </w:rPr>
        <w:t xml:space="preserve"> </w:t>
      </w:r>
      <w:r>
        <w:rPr>
          <w:rFonts w:ascii="Times New Roman" w:hAnsi="Times New Roman"/>
          <w:color w:val="000000"/>
          <w:sz w:val="16"/>
        </w:rPr>
        <w:t>million. See Note</w:t>
      </w:r>
      <w:r>
        <w:rPr>
          <w:rFonts w:ascii="Times New Roman" w:hAnsi="Times New Roman"/>
          <w:color w:val="000000"/>
          <w:sz w:val="20"/>
        </w:rPr>
        <w:t xml:space="preserve"> </w:t>
      </w:r>
      <w:r>
        <w:rPr>
          <w:rFonts w:ascii="Times New Roman" w:hAnsi="Times New Roman"/>
          <w:color w:val="000000"/>
          <w:sz w:val="16"/>
        </w:rPr>
        <w:t>11</w:t>
      </w:r>
      <w:r>
        <w:rPr>
          <w:rFonts w:ascii="Times New Roman" w:hAnsi="Times New Roman"/>
          <w:color w:val="000000"/>
          <w:sz w:val="20"/>
        </w:rPr>
        <w:t xml:space="preserve"> — </w:t>
      </w:r>
      <w:r>
        <w:rPr>
          <w:rFonts w:ascii="Times New Roman" w:hAnsi="Times New Roman"/>
          <w:color w:val="000000"/>
          <w:sz w:val="16"/>
        </w:rPr>
        <w:t>Retirement Benefits.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Includes the offsetting effects of the Company's foreign currency hedging program. See Note 8 — Derivative Financial Instruments.</w:t>
      </w:r>
    </w:p>
    <w:p>
      <w:pPr>
        <w:pStyle w:val="TextBody"/>
        <w:bidi w:val="0"/>
        <w:jc w:val="left"/>
        <w:rPr/>
      </w:pPr>
      <w:bookmarkStart w:id="36" w:name="wltw_20180630_10q_htm_s7021551ba1a95fa18"/>
      <w:bookmarkEnd w:id="36"/>
      <w:r>
        <w:rPr/>
        <w:t> </w:t>
      </w:r>
    </w:p>
    <w:p>
      <w:pPr>
        <w:pStyle w:val="TextBody"/>
        <w:bidi w:val="0"/>
        <w:jc w:val="left"/>
        <w:rPr>
          <w:rFonts w:ascii="Times New Roman" w:hAnsi="Times New Roman"/>
          <w:b/>
          <w:color w:val="000000"/>
          <w:sz w:val="20"/>
        </w:rPr>
      </w:pPr>
      <w:r>
        <w:rPr>
          <w:rFonts w:ascii="Times New Roman" w:hAnsi="Times New Roman"/>
          <w:b/>
          <w:color w:val="000000"/>
          <w:sz w:val="20"/>
        </w:rPr>
        <w:t>Note 16 — Accumulated Other Comprehensive Loss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Changes in accumulated other comprehensive loss, net of non-controlling interests, and net of tax are provided in the following table for the three and six months ended June 30, 2026 and 2025. This table excludes amounts attributable to non-controlling interests, which are not material for further disclosure.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73"/>
        <w:gridCol w:w="146"/>
        <w:gridCol w:w="196"/>
        <w:gridCol w:w="436"/>
        <w:gridCol w:w="166"/>
        <w:gridCol w:w="146"/>
        <w:gridCol w:w="196"/>
        <w:gridCol w:w="571"/>
        <w:gridCol w:w="166"/>
        <w:gridCol w:w="146"/>
        <w:gridCol w:w="196"/>
        <w:gridCol w:w="346"/>
        <w:gridCol w:w="166"/>
        <w:gridCol w:w="146"/>
        <w:gridCol w:w="196"/>
        <w:gridCol w:w="286"/>
        <w:gridCol w:w="166"/>
        <w:gridCol w:w="146"/>
        <w:gridCol w:w="196"/>
        <w:gridCol w:w="571"/>
        <w:gridCol w:w="166"/>
        <w:gridCol w:w="146"/>
        <w:gridCol w:w="196"/>
        <w:gridCol w:w="571"/>
        <w:gridCol w:w="166"/>
        <w:gridCol w:w="146"/>
        <w:gridCol w:w="196"/>
        <w:gridCol w:w="571"/>
        <w:gridCol w:w="166"/>
        <w:gridCol w:w="146"/>
        <w:gridCol w:w="196"/>
        <w:gridCol w:w="571"/>
        <w:gridCol w:w="211"/>
      </w:tblGrid>
      <w:tr>
        <w:trPr/>
        <w:tc>
          <w:tcPr>
            <w:tcW w:w="2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Foreign currency</w:t>
              <w:br/>
              <w:t>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2C2C2C"/>
                <w:sz w:val="16"/>
              </w:rPr>
              <w:t xml:space="preserve">Derivative </w:t>
              <w:br/>
              <w:t>instruments</w:t>
            </w:r>
            <w:r>
              <w:rPr>
                <w:rFonts w:ascii="Times New Roman" w:hAnsi="Times New Roman"/>
                <w:color w:val="000000"/>
                <w:sz w:val="16"/>
              </w:rPr>
              <w:t xml:space="preserve"> </w:t>
            </w:r>
            <w:r>
              <w:rPr>
                <w:rFonts w:ascii="Times New Roman" w:hAnsi="Times New Roman"/>
                <w:b/>
                <w:color w:val="2C2C2C"/>
                <w:sz w:val="11"/>
              </w:rPr>
              <w:t>(i)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Defined pension and</w:t>
              <w:br/>
              <w:t>post-retirement</w:t>
              <w:br/>
              <w:t>benefit 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2C2C2C"/>
                <w:sz w:val="16"/>
              </w:rPr>
            </w:pPr>
            <w:r>
              <w:rPr>
                <w:rFonts w:ascii="Times New Roman" w:hAnsi="Times New Roman"/>
                <w:b/>
                <w:color w:val="2C2C2C"/>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Quarter-to-date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Balance at March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(911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Other comprehensive (loss)/income before</w:t>
              <w:br/>
              <w:t>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2C2C2C"/>
              </w:rPr>
            </w:pPr>
            <w:r>
              <w:rPr>
                <w:color w:val="2C2C2C"/>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C2C2C"/>
                <w:sz w:val="16"/>
              </w:rPr>
              <w:t>(Gain)/loss reclassified from accumulated other</w:t>
              <w:br/>
              <w:t>   comprehensive loss (net of income tax expense of</w:t>
              <w:br/>
              <w:t>   $9</w:t>
            </w:r>
            <w:r>
              <w:rPr>
                <w:rFonts w:ascii="Times New Roman" w:hAnsi="Times New Roman"/>
                <w:color w:val="2C2C2C"/>
                <w:sz w:val="20"/>
              </w:rPr>
              <w:t> </w:t>
            </w:r>
            <w:r>
              <w:rPr>
                <w:rFonts w:ascii="Times New Roman" w:hAnsi="Times New Roman"/>
                <w:color w:val="2C2C2C"/>
                <w:sz w:val="16"/>
              </w:rPr>
              <w:t>and $6,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Net current-period other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Balance at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(2,706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Year-to-date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Balance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(3,158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Other comprehensive (loss)/income before</w:t>
              <w:br/>
              <w:t>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415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2C2C2C"/>
                <w:sz w:val="16"/>
              </w:rPr>
              <w:t>(Gain)/loss reclassified from accumulated other</w:t>
              <w:br/>
              <w:t>   comprehensive loss (net of income tax benefit of</w:t>
              <w:br/>
              <w:t>   $17</w:t>
            </w:r>
            <w:r>
              <w:rPr>
                <w:rFonts w:ascii="Times New Roman" w:hAnsi="Times New Roman"/>
                <w:color w:val="2C2C2C"/>
                <w:sz w:val="20"/>
              </w:rPr>
              <w:t> </w:t>
            </w:r>
            <w:r>
              <w:rPr>
                <w:rFonts w:ascii="Times New Roman" w:hAnsi="Times New Roman"/>
                <w:color w:val="2C2C2C"/>
                <w:sz w:val="16"/>
              </w:rPr>
              <w:t>and $12,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2C2C2C"/>
              </w:rPr>
            </w:pPr>
            <w:r>
              <w:rPr>
                <w:color w:val="2C2C2C"/>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Net other comprehensive (loss)/income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452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C2C2C"/>
                <w:sz w:val="16"/>
              </w:rPr>
            </w:pPr>
            <w:r>
              <w:rPr>
                <w:rFonts w:ascii="Times New Roman" w:hAnsi="Times New Roman"/>
                <w:color w:val="2C2C2C"/>
                <w:sz w:val="16"/>
              </w:rPr>
              <w:t>Balance at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2C2C2C"/>
                <w:sz w:val="18"/>
              </w:rPr>
            </w:pPr>
            <w:r>
              <w:rPr>
                <w:rFonts w:ascii="Times New Roman" w:hAnsi="Times New Roman"/>
                <w:color w:val="2C2C2C"/>
                <w:sz w:val="18"/>
              </w:rPr>
              <w:t>(2,706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2C2C2C"/>
                <w:sz w:val="18"/>
              </w:rPr>
            </w:pPr>
            <w:r>
              <w:rPr>
                <w:rFonts w:ascii="Times New Roman" w:hAnsi="Times New Roman"/>
                <w:color w:val="2C2C2C"/>
                <w:sz w:val="18"/>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Reclassification adjustments from accumulated other comprehensive loss related to derivative instruments are included in Revenue and Salaries and benefits in the accompanying condensed consolidated statements of comprehensive income. See Note 8 — Derivative Financial Instruments for additional details regarding the reclassification adjustments for the derivative settlements.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impact of our available-for-sale debt securities on accumulated other comprehensive loss was not material for the three and six months ended June 30, 2026.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17</w:t>
      </w:r>
      <w:r>
        <w:rPr>
          <w:rFonts w:ascii="Times New Roman" w:hAnsi="Times New Roman"/>
          <w:color w:val="000000"/>
          <w:sz w:val="20"/>
        </w:rPr>
        <w:t xml:space="preserve"> — </w:t>
      </w:r>
      <w:r>
        <w:rPr>
          <w:rFonts w:ascii="Times New Roman" w:hAnsi="Times New Roman"/>
          <w:b/>
          <w:color w:val="000000"/>
          <w:sz w:val="20"/>
        </w:rPr>
        <w:t>Share-based Compensation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compensation cost that has been recognized for the Company’s share-based compensation plans for the three and six months ended June 30, 2026 was $67 million and $109 million, respectively, and $31 million and $68 million for the three and six months ended June 30, 2025, respectively. Of these amounts, the portion recognized within transaction and integration expenses on the condensed consolidated statements of comprehensive income was $35 million and $44 million for the three and six months ended June 30, 2026, respectively, and was not material for the three and six months ended June 30,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2026, a total of 672,000 shares were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225,000 shares (consisting entirely of RSA grants) related to our acquisition of Newfront;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447,000 shares issued under employee stock compensation plans representing: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11,000 shares issued under non-qualified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110,000 shares issued under our Employee Share Purchase Plan;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net 326,000 shares consisting of 526,000 vested RSUs of which 200,000 were not issued due to net settlements and retirement eligibility provisions.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Additionally, during the six months ended June 30, 2026, 1,112,000 RSUs were granted, including 187,000 RSUs as a result of the Newfront acquisition. See Note 3 — Acquisitions for more information. </w:t>
      </w:r>
    </w:p>
    <w:p>
      <w:pPr>
        <w:pStyle w:val="TextBody"/>
        <w:bidi w:val="0"/>
        <w:spacing w:before="180" w:after="283"/>
        <w:jc w:val="left"/>
        <w:rPr>
          <w:rFonts w:ascii="Times New Roman" w:hAnsi="Times New Roman"/>
          <w:b/>
          <w:color w:val="000000"/>
          <w:sz w:val="20"/>
        </w:rPr>
      </w:pPr>
      <w:bookmarkStart w:id="37" w:name="wltw_20180630_10q_htm_sf18a1f127e09508d9"/>
      <w:bookmarkEnd w:id="37"/>
      <w:r>
        <w:rPr>
          <w:rFonts w:ascii="Times New Roman" w:hAnsi="Times New Roman"/>
          <w:b/>
          <w:color w:val="000000"/>
          <w:sz w:val="20"/>
        </w:rPr>
        <w:t>Note 18 — 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At June 30, 2026 and 2025, there were approximately 864,000 and 654,000 restricted performance-based stock units outstanding, respectively, and approximately 620,000 and 291,000 restricted time-based stock units outstanding, respectively. In addition, at June 30, 2026, there were approximately 225,000 restricted stock awards outstanding. The Company had no time-based share options or performance-based share options outstanding at June 30, 2026 and 2025.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Basic and diluted earnings per share are as follows: </w:t>
      </w:r>
    </w:p>
    <w:p>
      <w:pPr>
        <w:pStyle w:val="TextBody"/>
        <w:bidi w:val="0"/>
        <w:jc w:val="left"/>
        <w:rPr/>
      </w:pPr>
      <w:r>
        <w:rPr/>
        <w:t> </w:t>
      </w:r>
    </w:p>
    <w:tbl>
      <w:tblPr>
        <w:tblW w:w="8839" w:type="dxa"/>
        <w:jc w:val="left"/>
        <w:tblInd w:w="0" w:type="dxa"/>
        <w:tblLayout w:type="fixed"/>
        <w:tblCellMar>
          <w:top w:w="28" w:type="dxa"/>
          <w:left w:w="28" w:type="dxa"/>
          <w:bottom w:w="28" w:type="dxa"/>
          <w:right w:w="28" w:type="dxa"/>
        </w:tblCellMar>
      </w:tblPr>
      <w:tblGrid>
        <w:gridCol w:w="3841"/>
        <w:gridCol w:w="146"/>
        <w:gridCol w:w="280"/>
        <w:gridCol w:w="618"/>
        <w:gridCol w:w="193"/>
        <w:gridCol w:w="193"/>
        <w:gridCol w:w="280"/>
        <w:gridCol w:w="698"/>
        <w:gridCol w:w="166"/>
        <w:gridCol w:w="146"/>
        <w:gridCol w:w="244"/>
        <w:gridCol w:w="609"/>
        <w:gridCol w:w="192"/>
        <w:gridCol w:w="169"/>
        <w:gridCol w:w="244"/>
        <w:gridCol w:w="609"/>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potentially issuable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average number of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potentially issuable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approximately 667,000 and 337,000 restricted stock units, respectively, were not included in the computation of the dilutive effect of potentially issuable shares because their effect was anti-dilutive; for the three and six months ended June 30, 2025, approximately 268,000 and 135,000 restricted stock units, respectively, were not included in the computation of the dilutive effect of potentially issuable shares because their effect was anti-dilutive. There were no anti-dilutive options for the three and six months ended June 30, 2026 and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19 — Supplemental Disclosures of Cash Flow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Supplemental disclosures regarding cash flow information are as follows:</w:t>
      </w:r>
    </w:p>
    <w:p>
      <w:pPr>
        <w:pStyle w:val="TextBody"/>
        <w:bidi w:val="0"/>
        <w:jc w:val="left"/>
        <w:rPr/>
      </w:pPr>
      <w:r>
        <w:rPr/>
        <w:t> </w:t>
      </w:r>
    </w:p>
    <w:tbl>
      <w:tblPr>
        <w:tblW w:w="8520" w:type="dxa"/>
        <w:jc w:val="left"/>
        <w:tblInd w:w="0" w:type="dxa"/>
        <w:tblLayout w:type="fixed"/>
        <w:tblCellMar>
          <w:top w:w="28" w:type="dxa"/>
          <w:left w:w="28" w:type="dxa"/>
          <w:bottom w:w="28" w:type="dxa"/>
          <w:right w:w="28" w:type="dxa"/>
        </w:tblCellMar>
      </w:tblPr>
      <w:tblGrid>
        <w:gridCol w:w="5941"/>
        <w:gridCol w:w="146"/>
        <w:gridCol w:w="220"/>
        <w:gridCol w:w="660"/>
        <w:gridCol w:w="173"/>
        <w:gridCol w:w="152"/>
        <w:gridCol w:w="220"/>
        <w:gridCol w:w="597"/>
        <w:gridCol w:w="4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Fiduciary funds (included in fiduciary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cash, cash equivalents and other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fiduciary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Newfront ordinary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contingent consideration related to acquisitions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20 — Subsequent Event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28, 2026, the Board of Directors of WTW approved and authorized management to execute Propel, an artificial intelligence (‘AI’) acceleration plan (the ‘Plan’). The Plan is a two-year program to embed AI and automation across the enterprise. Supported by the Company's ongoing investments in AI, data and technology, including the acquisition of Newfront, the Plan is expected to enhance client service and create additional opportunities for growth as well as streamline core operating processes. The Company expects to generate approximately $400 million in annual cost savings and, after reinvesting approximately $50 million to support growth initiatives, to deliver $350 million in net annual cost savings by the end of 2028. Approximately $625 million of cash costs are expected to be incurred as well as approximately $25 million in non-cash charges through the end of 2028 in connection with the Plan, consisting principally of process automation and organizational transition costs, including process and organizational design costs, severance and separation-related costs and temporary retention costs, as well as costs associated with implementing AI systems and related technologies, including technology implementation, integration and certain contractor and vendor contract termination costs. An immaterial portion of these costs is expected to be capitalized.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8" w:name="item_2_managements_discussion_analysis_f"/>
      <w:bookmarkEnd w:id="38"/>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See ‘Non-GAAP Financial Measures’ below for further discussion of our adjusted, constant currency and organic non-GAAP financial measures.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Executive Overview</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Impact of Market Conditions on Our Business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Typically, our business benefits from regulatory change, political risk or economic uncertainty. Insurance broking generally tracks the economy, but demand for both insurance broking and advisory services usually remains steady during times of uncertainty. We have some businesses, such as our health and benefits and administration businesses, which can be counter cyclical during the early period of a significant economic change.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At the time of filing this Quarterly Report, market conditions continue to soften, with the exception of U.S. Casualty and a few specialty product lines.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Market conditions in the broking industry in which we operate are generally defined by factors such as the strength of the various geographical economies which we serve around the world, insurance rate movements, and insurance and reinsurance buying patterns of our clients.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markets for our advisory, technology and solutions, and marketplace services are affected by economic, regulatory and legislative changes, technological developments, and increased competition from established and new competitors. We believe that the primary factors in selecting a company with expertise in human resources or risk management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including evolving technology and artificial intelligence (‘AI’) solutions, for both internal operations and for maintaining industry standards and meeting client preferences (see the discussion of our artificial intelligence acceleration plan in Note 20 — Subsequent Event within Part I, Item 1 ‘Financial Statements,’ and in Part II, Item 1A – Risk Factors, and Item 5 – Other Information, in each case, included in this Quarterly Report on Form 10-Q). We have made such investments from time to time and may decide, based on perceived business needs, to make investments in the future that may be different from past practice or our current expectations.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With regard to the market for exchanges, we believe that clients base their decisions on a variety of factors that include the role of health care coverage in recruiting/retaining employees and transitioning employees to retirement, the availability of price competitive individual insurance policies, the array of coverage choices available through the exchange provider and its ability to deliver measurable cost savings for corporate clients, and to both execute efficiently and deliver high quality service. Since the individual insurance market for Medicare policies is well-established and a significant portion of corporate employers have already implemented an exchange for their Medicare retirees, growth in this population segment will be derived from public employers and educational and other not-for-profit institutions. This growth may be more episodic in nature. Growth in other population segments is likely to remain low unless a more competitive individual insurance market emerges for these segments.</w:t>
      </w:r>
    </w:p>
    <w:p>
      <w:pPr>
        <w:pStyle w:val="TextBody"/>
        <w:bidi w:val="0"/>
        <w:spacing w:before="180" w:after="283"/>
        <w:jc w:val="left"/>
        <w:rPr>
          <w:rFonts w:ascii="Times New Roman" w:hAnsi="Times New Roman"/>
          <w:sz w:val="20"/>
        </w:rPr>
      </w:pPr>
      <w:r>
        <w:rPr>
          <w:rFonts w:ascii="Times New Roman" w:hAnsi="Times New Roman"/>
          <w:b/>
          <w:i/>
          <w:color w:val="000000"/>
          <w:sz w:val="20"/>
        </w:rPr>
        <w:t>Risks and Uncertainties of the Economic Environment</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U.S. and global markets are continuing to experience uncertainty, volatility and disruption as a result of uncertain macroeconomic conditions including tariff actions and uncertainties relating to global trade, fluctuations in currency exchange rates, volatility in debt and equity markets, uncertainty around interest rates, softening consumer confidence and labor markets, changes in U.S.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policies across a broad range of areas and the speed with which such changes are or may be implemented, and the geopolitical conflicts and tensions in Russia, Ukraine and the Middle East creating or exacerbating those conditions, while also experiencing rapid development of evolving AI technologies driving growth and market performance for many industries. Although the length and impact of these situations are highly unpredictable, the ongoing uncertainty and volatility of the global economy and capital markets, which has resulted in persistent inflation and fluctuating interest rates in many of the markets in which we operate, could accelerate recessionary pressures and continue to lead to further market disruptions. Further, in addition to the direct impact of the continuing dynamic tariff environment on our business (which we do not expect to be significant, so long as retaliatory actions do not extend to services), the global tariff landscape continues to fluctuate, creating uncertainty for the business. This uncertainty may be exacerbated by U.S. legislation and other U.S. federal government actions, including the recent decision of the U.S. Supreme Court striking down tariffs imposed under the International Emergency Economic Powers Act. Additionally, indirect impacts from changes in tariffs and other legislative or regulatory developments, such as changes in consumer sentiment, trade relations, economic activity, disruption of U.S. federal government operations, willingness to do business with U.S.-listed firms, inflationary pressures and employee distraction, among others, could also negatively affect our business, operations and financial condition.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These general economic conditions, including inflation, stagflation, political volatility, supply chain disruptions, costs of labor, cost of capital, interest rates, bank stability, credit availability and tax rates, affect not only the cost of and access to liquidity, but also our costs to run and invest in our business, including our operating and general and administrative expenses, and we have no control or limited ability to control such factors. These general economic conditions impact revenue from customers, as well as income from funds we hold on behalf of customers and pension-related income. While parts of our business could benefit from uncertainty or regulatory change, we may see increased caution in spending on services we provide that are more discretionary in nature or where there are alternatives, such as self-insurance. Other parts of our business, such as M&amp;A-related services, may be adversely impacted when there is lower economic activity or transaction volumes.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See Part I, Item 1A ‘Risk Factors’ in our Annual Report on Form 10-K, filed with the SEC on February 25, 2026, for a discussion of risks that may affect, among other things, our growth relative to expectation and our ability to achieve our objectives.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Financial Statement Overview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table below sets forth our summarized condensed consolidated statements of comprehensive income and data as a percentage of revenue for the periods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44"/>
        <w:gridCol w:w="146"/>
        <w:gridCol w:w="211"/>
        <w:gridCol w:w="571"/>
        <w:gridCol w:w="166"/>
        <w:gridCol w:w="146"/>
        <w:gridCol w:w="146"/>
        <w:gridCol w:w="421"/>
        <w:gridCol w:w="272"/>
        <w:gridCol w:w="146"/>
        <w:gridCol w:w="211"/>
        <w:gridCol w:w="571"/>
        <w:gridCol w:w="166"/>
        <w:gridCol w:w="146"/>
        <w:gridCol w:w="146"/>
        <w:gridCol w:w="421"/>
        <w:gridCol w:w="272"/>
        <w:gridCol w:w="146"/>
        <w:gridCol w:w="211"/>
        <w:gridCol w:w="571"/>
        <w:gridCol w:w="166"/>
        <w:gridCol w:w="146"/>
        <w:gridCol w:w="146"/>
        <w:gridCol w:w="421"/>
        <w:gridCol w:w="272"/>
        <w:gridCol w:w="146"/>
        <w:gridCol w:w="211"/>
        <w:gridCol w:w="571"/>
        <w:gridCol w:w="166"/>
        <w:gridCol w:w="146"/>
        <w:gridCol w:w="146"/>
        <w:gridCol w:w="421"/>
        <w:gridCol w:w="517"/>
      </w:tblGrid>
      <w:tr>
        <w:trPr/>
        <w:tc>
          <w:tcPr>
            <w:tcW w:w="1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8" w:type="dxa"/>
            <w:gridSpan w:val="3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 except per share data)</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providing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of providing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income/(loss),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FROM OPERATIONS BEFORE INCOME </w:t>
              <w:br/>
              <w:t>   TAXES AND INTEREST IN EARNINGS OF</w:t>
              <w:br/>
              <w:t>   ASSOCIATES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 earnings of associates,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Consolidated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Revenue for the three months ended June 30, 2026 was $2.5 billion, compared to $2.3 billion for the three months ended June 30, 2025, an increase of $205 million, or 9%, on an as-reported basis. Adjusting for the impacts of foreign currency and acquisitions and disposals, our organic revenue growth was 5% for the three months ended June 30, 2026. Revenue for the six months ended June 30, 2026 was $4.9 billion, compared to $4.5 billion for the six months ended June 30, 2025, an increase of $394 million, or 9%, on an as-reported basis. Adjusting for the impacts of foreign currency and acquisitions and disposals, our organic revenue growth was 4% for the six months ended June 30, 2026. For additional information, please see the section entitled ‘Segment Revenue and Segment Operating Income’ elsewhere within Part I, Item 2 of this Quarterly Report on Form 10-Q.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revenue can be materially impacted by changes in currency conversions, which can fluctuate significantly over the course of a calendar year. For the three months ended June 30, 2026, currency translation increased our as-reported consolidated revenue by $21 million. The primary currency driving this change was the Euro. For the six months ended June 30, 2026, currency translation increased our consolidated revenue by $121 million. The primary currencies driving this change were the Euro and Pound Sterling.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details our top five markets based on the percentage of consolidated revenue (in U.S. dollars) from the countries where work was performed for the six months ended June 30, 2026. These figures do not represent the currency of the related revenue, which is presented in the next table. </w:t>
      </w:r>
    </w:p>
    <w:p>
      <w:pPr>
        <w:pStyle w:val="TextBody"/>
        <w:bidi w:val="0"/>
        <w:jc w:val="left"/>
        <w:rPr/>
      </w:pPr>
      <w:r>
        <w:rPr/>
        <w:t> </w:t>
      </w:r>
    </w:p>
    <w:tbl>
      <w:tblPr>
        <w:tblW w:w="3118" w:type="dxa"/>
        <w:jc w:val="left"/>
        <w:tblInd w:w="0" w:type="dxa"/>
        <w:tblLayout w:type="fixed"/>
        <w:tblCellMar>
          <w:top w:w="28" w:type="dxa"/>
          <w:left w:w="28" w:type="dxa"/>
          <w:bottom w:w="28" w:type="dxa"/>
          <w:right w:w="28" w:type="dxa"/>
        </w:tblCellMar>
      </w:tblPr>
      <w:tblGrid>
        <w:gridCol w:w="1531"/>
        <w:gridCol w:w="146"/>
        <w:gridCol w:w="354"/>
        <w:gridCol w:w="771"/>
        <w:gridCol w:w="316"/>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Geographic Region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below details the approximate percentage of our revenue and expenses by transactional currency for the six months ended June 30, 2026. </w:t>
      </w:r>
    </w:p>
    <w:p>
      <w:pPr>
        <w:pStyle w:val="TextBody"/>
        <w:bidi w:val="0"/>
        <w:jc w:val="left"/>
        <w:rPr/>
      </w:pPr>
      <w:r>
        <w:rPr/>
        <w:t> </w:t>
      </w:r>
    </w:p>
    <w:tbl>
      <w:tblPr>
        <w:tblW w:w="4346" w:type="dxa"/>
        <w:jc w:val="left"/>
        <w:tblInd w:w="0" w:type="dxa"/>
        <w:tblLayout w:type="fixed"/>
        <w:tblCellMar>
          <w:top w:w="28" w:type="dxa"/>
          <w:left w:w="28" w:type="dxa"/>
          <w:bottom w:w="28" w:type="dxa"/>
          <w:right w:w="28" w:type="dxa"/>
        </w:tblCellMar>
      </w:tblPr>
      <w:tblGrid>
        <w:gridCol w:w="1861"/>
        <w:gridCol w:w="146"/>
        <w:gridCol w:w="227"/>
        <w:gridCol w:w="494"/>
        <w:gridCol w:w="271"/>
        <w:gridCol w:w="146"/>
        <w:gridCol w:w="279"/>
        <w:gridCol w:w="606"/>
        <w:gridCol w:w="31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Transactional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Expenses </w:t>
            </w:r>
            <w:r>
              <w:rPr>
                <w:rFonts w:ascii="Times New Roman" w:hAnsi="Times New Roman"/>
                <w:b/>
                <w:color w:val="000000"/>
                <w:sz w:val="11"/>
              </w:rPr>
              <w:t>(i)</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dollars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Pounds sterling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These percentages exclude certain expenses for significant items which will not be settled in cash, or which we believe to be items that are not core to our current or future operations. These items include amortization of intangible assets.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tables set forth the total revenue for the three and six months ended June 30, 2026 and 2025, and the components of the change in total revenue for the three and six months ended June 30, 2026, as compared to the prior-year period. The components of the revenue change may not add due to rounding. </w:t>
      </w:r>
    </w:p>
    <w:p>
      <w:pPr>
        <w:pStyle w:val="TextBody"/>
        <w:bidi w:val="0"/>
        <w:jc w:val="left"/>
        <w:rPr/>
      </w:pPr>
      <w:r>
        <w:rPr/>
        <w:t> </w:t>
      </w:r>
    </w:p>
    <w:tbl>
      <w:tblPr>
        <w:tblW w:w="8362" w:type="dxa"/>
        <w:jc w:val="left"/>
        <w:tblInd w:w="0" w:type="dxa"/>
        <w:tblLayout w:type="fixed"/>
        <w:tblCellMar>
          <w:top w:w="28" w:type="dxa"/>
          <w:left w:w="28" w:type="dxa"/>
          <w:bottom w:w="28" w:type="dxa"/>
          <w:right w:w="28" w:type="dxa"/>
        </w:tblCellMar>
      </w:tblPr>
      <w:tblGrid>
        <w:gridCol w:w="841"/>
        <w:gridCol w:w="146"/>
        <w:gridCol w:w="257"/>
        <w:gridCol w:w="697"/>
        <w:gridCol w:w="178"/>
        <w:gridCol w:w="178"/>
        <w:gridCol w:w="257"/>
        <w:gridCol w:w="697"/>
        <w:gridCol w:w="146"/>
        <w:gridCol w:w="146"/>
        <w:gridCol w:w="781"/>
        <w:gridCol w:w="146"/>
        <w:gridCol w:w="796"/>
        <w:gridCol w:w="146"/>
        <w:gridCol w:w="796"/>
        <w:gridCol w:w="146"/>
        <w:gridCol w:w="1021"/>
        <w:gridCol w:w="146"/>
        <w:gridCol w:w="84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Change </w:t>
            </w:r>
            <w:r>
              <w:rPr>
                <w:rFonts w:ascii="Times New Roman" w:hAnsi="Times New Roman"/>
                <w:b/>
                <w:color w:val="000000"/>
                <w:sz w:val="11"/>
              </w:rPr>
              <w:t>(i)</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bl>
    <w:p>
      <w:pPr>
        <w:pStyle w:val="TextBody"/>
        <w:bidi w:val="0"/>
        <w:jc w:val="left"/>
        <w:rPr/>
      </w:pPr>
      <w:r>
        <w:rPr/>
        <w:t> </w:t>
      </w:r>
    </w:p>
    <w:p>
      <w:pPr>
        <w:pStyle w:val="TextBody"/>
        <w:bidi w:val="0"/>
        <w:jc w:val="left"/>
        <w:rPr/>
      </w:pPr>
      <w:r>
        <w:rPr/>
        <w:t> </w:t>
      </w:r>
    </w:p>
    <w:tbl>
      <w:tblPr>
        <w:tblW w:w="8166" w:type="dxa"/>
        <w:jc w:val="left"/>
        <w:tblInd w:w="0" w:type="dxa"/>
        <w:tblLayout w:type="fixed"/>
        <w:tblCellMar>
          <w:top w:w="28" w:type="dxa"/>
          <w:left w:w="28" w:type="dxa"/>
          <w:bottom w:w="28" w:type="dxa"/>
          <w:right w:w="28" w:type="dxa"/>
        </w:tblCellMar>
      </w:tblPr>
      <w:tblGrid>
        <w:gridCol w:w="841"/>
        <w:gridCol w:w="146"/>
        <w:gridCol w:w="235"/>
        <w:gridCol w:w="637"/>
        <w:gridCol w:w="162"/>
        <w:gridCol w:w="162"/>
        <w:gridCol w:w="235"/>
        <w:gridCol w:w="637"/>
        <w:gridCol w:w="146"/>
        <w:gridCol w:w="146"/>
        <w:gridCol w:w="781"/>
        <w:gridCol w:w="146"/>
        <w:gridCol w:w="796"/>
        <w:gridCol w:w="146"/>
        <w:gridCol w:w="796"/>
        <w:gridCol w:w="146"/>
        <w:gridCol w:w="1021"/>
        <w:gridCol w:w="146"/>
        <w:gridCol w:w="84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Change </w:t>
            </w:r>
            <w:r>
              <w:rPr>
                <w:rFonts w:ascii="Times New Roman" w:hAnsi="Times New Roman"/>
                <w:b/>
                <w:color w:val="000000"/>
                <w:sz w:val="11"/>
              </w:rPr>
              <w:t>(i)</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Interest income did not contribute to organic change for the three and six months ended June 30,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Definitions of Constant Currency Change and Organic Change are included under the section entitled ‘Non-GAAP Financial Measures’ elsewhere within Part I, Item 2 of this Form 10-Q.</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Segment Revenue and Segment Operating Income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segment descriptions below should be read in conjunction with the full descriptions of our businesses contained in Part I, Item 1. ‘Business’, within our Annual Report on Form 10-K, filed with the SEC on February 25,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Segment revenue excludes amounts that were directly incurred on behalf of our clients and reimbursed by them (reimbursed expenses); however, these amounts are included in consolidated revenue, as required by applicable accounting standards and SEC rules. Segment operating income excludes certain costs, including (i) amortization of intangibles and (ii) certain transaction and integration expenses, and includes certain expense amounts which may be determined on both a direct and allocated basis. See Note 5 – Segment Information within Part I, Item 1 ‘Financial Statements’ of this Quarterly Report on Form 10-Q for more information about how our segment revenue and segment operating income are calculated and for a reconciliation to our U.S. GAAP results.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experiences seasonal fluctuations in its revenue. Revenue is typically higher during the Company’s first and fourth quarters due primarily to the timing of broking-related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each table presented below, the components of the revenue change may not add due to rounding.</w:t>
      </w:r>
    </w:p>
    <w:p>
      <w:pPr>
        <w:pStyle w:val="TextBody"/>
        <w:bidi w:val="0"/>
        <w:spacing w:before="180" w:after="283"/>
        <w:jc w:val="left"/>
        <w:rPr>
          <w:rFonts w:ascii="Times New Roman" w:hAnsi="Times New Roman"/>
          <w:sz w:val="20"/>
        </w:rPr>
      </w:pPr>
      <w:r>
        <w:rPr>
          <w:rFonts w:ascii="Times New Roman" w:hAnsi="Times New Roman"/>
          <w:b/>
          <w:i/>
          <w:color w:val="000000"/>
          <w:sz w:val="20"/>
        </w:rPr>
        <w:t>Health, Wealth &amp; Career</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HWC is the larger of the two segments of the Company. Addressing four key areas, Health, Wealth, Career and Benefits Delivery &amp; Outsourcing (‘BD&amp;O’), the segment is focused on addressing our clients’ people and risk needs to help them succeed in a global marketplace.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HWC revenue for the three months ended June 30, 2026 and 2025, and the components of the change in revenue for the three months ended June 30, 2026 from the three months ended June 30,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2"/>
        <w:gridCol w:w="146"/>
        <w:gridCol w:w="243"/>
        <w:gridCol w:w="661"/>
        <w:gridCol w:w="168"/>
        <w:gridCol w:w="168"/>
        <w:gridCol w:w="243"/>
        <w:gridCol w:w="661"/>
        <w:gridCol w:w="146"/>
        <w:gridCol w:w="146"/>
        <w:gridCol w:w="781"/>
        <w:gridCol w:w="146"/>
        <w:gridCol w:w="796"/>
        <w:gridCol w:w="146"/>
        <w:gridCol w:w="796"/>
        <w:gridCol w:w="146"/>
        <w:gridCol w:w="1008"/>
        <w:gridCol w:w="146"/>
        <w:gridCol w:w="756"/>
      </w:tblGrid>
      <w:tr>
        <w:trPr/>
        <w:tc>
          <w:tcPr>
            <w:tcW w:w="2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HWC segment revenue for the three months ended June 30, 2026 and 2025 was $1.3 billion and $1.2 billion, respectively. Health delivered organic revenue growth with positive contributions from all regions. Wealth generated organic revenue growth supported by higher levels of retirement work across all regions. Career revenue was flat on an organic basis as increased levels of communications project work and broad-based pay work were offset by constrained revenue in the Middle East due to the ongoing conflict. BD&amp;O revenue increased organically as expanded project work, new client wins and regulatory driven work in Outsourcing were partially offset by lower commissions in Individual Marketplace. </w:t>
      </w:r>
    </w:p>
    <w:p>
      <w:pPr>
        <w:pStyle w:val="TextBody"/>
        <w:bidi w:val="0"/>
        <w:jc w:val="left"/>
        <w:rPr>
          <w:rFonts w:ascii="Times New Roman" w:hAnsi="Times New Roman"/>
          <w:color w:val="000000"/>
          <w:sz w:val="20"/>
        </w:rPr>
      </w:pPr>
      <w:r>
        <w:rPr>
          <w:rFonts w:ascii="Times New Roman" w:hAnsi="Times New Roman"/>
          <w:color w:val="000000"/>
          <w:sz w:val="20"/>
        </w:rPr>
        <w:t>HWC segment operating income for the three months ended June 30, 2026 and 2025 was $306 million and $280 million, respectively. HWC segment operating income increased primarily due to improved operating leverage and expense discipline.</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HWC segment revenue for the six months ended June 30, 2026 and 2025 and the components of the change in revenue for the six months ended June 30, 2026 from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0"/>
        <w:gridCol w:w="146"/>
        <w:gridCol w:w="229"/>
        <w:gridCol w:w="621"/>
        <w:gridCol w:w="158"/>
        <w:gridCol w:w="158"/>
        <w:gridCol w:w="229"/>
        <w:gridCol w:w="621"/>
        <w:gridCol w:w="146"/>
        <w:gridCol w:w="146"/>
        <w:gridCol w:w="781"/>
        <w:gridCol w:w="146"/>
        <w:gridCol w:w="796"/>
        <w:gridCol w:w="146"/>
        <w:gridCol w:w="796"/>
        <w:gridCol w:w="146"/>
        <w:gridCol w:w="1010"/>
        <w:gridCol w:w="146"/>
        <w:gridCol w:w="754"/>
      </w:tblGrid>
      <w:tr>
        <w:trPr/>
        <w:tc>
          <w:tcPr>
            <w:tcW w:w="3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HWC segment revenue for the six months ended June 30, 2026 and 2025 was $2.5 billion and $2.3 billion, respectively. Health revenue increased on an organic basis, supported by growth across all regions, with International leading the overall performance. Wealth generated organic revenue growth supported by higher levels of retirement work across all regions, alongside growth in the Investments business. Career revenue declined on an organic basis principally due to the ongoing conflict in the Middle East which constrained growth. BD&amp;O revenue was flat on an organic basis as expanded project work and administration engagements in Outsourcing were offset by lower commissions in Individual Marketplace.</w:t>
      </w:r>
    </w:p>
    <w:p>
      <w:pPr>
        <w:pStyle w:val="TextBody"/>
        <w:bidi w:val="0"/>
        <w:jc w:val="left"/>
        <w:rPr>
          <w:rFonts w:ascii="Times New Roman" w:hAnsi="Times New Roman"/>
          <w:color w:val="000000"/>
          <w:sz w:val="20"/>
        </w:rPr>
      </w:pPr>
      <w:r>
        <w:rPr>
          <w:rFonts w:ascii="Times New Roman" w:hAnsi="Times New Roman"/>
          <w:color w:val="000000"/>
          <w:sz w:val="20"/>
        </w:rPr>
        <w:t>HWC segment operating income for the six months ended June 30, 2026 and 2025 was $652 million and $591 million, respectively. HWC segment operating income increased primarily due to improved operating leverage and expense discipline.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Risk &amp; Broking</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sets forth R&amp;B revenue for the three months ended June 30, 2026 and 2025, and the components of the change in revenue for the three months ended June 30, 2026 from the three months ended June 30,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02"/>
        <w:gridCol w:w="146"/>
        <w:gridCol w:w="243"/>
        <w:gridCol w:w="661"/>
        <w:gridCol w:w="168"/>
        <w:gridCol w:w="168"/>
        <w:gridCol w:w="243"/>
        <w:gridCol w:w="661"/>
        <w:gridCol w:w="146"/>
        <w:gridCol w:w="146"/>
        <w:gridCol w:w="781"/>
        <w:gridCol w:w="146"/>
        <w:gridCol w:w="796"/>
        <w:gridCol w:w="146"/>
        <w:gridCol w:w="796"/>
        <w:gridCol w:w="146"/>
        <w:gridCol w:w="1008"/>
        <w:gridCol w:w="146"/>
        <w:gridCol w:w="756"/>
      </w:tblGrid>
      <w:tr>
        <w:trPr/>
        <w:tc>
          <w:tcPr>
            <w:tcW w:w="2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9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0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08"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R&amp;B segment revenue for the three months ended June 30, 2026 and 2025 was $1.2 billion and $1.0 billion, respectively. Corporate Risk &amp; Broking had organic revenue growth driven by new business activity and strong client retention globally. Insurance Consulting and Technology delivered organic revenue growth primarily from strong software sales in the Technology practice.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R&amp;B segment operating income for the three months ended June 30, 2026 and 2025 was $258 million and $222 million, respectively. R&amp;B segment operating income increased primarily due to operating leverage.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R&amp;B segment revenue for the six months ended June 30, 2026 and 2025 and the components of the change in revenue for the six months ended June 30, 2026 from the six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30"/>
        <w:gridCol w:w="146"/>
        <w:gridCol w:w="229"/>
        <w:gridCol w:w="621"/>
        <w:gridCol w:w="158"/>
        <w:gridCol w:w="158"/>
        <w:gridCol w:w="229"/>
        <w:gridCol w:w="621"/>
        <w:gridCol w:w="146"/>
        <w:gridCol w:w="146"/>
        <w:gridCol w:w="781"/>
        <w:gridCol w:w="146"/>
        <w:gridCol w:w="796"/>
        <w:gridCol w:w="146"/>
        <w:gridCol w:w="796"/>
        <w:gridCol w:w="146"/>
        <w:gridCol w:w="1010"/>
        <w:gridCol w:w="146"/>
        <w:gridCol w:w="754"/>
      </w:tblGrid>
      <w:tr>
        <w:trPr/>
        <w:tc>
          <w:tcPr>
            <w:tcW w:w="3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revenue excluding 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revenue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30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R&amp;B segment revenue for the six months ended June 30, 2026 and 2025 was $2.3 billion and $2.1 billion, respectively. Corporate Risk &amp; Broking had organic revenue growth driven by new business activity and strong client retention globally. Insurance Consulting and Technology delivered organic revenue growth primarily from strong software sales in the Technology practice.</w:t>
      </w:r>
    </w:p>
    <w:p>
      <w:pPr>
        <w:pStyle w:val="TextBody"/>
        <w:bidi w:val="0"/>
        <w:jc w:val="left"/>
        <w:rPr>
          <w:rFonts w:ascii="Times New Roman" w:hAnsi="Times New Roman"/>
          <w:color w:val="000000"/>
          <w:sz w:val="20"/>
        </w:rPr>
      </w:pPr>
      <w:r>
        <w:rPr>
          <w:rFonts w:ascii="Times New Roman" w:hAnsi="Times New Roman"/>
          <w:color w:val="000000"/>
          <w:sz w:val="20"/>
        </w:rPr>
        <w:t>R&amp;B segment operating income for the six months ended June 30, 2026 and 2025 was $510 million and $448 million, respectively. R&amp;B segment operating income increased primarily due to operating leverage and the impact of foreign exchange.</w:t>
      </w:r>
    </w:p>
    <w:p>
      <w:pPr>
        <w:pStyle w:val="TextBody"/>
        <w:bidi w:val="0"/>
        <w:spacing w:before="180" w:after="283"/>
        <w:jc w:val="left"/>
        <w:rPr>
          <w:rFonts w:ascii="Times New Roman" w:hAnsi="Times New Roman"/>
          <w:sz w:val="20"/>
        </w:rPr>
      </w:pPr>
      <w:r>
        <w:rPr>
          <w:rFonts w:ascii="Times New Roman" w:hAnsi="Times New Roman"/>
          <w:b/>
          <w:color w:val="000000"/>
          <w:sz w:val="20"/>
        </w:rPr>
        <w:t>Costs of Providing Services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costs of providing services for the three months ended June 30, 2026 were $2.1 billion, compared to $1.9 billion for the three months ended June 30, 2025, an increase of $209 million, or 11%. Total costs of providing services for the six months ended June 30, 2026 were $4.1 billion, compared to $3.7 billion for the six months ended June 30, 2025, an increase of $382 million, or 10%. See the following discussion for further details.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Salaries and Benefits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Salaries and benefits for the three months ended June 30, 2026 were $1.6 billion, compared to $1.4 billion for the three months ended June 30, 2025, an increase of $102 million, or 7%. Approximately one-third of this increase resulted from the acquisitions of Newfront and Cushon, and the remaining increase is primarily due to higher salary expense, driven by annual salary increases, increased incentive costs and higher benefit costs, primarily medical expenses. Salaries and benefits, as a percentage of revenue, represented 63% and 64% for the three months ended June 30, 2026 and 2025, respectively.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Salaries and benefits for the six months ended June 30, 2026 were $3.0 billion, compared to $2.8 billion for the six months ended June 30, 2025, an increase of $212 million, or 8%. Approximately one-third of this increase resulted from the acquisitions of Newfront and Cushon. The remaining increase in the current year is primarily due to higher salary expense, driven by annual salary increases, higher benefit costs, primarily medical expenses, and increased incentive costs. Salaries and benefits, as a percentage of revenue, represented 61% and 62% for the six months ended June 30, 2026 and 2025, respectively.</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Other Operating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Other operating expenses for the three months ended June 30, 2026 were $380 million, compared to $336 million for the three months ended June 30, 2025, an increase of $44 million, or 13%. The increase was primarily due to higher non-income-related tax expense, higher professional services costs and increased local office expenses for the current-year period as compared to the prior-year period.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Other operating expenses for the six months ended June 30, 2026 were $765 million, compared to $701 million for the six months ended June 30, 2025, an increase of $64 million or 9%. The increase was primarily due to higher professional services costs and increased local office expenses for the current year as compared to the prior year.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Depreciation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Depreciation for the three months ended June 30, 2026 was $55 million, compared to $57 million for the three months ended June 30, 2025, a decrease of $2 million. Depreciation for both the six months ended June 30, 2026 and 2025 was $111 million. The quarter-over-quarter decrease was primarily due to a lower depreciable base of assets resulting from disposals in the current-year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Amortization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Amortization for the three months ended June 30, 2026 was $55 million, compared to $49 million for the three months ended June 30, 2025, an increase of $6 million, or 12%. Amortization for the six months ended June 30, 2026 was $103 million, compared to $97 million for the six months ended June 30, 2025, an increase of $6 million, or 6%. Our intangible amortization is generally more heavily weighted to the initial years of the useful lives of the related intangibles, and therefore amortization related to intangible assets will begin to increase over time as a result of our recent and proposed acquisitions.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Transaction and integration expenses for the three and six months ended June 30, 2026 were $61 million and $102 million, respectively, and primarily included incremental share-based compensation and transaction-related costs attributable to our Newfront acquisition completed during the first quarter of 2026. See Note 3 — Acquisitions and Note 17 — Share-based Compensation for more information.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Income from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Income from operations for the three months ended June 30, 2026 was $364 million, compared to $368 million for the three months ended June 30, 2025, a decrease of $4 million. This decrease resulted primarily from increased salary expense and incentive and benefits costs, higher transaction and integration expenses, and higher non-income-related tax expense and professional services costs, partially offset by higher revenue in the current-year period, as compared to the prior-year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Income from operations for the six months ended June 30, 2026 was $812 million, compared to $800 million for the six months ended June 30, 2025, an increase of $12 million. This increase resulted primarily from higher revenue in the current year, partially offset by increased salary expense and benefits and incentive costs, higher professional services costs and increased local office expenses along with higher transaction and integration expenses in the current year, as compared to the prior year.</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Interest Expense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Interest expense for the three months ended June 30, 2026 was $78 million, compared to $64 million for the three months ended June 30, 2025, an increase of $14 million, or 22%. Interest expense for the six months ended June 30, 2026 was $155 million as compared to $129 million for the six months ended June 30, 2025, an increase of $26 million or 20%. These increases were primarily due to new senior notes issued by the Company during the fourth quarter of 2025 and interest expense associated with the recent drawdowns of our $775 million delayed draw term loan (the ‘DDTL’).</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Other Income/(Loss), Net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income/(loss), net for the three months ended June 30, 2026 was income of $6 million, compared to income of $9 million for the three months ended June 30, 2025, a decrease of $3 million. The decrease was due primarily to lower pension income in the current-year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Other income/(loss), net for the six months ended June 20, 2026 was income of $11 million, compared to a loss of $55 million for the six months ended June 30, 2025, an increase of $66 million. The increase was due primarily to higher pension income, which resulted from the absence of a significant non-recurring pension settlement cost recognized in the prior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for/(Benefit from) Income Taxes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Provision for income taxes for the three months ended June 30, 2026 was $57 million, compared to a benefit of $21 million for the three months ended June 30, 2025, an increase of $78 million. The effective tax rate was 19.8% for the three months ended June 30, 2026, and (6.8)% for the three months ended June 30, 2025. Provision for income taxes for the six months ended June 30, 2026 was $127 million, compared to $44 million for the six months ended June 20, 2025, an increase of $83 million. The effective tax rate was 19.1% for the six months ended June 30, 2026 and 7.1% for the six months ended June 30, 2025. These effective tax rates are calculated using extended values from our condensed consolidated statements of comprehensive income and are therefore more precise tax rates than can be calculated from rounded values. The prior-year effective tax rates were lower primarily due to favorable discrete items including an adjustment to the tax provision associated with the earnout received from the sale of our Willis Re business, and changes in measurement for existing uncertain tax positions.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Net Income Attributable to WTW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Net income attributable to WTW for the three months ended June 30, 2026 was $229 million, compared to $331 million for the three months ended June 30, 2025, a decrease of $102 million, or 31%. This decrease resulted primarily from increased salary expense and incentive and benefits costs, higher income tax expense, higher transaction and integration expenses, and increased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non-income-related tax expense and professional services costs, partially offset by higher revenue in the current-year period, as compared to the prior-year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Net income attributable to WTW for the six months ended June 30, 2026 was $526 million, compared to $566 million for the six months ended June 30, 2025, a decrease of $40 million, or 7%. This decrease resulted primarily from increased salary expense and benefits and incentive costs, higher transaction and integration expenses and increased income tax expense, partially offset by higher revenue in the current year, as compared to the prior year.</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Executive Summary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Our principal sources of liquidity are funds generated by operating activities, available cash and cash equivalents, amounts available under our revolving credit facility, the DDTL and any new debt offerings.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has been significant volatility in financial markets, including occasional declines in equity markets, inflation and changes in interest rates and reduced liquidity on a global basis and we expect this volatility could continue, all of which may impact our access to liquidity.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Based on our current balance sheet and cash flows, current market conditions and information available to us at this time, we believe that the Company has access to sufficient liquidity to meet our cash needs for the next twelve months. Including our cash generated from operations, our liquidity also includes all of the borrowing capacity available to draw against our $1.5 billion revolving credit facility. During the six months ended June 30, 2026, we used the net proceeds from our December 2025 $1.0 billion senior notes offering, after deducting underwriter discounts and commissions and estimated offering expenses, to pay the consideration, and related fees, costs and expenses, for our acquisition of Newfront Insurance Holdings, Inc. (‘Newfront’), which was completed on January 27, 2026. In addition, we used borrowings against our $775 million DDTL, along with cash on hand, to repay in full the $550 million aggregate principal amount of the 4.400% senior notes due 2026 and related accrued interest and to fund our Cushon acquisition (see Note 3 — Acquisitions and Note 9 — Debt within Part I, Item 1 ‘Financial Statements’ of this Quarterly Report on Form 10-Q).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Under our minority ownership interest in a joint venture with Bain Capital, in connection with which we re-entered the reinsurance broking space during the fourth quarter of 2024, we have an option to acquire a controlling interest in the joint venture in the future. Given the initial funding needs of a start-up venture, we expect to make certain capital contributions from time to time resulting in a reduction to earnings until such time as the joint venture generates sufficient revenue to be profitable.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2026, we repurchased $750 million of our outstanding shares and have authorization to repurchase an additional $542 million under our share repurchase program (as further described below under ‘Share Repurchase Program’). We consider many factors, including market and economic conditions, applicable legal requirements and other business considerations, when considering whether to repurchase shares. Our Share Repurchase Program has no termination date and may be suspended or discontinued at any time.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Events that could change the historical cash flow dynamics discussed above include significant changes in operating results, potential future acquisitions or divestitures, material changes in geographic sources of cash, unexpected adverse impacts from litigation or tax or regulatory matters, or future pension funding during periods of severe downturn in the capital markets.</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Undistributed Earnings of Foreign Subsidiaries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recognizes deferred tax balances related to the undistributed earnings of subsidiaries when it expects that it will recover those undistributed earnings in a taxable manner, such as through receipt of dividends or sale of the investments. We continue to have certain subsidiaries whose earnings have not been deemed permanently reinvested, for which we have been accruing estimates of the tax effects of such repatriation. Excluding these certain subsidiaries, the Company has not provided for deferred taxes on outside basis differences in our investments, as these outside basis differences can either be repatriated in a nontaxable manner or are considered permanently reinvested.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cash and cash equivalents at June 30, 2026 totaled $1.6 billion, compared to $3.1 billion at December 31, 2025. The significant change in cash from December 31, 2025 to June 30, 2026 was primarily due to cash outflows of $1.0 billion associated with our Newfront and Cushon acquisitions, and $750 million of share repurchases.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Additionally, at June 30, 2026 and December 31, 2025, we had all of the borrowing capacity available to draw against our $1.5 billion revolving credit facility.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Included within cash and cash equivalents at June 30, 2026 and December 31, 2025 are amounts held for regulatory capital adequacy requirements, including $93 million and $105 million, respectively, within our regulated U.K. entities.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Summarized Condensed Consolidated Cash Flows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presents the summarized condensed consolidated cash flow information for the six months ended June 30, 2026 and 2025: </w:t>
      </w:r>
    </w:p>
    <w:p>
      <w:pPr>
        <w:pStyle w:val="TextBody"/>
        <w:bidi w:val="0"/>
        <w:jc w:val="left"/>
        <w:rPr/>
      </w:pPr>
      <w:r>
        <w:rPr/>
        <w:t> </w:t>
      </w:r>
    </w:p>
    <w:tbl>
      <w:tblPr>
        <w:tblW w:w="9776" w:type="dxa"/>
        <w:jc w:val="left"/>
        <w:tblInd w:w="0" w:type="dxa"/>
        <w:tblLayout w:type="fixed"/>
        <w:tblCellMar>
          <w:top w:w="28" w:type="dxa"/>
          <w:left w:w="28" w:type="dxa"/>
          <w:bottom w:w="28" w:type="dxa"/>
          <w:right w:w="28" w:type="dxa"/>
        </w:tblCellMar>
      </w:tblPr>
      <w:tblGrid>
        <w:gridCol w:w="7171"/>
        <w:gridCol w:w="146"/>
        <w:gridCol w:w="225"/>
        <w:gridCol w:w="675"/>
        <w:gridCol w:w="177"/>
        <w:gridCol w:w="156"/>
        <w:gridCol w:w="225"/>
        <w:gridCol w:w="610"/>
        <w:gridCol w:w="391"/>
      </w:tblGrid>
      <w:tr>
        <w:trPr/>
        <w:tc>
          <w:tcPr>
            <w:tcW w:w="7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from/(used in):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9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(DECREASE)/INCREASE IN CASH, CASH EQUIVALENTS AND RESTRICTED </w:t>
              <w:br/>
              <w:t xml:space="preserve">   CASH </w:t>
            </w:r>
            <w:r>
              <w:rPr>
                <w:rFonts w:ascii="Times New Roman" w:hAnsi="Times New Roman"/>
                <w:color w:val="000000"/>
                <w:sz w:val="13"/>
              </w:rPr>
              <w:t>(i)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BEGINNING OF PERIOD </w:t>
            </w:r>
            <w:r>
              <w:rPr>
                <w:rFonts w:ascii="Times New Roman" w:hAnsi="Times New Roman"/>
                <w:color w:val="000000"/>
                <w:sz w:val="13"/>
              </w:rPr>
              <w:t>(i)</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7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RESTRICTED CASH, END OF PERIOD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pPr>
      <w:r>
        <w:rPr>
          <w:rFonts w:ascii="Times New Roman" w:hAnsi="Times New Roman"/>
          <w:color w:val="000000"/>
          <w:sz w:val="16"/>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color w:val="000000"/>
        </w:rPr>
        <w:t xml:space="preserve">— </w:t>
      </w:r>
      <w:r>
        <w:rPr>
          <w:rFonts w:ascii="Times New Roman" w:hAnsi="Times New Roman"/>
          <w:color w:val="000000"/>
          <w:sz w:val="16"/>
        </w:rPr>
        <w:t>Supplemental Disclosures of Cash Flow Information within Part I, Item 1 ‘Financial Statements’ within this Quarterly Report on Form 10-Q.</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flows from operating activities were $474 million for the six months ended June 30, 2026, compared to $326 million for the six months ended June 30, 2025. The $474 million of net cash from operating activities for the six months ended June 30, 2026 included net income of $534 million and $370 million of favorable non-cash adjustments, partially offset by unfavorable changes in operating assets and liabilities of $430 million. The increase was primarily driven by operating margin expansion.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$326 million of net cash from operating activities for the six months ended June 30, 2025 included net income of $571 million and $388 million of favorable non-cash adjustments, partially offset by unfavorable changes in operating assets and liabilities of $633 million.</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(Used In)/From Investing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Cash flows used in investing activities for the six months ended June 30, 2026 were $1.2 billion as compared to cash flows from investing activities of $612 million for the six months ended June 30, 2025. The cash flows used in investing activities in the current year were primarily driven by the acquisitions of Newfront and Cushon, as well as capital expenditures, including software additions, and contributions made by the Company to its investments in associates. The cash flows from investing activities in the prior year consisted primarily of net proceeds from sales of operations resulting from divestitures that occurred in prior years. These inflows were partially offset by capital expenditures, including software additions, and our net purchases of held-to-maturity and available-for-sale securities.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Cash Flows Used In Financing Activities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Cash flows used in financing activities for the six months ended June 30, 2026 were $611 million. The significant financing activities included repayments of debt of $552 million, share repurchases of $750 million and dividend payments of $178 million, partially offset by net borrowings of other debt of $771 million and net proceeds from fiduciary funds held for clients of $159 million.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Cash flows used in financing activities for the six months ended June 30, 2025 were $800 million. The significant financing activities included share repurchases of $700 million and dividend payments of $179 million, partially offset by net proceeds from fiduciary funds held for clients of $141 million.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debt, total equity, and the capitalization ratios at June 30, 2026 and December 31, 2025 were as follows:</w:t>
      </w:r>
    </w:p>
    <w:p>
      <w:pPr>
        <w:pStyle w:val="TextBody"/>
        <w:bidi w:val="0"/>
        <w:jc w:val="left"/>
        <w:rPr/>
      </w:pPr>
      <w:r>
        <w:rPr/>
        <w:t> </w:t>
      </w:r>
    </w:p>
    <w:tbl>
      <w:tblPr>
        <w:tblW w:w="5577" w:type="dxa"/>
        <w:jc w:val="left"/>
        <w:tblInd w:w="0" w:type="dxa"/>
        <w:tblLayout w:type="fixed"/>
        <w:tblCellMar>
          <w:top w:w="28" w:type="dxa"/>
          <w:left w:w="28" w:type="dxa"/>
          <w:bottom w:w="28" w:type="dxa"/>
          <w:right w:w="28" w:type="dxa"/>
        </w:tblCellMar>
      </w:tblPr>
      <w:tblGrid>
        <w:gridCol w:w="2776"/>
        <w:gridCol w:w="146"/>
        <w:gridCol w:w="211"/>
        <w:gridCol w:w="571"/>
        <w:gridCol w:w="271"/>
        <w:gridCol w:w="146"/>
        <w:gridCol w:w="306"/>
        <w:gridCol w:w="834"/>
        <w:gridCol w:w="316"/>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31, </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WTW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Capitalization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more information regarding our current and long-term debt, please see ‘Supplemental Guarantor Financial Information’ elsewhere within Part I, Item 2 of this Quarterly Report on Form 10-Q.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June 30, 2026 and December 31, 2025, we were in compliance with all financial covenants.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Fiduciary Funds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June 30, 2026 and December 31, 2025, we had fiduciary funds of $4.0 billion and $3.8 billion, respectively.</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Share Repurchase Program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 is authorized to repurchase shares, by way of redemption or otherwise, and will consider whether to do so from time to time, based on many factors, including market conditions. There are no expiration dates for our repurchase plans or programs.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28, 2026, the board of directors approved a $1.5 billion increase to the existing share repurchase program and on September 16, 2025, approved a $1.5 billion increase to the existing share repurchase program. These increases brought the total approved authorization, since the announcement of the program on April 20, 2016, to $13.2 billion.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At June 30, 2026, approximately $542 million remained on the current repurchase authority. The maximum number of shares that could be repurchased based on the closing price of our ordinary shares on June 30, 2026 of $261.37 was 2,072,893.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three and six months ended June 30, 2026, the Company had the following share repurchase activity:</w:t>
      </w:r>
    </w:p>
    <w:p>
      <w:pPr>
        <w:pStyle w:val="TextBody"/>
        <w:bidi w:val="0"/>
        <w:jc w:val="left"/>
        <w:rPr/>
      </w:pPr>
      <w:r>
        <w:rPr/>
        <w:t> </w:t>
      </w:r>
    </w:p>
    <w:tbl>
      <w:tblPr>
        <w:tblW w:w="7761" w:type="dxa"/>
        <w:jc w:val="left"/>
        <w:tblInd w:w="0" w:type="dxa"/>
        <w:tblLayout w:type="fixed"/>
        <w:tblCellMar>
          <w:top w:w="28" w:type="dxa"/>
          <w:left w:w="28" w:type="dxa"/>
          <w:bottom w:w="28" w:type="dxa"/>
          <w:right w:w="28" w:type="dxa"/>
        </w:tblCellMar>
      </w:tblPr>
      <w:tblGrid>
        <w:gridCol w:w="4261"/>
        <w:gridCol w:w="146"/>
        <w:gridCol w:w="146"/>
        <w:gridCol w:w="1606"/>
        <w:gridCol w:w="146"/>
        <w:gridCol w:w="1456"/>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2,747,908</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$272.92</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Aggregate repurchase cost (excluding broker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 million</w:t>
            </w:r>
          </w:p>
        </w:tc>
      </w:tr>
    </w:tbl>
    <w:p>
      <w:pPr>
        <w:pStyle w:val="TextBody"/>
        <w:bidi w:val="0"/>
        <w:spacing w:before="18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 Commitments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Company’s capital expenditures for fixed assets and software were $114 million during the six months ended June 30, 2026. The Company estimates that there will be additional such expenditures in the range of $110 million to $135 million during the remainder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of 2026. We currently expect cash from operations to adequately provide for these cash needs. There have been no material changes to our capital commitments since December 31, 2025.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Total cash dividends of $178 million were paid during the six months ended June 30, 2026. In May 2026, the board of directors approved a quarterly cash dividend of $0.96 per share ($3.84 per share annualized rate), which was paid on July 15, 2026 to shareholders of record as of June 30, 2026.</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Supplemental Guarantor Financial Information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June 30, 2026, WTW has issued the following debt securities (the ‘notes’):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Willis North America Inc. (‘Willis North America’) has approximately $5.5 billion senior notes outstanding, of which $1.0 billion were issued on September 10, 2018, $1.0 billion were issued on September 10, 2019, $275 million were issued on May 29, 2020, $750 million were issued on May 19, 2022, $750 million were issued on May 17, 2023, $750 million were issued on March 5, 2024 and $1.0 billion were issued on December 22, 2025, and has $775 million outstanding under a DDTL;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Trinity Acquisition plc has approximately $275 million senior notes outstanding, which were issued on August 15, 2013, and a $1.5 billion revolving credit facility, on which no balance was outstanding at June 30,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table presents a summary of the entities that issue each note and those wholly-owned subsidiaries of the Company that guarantee each respective note on a joint and several basis as of June 30, 2026. These subsidiaries are all consolidated by Willis Towers Watson plc (the ‘parent company’) and together with the parent company comprise the ‘Obligor group’. </w:t>
      </w:r>
    </w:p>
    <w:p>
      <w:pPr>
        <w:pStyle w:val="TextBody"/>
        <w:bidi w:val="0"/>
        <w:jc w:val="left"/>
        <w:rPr/>
      </w:pPr>
      <w:r>
        <w:rPr/>
        <w:t> </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4771"/>
        <w:gridCol w:w="146"/>
        <w:gridCol w:w="2176"/>
        <w:gridCol w:w="146"/>
        <w:gridCol w:w="246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Trinity Acquisition plc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Willis North America Inc. Notes</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Willis Towers Watson plc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Trinity Acquisition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Issuer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Willis North America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Issuer</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Willis Investment UK Holdings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Willis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Willis Towers Watson Sub Holdings Unlimited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Guarantor</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notes issued by Willis North America and Trinity Acquisition plc: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rank equally with all of the issuer’s existing and future unsubordinated and unsecured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rank equally with the issuer’s guarantee of all of the existing senior debt of the Company and the other guarantors, including any debt under the $1.5 billion revolving credit facility and any debt under the DDTL;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senior in right of payment to all of the issuer’s future subordinated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effectively subordinated to all of the issuer’s secured debt to the extent of the value of the assets securing such debt.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All other subsidiaries of the parent company are non-guarantor subsidiaries (‘the non-guarantor subsidiaries’).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June 30, 2026 and December 31, 2025,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to the Obligor group. In addition, such non-guarantor subsidiaries may enter into contractual arrangements that limit their ability to pay dividends and make loans and advances to the Obligor group.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and related arrangements, intercompany dividends and intercompany interest. At June 30, 2026 and December 31, 2025, the intercompany balances of the Obligor group with non-guarantor subsidiaries were net receivables of $1.9 billion at both periods presented, and net payables of $17.6 billion and $16.3 billion, respectively.</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No balances or transactions of non-guarantor subsidiaries are presented in the disclosures other than the intercompany items noted above.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Presented below is certain summarized financial information for the Obligor group.</w:t>
      </w:r>
    </w:p>
    <w:p>
      <w:pPr>
        <w:pStyle w:val="TextBody"/>
        <w:bidi w:val="0"/>
        <w:jc w:val="left"/>
        <w:rPr/>
      </w:pPr>
      <w:r>
        <w:rPr/>
        <w:t> </w:t>
      </w:r>
    </w:p>
    <w:tbl>
      <w:tblPr>
        <w:tblW w:w="5625" w:type="dxa"/>
        <w:jc w:val="left"/>
        <w:tblInd w:w="0" w:type="dxa"/>
        <w:tblLayout w:type="fixed"/>
        <w:tblCellMar>
          <w:top w:w="28" w:type="dxa"/>
          <w:left w:w="28" w:type="dxa"/>
          <w:bottom w:w="28" w:type="dxa"/>
          <w:right w:w="28" w:type="dxa"/>
        </w:tblCellMar>
      </w:tblPr>
      <w:tblGrid>
        <w:gridCol w:w="2371"/>
        <w:gridCol w:w="146"/>
        <w:gridCol w:w="267"/>
        <w:gridCol w:w="858"/>
        <w:gridCol w:w="146"/>
        <w:gridCol w:w="146"/>
        <w:gridCol w:w="357"/>
        <w:gridCol w:w="1143"/>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588" w:type="dxa"/>
        <w:jc w:val="left"/>
        <w:tblInd w:w="0" w:type="dxa"/>
        <w:tblLayout w:type="fixed"/>
        <w:tblCellMar>
          <w:top w:w="28" w:type="dxa"/>
          <w:left w:w="28" w:type="dxa"/>
          <w:bottom w:w="28" w:type="dxa"/>
          <w:right w:w="28" w:type="dxa"/>
        </w:tblCellMar>
      </w:tblPr>
      <w:tblGrid>
        <w:gridCol w:w="6886"/>
        <w:gridCol w:w="146"/>
        <w:gridCol w:w="368"/>
        <w:gridCol w:w="997"/>
        <w:gridCol w:w="191"/>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Income from operations before income taxes and interest in earnings of associates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Includes intercompany expense, net of the Obligor group from non-guarantor subsidiaries of $261 million for the six months ended June 30, 2026.</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80" w:after="283"/>
        <w:jc w:val="left"/>
        <w:rPr>
          <w:rFonts w:ascii="Times New Roman" w:hAnsi="Times New Roman"/>
          <w:color w:val="2C2C2C"/>
          <w:sz w:val="20"/>
        </w:rPr>
      </w:pPr>
      <w:r>
        <w:rPr>
          <w:rFonts w:ascii="Times New Roman" w:hAnsi="Times New Roman"/>
          <w:color w:val="2C2C2C"/>
          <w:sz w:val="20"/>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pStyle w:val="TextBody"/>
        <w:bidi w:val="0"/>
        <w:jc w:val="left"/>
        <w:rPr/>
      </w:pPr>
      <w:r>
        <w:rPr/>
        <w:t> </w:t>
      </w:r>
    </w:p>
    <w:tbl>
      <w:tblPr>
        <w:tblW w:w="7288" w:type="dxa"/>
        <w:jc w:val="left"/>
        <w:tblInd w:w="0" w:type="dxa"/>
        <w:tblLayout w:type="fixed"/>
        <w:tblCellMar>
          <w:top w:w="28" w:type="dxa"/>
          <w:left w:w="28" w:type="dxa"/>
          <w:bottom w:w="28" w:type="dxa"/>
          <w:right w:w="28" w:type="dxa"/>
        </w:tblCellMar>
      </w:tblPr>
      <w:tblGrid>
        <w:gridCol w:w="4126"/>
        <w:gridCol w:w="146"/>
        <w:gridCol w:w="3016"/>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Most Directly Comparable U.S. GAAP Measure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Non-GAAP Measure</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Constant currency change</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change</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income/margin</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EBITDA/margin</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Income from operations before income taxes and </w:t>
              <w:br/>
              <w:t>   interest in earnings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taxes</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taxes/U.S. GAAP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taxes/tax rate</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and integration expenses – Management believes it is appropriate to adjust for significant acquisition-related transaction and integration expenses including changes in significant estimated acquisition earnouts payable and acquisition-related compensation charges. We believe the adjustment is necessary to present how the Company is performing, both now and in the future when the incurrence of these costs will have concluded.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Gains and losses on disposals of operations – Adjustment to remove the gains or losses resulting from disposed operations that have not been classified as discontinued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periodic pension and postretirement benefits – Adjustment to remove the recognition of net periodic pension and postretirement benefits (including pension settlements), other than service costs. We have included this adjustment as applicable in our prior-period disclosures in order to conform to the current-period presentation.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Constant Currency Change and Organic Change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Constant currency change -</w:t>
      </w:r>
      <w:r>
        <w:rPr>
          <w:color w:val="000000"/>
        </w:rPr>
        <w:t xml:space="preserve"> </w:t>
      </w:r>
      <w:r>
        <w:rPr>
          <w:rFonts w:ascii="Times New Roman" w:hAnsi="Times New Roman"/>
          <w:color w:val="000000"/>
          <w:sz w:val="20"/>
        </w:rPr>
        <w:t>Represents the year-over-year change in revenue excluding the impact of foreign currency fluctuations. To calculate 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Organic change -</w:t>
      </w:r>
      <w:r>
        <w:rPr>
          <w:color w:val="000000"/>
        </w:rPr>
        <w:t xml:space="preserve"> </w:t>
      </w:r>
      <w:r>
        <w:rPr>
          <w:rFonts w:ascii="Times New Roman" w:hAnsi="Times New Roman"/>
          <w:color w:val="000000"/>
          <w:sz w:val="20"/>
        </w:rPr>
        <w:t>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constant currency and organic change results, and a reconciliation from the reported results for consolidated revenue are included in the ‘Consolidated Revenue’ section within this Form 10-Q. These measures are also reported by segment in the ‘Segment Revenue and Segment Operating Income’ section within this Form 10-Q.</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Reconciliations of the as-reported change to the constant currency and organic changes for the three and six months ended June 30, 2026 from the three and six months ended June 30, 2025 are as follows. The components of revenue change may not add due to rounding. </w:t>
      </w:r>
    </w:p>
    <w:p>
      <w:pPr>
        <w:pStyle w:val="TextBody"/>
        <w:bidi w:val="0"/>
        <w:jc w:val="left"/>
        <w:rPr/>
      </w:pPr>
      <w:r>
        <w:rPr/>
        <w:t> </w:t>
      </w:r>
    </w:p>
    <w:tbl>
      <w:tblPr>
        <w:tblW w:w="8362" w:type="dxa"/>
        <w:jc w:val="left"/>
        <w:tblInd w:w="0" w:type="dxa"/>
        <w:tblLayout w:type="fixed"/>
        <w:tblCellMar>
          <w:top w:w="28" w:type="dxa"/>
          <w:left w:w="28" w:type="dxa"/>
          <w:bottom w:w="28" w:type="dxa"/>
          <w:right w:w="28" w:type="dxa"/>
        </w:tblCellMar>
      </w:tblPr>
      <w:tblGrid>
        <w:gridCol w:w="841"/>
        <w:gridCol w:w="146"/>
        <w:gridCol w:w="257"/>
        <w:gridCol w:w="697"/>
        <w:gridCol w:w="178"/>
        <w:gridCol w:w="178"/>
        <w:gridCol w:w="257"/>
        <w:gridCol w:w="697"/>
        <w:gridCol w:w="146"/>
        <w:gridCol w:w="146"/>
        <w:gridCol w:w="781"/>
        <w:gridCol w:w="146"/>
        <w:gridCol w:w="796"/>
        <w:gridCol w:w="146"/>
        <w:gridCol w:w="796"/>
        <w:gridCol w:w="146"/>
        <w:gridCol w:w="1021"/>
        <w:gridCol w:w="146"/>
        <w:gridCol w:w="84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Change </w:t>
            </w:r>
            <w:r>
              <w:rPr>
                <w:rFonts w:ascii="Times New Roman" w:hAnsi="Times New Roman"/>
                <w:b/>
                <w:color w:val="000000"/>
                <w:sz w:val="11"/>
              </w:rPr>
              <w:t>(i)</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166" w:type="dxa"/>
        <w:jc w:val="left"/>
        <w:tblInd w:w="0" w:type="dxa"/>
        <w:tblLayout w:type="fixed"/>
        <w:tblCellMar>
          <w:top w:w="28" w:type="dxa"/>
          <w:left w:w="28" w:type="dxa"/>
          <w:bottom w:w="28" w:type="dxa"/>
          <w:right w:w="28" w:type="dxa"/>
        </w:tblCellMar>
      </w:tblPr>
      <w:tblGrid>
        <w:gridCol w:w="841"/>
        <w:gridCol w:w="146"/>
        <w:gridCol w:w="235"/>
        <w:gridCol w:w="637"/>
        <w:gridCol w:w="162"/>
        <w:gridCol w:w="162"/>
        <w:gridCol w:w="235"/>
        <w:gridCol w:w="637"/>
        <w:gridCol w:w="146"/>
        <w:gridCol w:w="146"/>
        <w:gridCol w:w="781"/>
        <w:gridCol w:w="146"/>
        <w:gridCol w:w="796"/>
        <w:gridCol w:w="146"/>
        <w:gridCol w:w="796"/>
        <w:gridCol w:w="146"/>
        <w:gridCol w:w="1021"/>
        <w:gridCol w:w="146"/>
        <w:gridCol w:w="841"/>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Components of Revenue Change</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Organic</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Divestitures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Change </w:t>
            </w:r>
            <w:r>
              <w:rPr>
                <w:rFonts w:ascii="Times New Roman" w:hAnsi="Times New Roman"/>
                <w:b/>
                <w:color w:val="000000"/>
                <w:sz w:val="11"/>
              </w:rPr>
              <w:t>(i)</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Interest income did not contribute to organic change for the three and six months ended June 30, 2026.</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For the three months ended June 30, 2026, our as-reported revenue increased by $205 million, or 9% and our organic revenue grew by 5%. For the six months ended June 30, 2026, our as-reported revenue increased by $394 million, or 9%, and our organic revenue grew by 4%. For additional information, please see the section entitled ‘Segment Revenue and Segment Operating Income’ elsewhere within Part I, Item 2 of this Quarterly Report on Form 10-Q.</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Adjusted Operating Income/Margin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consider adjusted operating income/margin to be important financial measures, which are used internally to evaluate and assess our core operations and to benchmark our operating results against our competitors.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operating income is defined as income from operations adjusted for amortization, transaction and integration expenses and non-recurring items that, in management’s judgment, significantly affect the period-over-period assessment of operating results. Adjusted operating income margin is calculated by dividing adjusted operating income by revenue.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Reconciliations of income from operations to adjusted operating income for the three and six months ended June 30, 2026 and 2025 are as follows:</w:t>
      </w:r>
    </w:p>
    <w:p>
      <w:pPr>
        <w:pStyle w:val="TextBody"/>
        <w:bidi w:val="0"/>
        <w:jc w:val="left"/>
        <w:rPr/>
      </w:pPr>
      <w:r>
        <w:rPr/>
        <w:t> </w:t>
      </w:r>
    </w:p>
    <w:tbl>
      <w:tblPr>
        <w:tblW w:w="8489" w:type="dxa"/>
        <w:jc w:val="left"/>
        <w:tblInd w:w="0" w:type="dxa"/>
        <w:tblLayout w:type="fixed"/>
        <w:tblCellMar>
          <w:top w:w="28" w:type="dxa"/>
          <w:left w:w="28" w:type="dxa"/>
          <w:bottom w:w="28" w:type="dxa"/>
          <w:right w:w="28" w:type="dxa"/>
        </w:tblCellMar>
      </w:tblPr>
      <w:tblGrid>
        <w:gridCol w:w="3351"/>
        <w:gridCol w:w="269"/>
        <w:gridCol w:w="596"/>
        <w:gridCol w:w="346"/>
        <w:gridCol w:w="186"/>
        <w:gridCol w:w="269"/>
        <w:gridCol w:w="596"/>
        <w:gridCol w:w="271"/>
        <w:gridCol w:w="146"/>
        <w:gridCol w:w="232"/>
        <w:gridCol w:w="630"/>
        <w:gridCol w:w="299"/>
        <w:gridCol w:w="161"/>
        <w:gridCol w:w="232"/>
        <w:gridCol w:w="514"/>
        <w:gridCol w:w="391"/>
      </w:tblGrid>
      <w:tr>
        <w:trPr/>
        <w:tc>
          <w:tcPr>
            <w:tcW w:w="335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 certain items:</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margin</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operating income margin</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operating income increased for the three months ended June 30, 2026 to $480 million, from $419 million for the three months ended June 30, 2025, and increased for the six months ended June 30, 2026 to $1.0 billion from $899 million for the six months ended June 30, 2025. These increases resulted primarily from higher revenue in the current year, partially offset by higher salary expense and incentive and benefits costs, and higher non-income-related tax expense and professional services costs in the current year as compared to the prior year.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Adjusted EBITDA/Margin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EBITDA is defined as net income adjusted for provision for income taxes, interest expense, depreciation and amortization, transaction and integration expenses, gains and losses on disposals of operations, net periodic pension and postretirement benefits, and non-recurring items that, in management’s judgment, significantly affect the period-over-period assessment of operating results. Adjusted EBITDA margin is calculated by dividing adjusted EBITDA by revenue.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Reconciliations of net income to adjusted EBITDA for the three and six months ended June 30, 2026 and 2025 are as follows: </w:t>
      </w:r>
    </w:p>
    <w:p>
      <w:pPr>
        <w:pStyle w:val="TextBody"/>
        <w:bidi w:val="0"/>
        <w:jc w:val="left"/>
        <w:rPr/>
      </w:pPr>
      <w:r>
        <w:rPr/>
        <w:t> </w:t>
      </w:r>
    </w:p>
    <w:tbl>
      <w:tblPr>
        <w:tblW w:w="9549" w:type="dxa"/>
        <w:jc w:val="left"/>
        <w:tblInd w:w="0" w:type="dxa"/>
        <w:tblLayout w:type="fixed"/>
        <w:tblCellMar>
          <w:top w:w="28" w:type="dxa"/>
          <w:left w:w="28" w:type="dxa"/>
          <w:bottom w:w="28" w:type="dxa"/>
          <w:right w:w="28" w:type="dxa"/>
        </w:tblCellMar>
      </w:tblPr>
      <w:tblGrid>
        <w:gridCol w:w="4266"/>
        <w:gridCol w:w="146"/>
        <w:gridCol w:w="269"/>
        <w:gridCol w:w="596"/>
        <w:gridCol w:w="346"/>
        <w:gridCol w:w="186"/>
        <w:gridCol w:w="269"/>
        <w:gridCol w:w="596"/>
        <w:gridCol w:w="271"/>
        <w:gridCol w:w="146"/>
        <w:gridCol w:w="220"/>
        <w:gridCol w:w="596"/>
        <w:gridCol w:w="283"/>
        <w:gridCol w:w="152"/>
        <w:gridCol w:w="220"/>
        <w:gridCol w:w="59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periodic pension and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EBITDA for the three months ended June 30, 2026 was $529 million, compared to $470 million for the three months ended June 30, 2025, and was $1.1 billion for the six months ended June 30, 2026, compared to $1.0 billion for the six months ended June 30, 2025. These increases resulted primarily from higher revenue in the current year, partially offset by increased salary expense and incentive and benefits costs, and increased non-income-related tax expense and professional services costs in the current year as compared to the prior year.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Adjusted Net Income and Adjusted Diluted 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net income is defined as net income attributable to WTW adjusted for amortization, transaction and integration expenses, gains and losses on disposals of operations, net periodic pension and postretirement benefits,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Reconciliations of net income attributable to WTW to adjusted diluted earnings per share for the three and six months ended June 30, 2026 and 2025 are as follows: </w:t>
      </w:r>
    </w:p>
    <w:p>
      <w:pPr>
        <w:pStyle w:val="TextBody"/>
        <w:bidi w:val="0"/>
        <w:jc w:val="left"/>
        <w:rPr/>
      </w:pPr>
      <w:r>
        <w:rPr/>
        <w:t> </w:t>
      </w:r>
    </w:p>
    <w:tbl>
      <w:tblPr>
        <w:tblW w:w="9465" w:type="dxa"/>
        <w:jc w:val="left"/>
        <w:tblInd w:w="0" w:type="dxa"/>
        <w:tblLayout w:type="fixed"/>
        <w:tblCellMar>
          <w:top w:w="28" w:type="dxa"/>
          <w:left w:w="28" w:type="dxa"/>
          <w:bottom w:w="28" w:type="dxa"/>
          <w:right w:w="28" w:type="dxa"/>
        </w:tblCellMar>
      </w:tblPr>
      <w:tblGrid>
        <w:gridCol w:w="4266"/>
        <w:gridCol w:w="146"/>
        <w:gridCol w:w="267"/>
        <w:gridCol w:w="667"/>
        <w:gridCol w:w="210"/>
        <w:gridCol w:w="185"/>
        <w:gridCol w:w="267"/>
        <w:gridCol w:w="667"/>
        <w:gridCol w:w="166"/>
        <w:gridCol w:w="146"/>
        <w:gridCol w:w="244"/>
        <w:gridCol w:w="609"/>
        <w:gridCol w:w="192"/>
        <w:gridCol w:w="169"/>
        <w:gridCol w:w="244"/>
        <w:gridCol w:w="609"/>
        <w:gridCol w:w="41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WTW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 certain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periodic pension and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effect on certain items listed above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significant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ordinary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Adjusted for certain items </w:t>
            </w:r>
            <w:r>
              <w:rPr>
                <w:rFonts w:ascii="Times New Roman" w:hAnsi="Times New Roman"/>
                <w:color w:val="000000"/>
                <w:sz w:val="13"/>
              </w:rPr>
              <w:t>(ii)</w:t>
            </w:r>
            <w:r>
              <w:rPr>
                <w:rFonts w:ascii="Times New Roman" w:hAnsi="Times New Roman"/>
                <w:color w:val="000000"/>
                <w:sz w:val="2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periodic pension and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effect on certain items listed above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significant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diluted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tax effect was calculated using an effective tax rate for each item.</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Per share values and totals may differ due to rounding.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adjusted diluted earnings per share increased for both the three and six months ended June 30, 2026 as compared to the prior year due in part to a lower weighted-average outstanding share count due to our share repurchase activity over the last year, however primarily resulted from higher revenue in the current year, partially offset by increased salary expense and incentive and benefits costs, and increased non-income-related tax expense and professional services costs in the current year as compared to the prior year.</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Adjusted Income Before Taxes and Adjusted Income Taxes/Tax Rate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income before taxes is defined as income from operations before income taxes and interest in earnings of associates adjusted for amortization, transaction and integration expenses, gains and losses on disposals of operations, net periodic pension and postretirement benefits, and non-recurring items that, in management’s judgment, significantly affect the period-over-period assessment of operating results. Adjusted income before taxes is used solely for the purpose of calculating the adjusted income tax rate.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Adjusted income taxes/tax rate is defined as the provision for income taxes adjusted for taxes on certain items of amortization, transaction and integration expenses, gains and losses on disposals of operations, net periodic pension and postretirement benefits,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Reconciliations of income from operations before income taxes and interest in earnings of associates to adjusted income before taxes and provision for income taxes to adjusted income taxes for the three and six months ended June 30, 2026 and 2025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5"/>
        <w:gridCol w:w="146"/>
        <w:gridCol w:w="265"/>
        <w:gridCol w:w="588"/>
        <w:gridCol w:w="341"/>
        <w:gridCol w:w="183"/>
        <w:gridCol w:w="265"/>
        <w:gridCol w:w="588"/>
        <w:gridCol w:w="327"/>
        <w:gridCol w:w="146"/>
        <w:gridCol w:w="244"/>
        <w:gridCol w:w="539"/>
        <w:gridCol w:w="313"/>
        <w:gridCol w:w="168"/>
        <w:gridCol w:w="244"/>
        <w:gridCol w:w="539"/>
        <w:gridCol w:w="524"/>
      </w:tblGrid>
      <w:tr>
        <w:trPr/>
        <w:tc>
          <w:tcPr>
            <w:tcW w:w="4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millions)</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 BEFORE INCOME TAXES</w:t>
              <w:br/>
              <w:t>   AND INTEREST IN EARNINGS OF ASSOCIATES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 certain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periodic pension and postretirement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disposal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Tax effect on certain items listed above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of significant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GAAP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tax effect was calculated using an effective tax rate for each item.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U.S. GAAP tax rates were 19.8% and (6.8)% for the three months ended June 30, 2026 and 2025, respectively, and 19.1% and 7.1% for the six months ended June 30 2026 and 2025, respectively. The prior-year effective tax rates were lower primarily due to favorable discrete items including an adjustment to the tax provision associated with the earnout received from the sale of our Willis Re business, and changes in measurement for existing uncertain tax positions.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Our adjusted income tax rates were 19.6% and 18.0% for the three months ended June 30, 2026 and 2025, respectively, and 19.7% and 20.5% for the six months ended June 30, 2026 and 2025, respectively. The prior-year quarter effective tax rate was lower due to favorable discrete items including changes in measurement for existing uncertain tax positions and the release of a valuation allowance. The prior full-year effective tax rate was higher primarily due to the geographic mix of income, net of tax benefits.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Free cash flow is defined as cash flows from/(used in) operating activities less cash used to purchase fixed assets and software. Management believes that free cash flow presents the core operating performance and cash generating capabilities of our business operations.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Reconciliations of cash flows used in operating activities to free cash flow for the six months ended June 30, 2026 and 2025 are as follows: </w:t>
      </w:r>
    </w:p>
    <w:p>
      <w:pPr>
        <w:pStyle w:val="TextBody"/>
        <w:bidi w:val="0"/>
        <w:jc w:val="left"/>
        <w:rPr/>
      </w:pPr>
      <w:r>
        <w:rPr/>
        <w:t> </w:t>
      </w:r>
    </w:p>
    <w:tbl>
      <w:tblPr>
        <w:tblW w:w="6071" w:type="dxa"/>
        <w:jc w:val="left"/>
        <w:tblInd w:w="0" w:type="dxa"/>
        <w:tblLayout w:type="fixed"/>
        <w:tblCellMar>
          <w:top w:w="28" w:type="dxa"/>
          <w:left w:w="28" w:type="dxa"/>
          <w:bottom w:w="28" w:type="dxa"/>
          <w:right w:w="28" w:type="dxa"/>
        </w:tblCellMar>
      </w:tblPr>
      <w:tblGrid>
        <w:gridCol w:w="3646"/>
        <w:gridCol w:w="146"/>
        <w:gridCol w:w="257"/>
        <w:gridCol w:w="587"/>
        <w:gridCol w:w="202"/>
        <w:gridCol w:w="178"/>
        <w:gridCol w:w="257"/>
        <w:gridCol w:w="587"/>
        <w:gridCol w:w="21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Additions to fixed assets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increase was primarily driven by operating margin expansion.</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There were no material changes from the Critical Accounting Estimates disclosed in our Annual Report on Form 10-K for the year ended December 31, 2025, filed with the SEC on February 25,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9" w:name="wltw_20180630_10q_htm_s53da4f2070345152b"/>
      <w:bookmarkStart w:id="40" w:name="fis_market_risk"/>
      <w:bookmarkEnd w:id="39"/>
      <w:bookmarkEnd w:id="40"/>
      <w:r>
        <w:rPr>
          <w:rFonts w:ascii="Times New Roman" w:hAnsi="Times New Roman"/>
          <w:b/>
          <w:color w:val="000000"/>
          <w:sz w:val="20"/>
        </w:rPr>
        <w:t>ITEM 3. QUANTITATIVE AND QUALITATI</w:t>
      </w:r>
      <w:bookmarkStart w:id="41" w:name="item_3_quantitative_qualitative_disclosu"/>
      <w:bookmarkEnd w:id="41"/>
      <w:r>
        <w:rPr>
          <w:rFonts w:ascii="Times New Roman" w:hAnsi="Times New Roman"/>
          <w:b/>
          <w:color w:val="000000"/>
          <w:sz w:val="20"/>
        </w:rPr>
        <w:t>VE DISCLOSURES ABOUT MARKET RISK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We have considered changes in our exposure to market risks during the six months ended June 30, 2026 and have determined that there have been no material changes to our exposure to market risks from those described in the Company’s Annual Report on Form 10-K for the year ended December 31, 2025, filed with the SEC on February 25, 2026. However, we have provided the following information to supplement or update our disclosures on our Form 10-K.</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a global investment policy which is designed to ensure that we maintain diversification of our cash investments throughout the world in order to minimize the risk of loss due to a counterparty failure.</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Interest Income on Fiduciary Funds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Short-term rates in most major currencies continued to decrease in 2025 from end-of-2024 levels, with many central banks reducing rates throughout the period. Our interest income in 2025 reflected a combination of lower average interest rates over the course of 2025 offset with some increases in our invested cash balances. Through the second quarter of 2026, short-term rates have remained in line with expectations. Significant economic uncertainty prevails at this time, and the timing and magnitude of future central bank rate changes are uncertain. As to be expected, interest income in the future will be a function of the short-term rates we are able to obtain by currency and the cash balances available to invest. Interest income was $33 million and $73 million for the three and six months ended June 30, 2026, respectively, and $40 million and $79 million for the three and six months ended June 30, 2025, respectively. At June 30, 2026, we held $2.9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pStyle w:val="TextBody"/>
        <w:bidi w:val="0"/>
        <w:spacing w:before="180" w:after="283"/>
        <w:jc w:val="left"/>
        <w:rPr>
          <w:rFonts w:ascii="Times New Roman" w:hAnsi="Times New Roman"/>
          <w:sz w:val="20"/>
        </w:rPr>
      </w:pPr>
      <w:bookmarkStart w:id="42" w:name="item_4_controls_procedures"/>
      <w:bookmarkEnd w:id="4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As of June 30, 2026,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identified in connection with the evaluation required by Rules 13a-15(d) or 15d-15(d) under the Exchange Act during the quarter ended June 30, 2026 that materially affected, or are reasonably likely to materially affect, our internal control over financial reporting.</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Limitations on the Effectiveness of Controls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reasonable assurance of achieving their stated objectives, and the CEO and CFO have concluded that the disclosure controls and procedures are effective at a reasonable assurance level.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43" w:name="wltw_20180630_10q_htm_sb72dfa60265e5e508"/>
      <w:bookmarkStart w:id="44" w:name="fis_part_ii"/>
      <w:bookmarkEnd w:id="43"/>
      <w:bookmarkEnd w:id="44"/>
      <w:r>
        <w:rPr>
          <w:rFonts w:ascii="Times New Roman" w:hAnsi="Times New Roman"/>
          <w:b/>
          <w:color w:val="000000"/>
          <w:sz w:val="20"/>
        </w:rPr>
        <w:t>PART II. OTHER</w:t>
      </w:r>
      <w:bookmarkStart w:id="45" w:name="part_ii_or_information"/>
      <w:bookmarkEnd w:id="45"/>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80" w:after="283"/>
        <w:jc w:val="left"/>
        <w:rPr>
          <w:rFonts w:ascii="Times New Roman" w:hAnsi="Times New Roman"/>
          <w:sz w:val="20"/>
        </w:rPr>
      </w:pPr>
      <w:bookmarkStart w:id="46" w:name="item_1_legal_proceedings"/>
      <w:bookmarkEnd w:id="4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From time to time, we are a party to various lawsuits, arbitrations or mediations that arise in the ordinary course of business. The disclosure called for by Part II, Item 1 regarding our legal proceedings is incorporated by reference herein from Part I, Item 1 Note 13 — Commitments and Contingencies - Legal Proceedings of the notes to the condensed consolidated financial statements in this Form 10-Q for the quarter ended June 30, 2026.</w:t>
      </w:r>
    </w:p>
    <w:p>
      <w:pPr>
        <w:pStyle w:val="TextBody"/>
        <w:bidi w:val="0"/>
        <w:spacing w:before="180" w:after="283"/>
        <w:jc w:val="left"/>
        <w:rPr>
          <w:rFonts w:ascii="Times New Roman" w:hAnsi="Times New Roman"/>
          <w:sz w:val="20"/>
        </w:rPr>
      </w:pPr>
      <w:bookmarkStart w:id="47" w:name="item_1a_risk_factors"/>
      <w:bookmarkEnd w:id="47"/>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Times New Roman" w:hAnsi="Times New Roman"/>
          <w:color w:val="000000"/>
          <w:sz w:val="20"/>
        </w:rPr>
        <w:t>E</w:t>
      </w:r>
      <w:r>
        <w:rPr>
          <w:rFonts w:ascii="Times New Roman" w:hAnsi="Times New Roman"/>
          <w:color w:val="000000"/>
          <w:sz w:val="22"/>
        </w:rPr>
        <w:t>xcept for the risk factor discussed below, t</w:t>
      </w:r>
      <w:r>
        <w:rPr>
          <w:rFonts w:ascii="Times New Roman" w:hAnsi="Times New Roman"/>
          <w:color w:val="000000"/>
          <w:sz w:val="20"/>
        </w:rPr>
        <w:t xml:space="preserve">here are no material changes from risk factors as previously disclosed in our Annual Report on Form 10-K, filed with the SEC on February 25, 2026. We urge you to read the risk factors contained therein.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Our artificial intelligence (‘AI’) acceleration plan (the ‘Plan’), or other activities we may from time to time undertake that impact our workforce, technology or processes could have adverse effects on the Company and may not achieve the intended benefits.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Plan, described in more detail in this Quarterly Report on Form 10-Q under Note 20 – Subsequent Event within Part I, Item 1 ‘Financial Statements,’ and Part II, Item 5 ‘Other Information,’ may not be successful. Programs such as the Plan, or similar transformation activities we may undertake in the future impacting our workforce, technology or processes, create significant risks, including exacerbating risks to the Company as we discussed in our Risk Factors within Part I, Item 1A of our Annual Report on Form 10-K for the fiscal year ended December 31,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Among other things, the implementation of the Plan, as well as our regular ongoing transformation or cost reduction activities (including in connection with the integration of acquired businesses), may reduce or restructure some roles, adversely impact other resources, significantly change processes and/or distract our available human capital assets, which could slow the anticipated platform enhancements, technology optimization and improvements in our products and services, adversely affect our ability to effectively respond to clients, harm our ability to generate revenue growth and/or limit our ability to address client demands effectively, efficiently and on the desired timelines. Implementation of AI initiatives may not achieve planned benefits, further our strategic goals or strengthen our competitive position, and they can create significant operational risks, such as potential correlated errors and omission liability from AI not operating as intended, regulatory, privacy or other compliance exposures, intellectual property challenges, cyber-security exposures, operational resilience challenges from reliance on AI tools or vendors, and potential reputational damage. There can be no assurance that our intended governance processes will sufficiently mitigate risks, especially given the complexity and scale of the Plan and the limited time to implement. We also may not successfully manage human capital challenges and implement cultural changes needed to achieve the Plan goals, and retention or engagement of key employees could suffer as the Plan is implemented. In addition, delays in implementing planned actions or other productivity improvements, unexpected costs or other problems with planned initiatives, or failure to meet targeted improvements may diminish the operational or financial benefits we realize from such actions. Moreover, we can provide no assurance that we will realize the expected savings in the amounts or on the timeline currently anticipated. Any of the circumstances described above could adversely impact our business and results.</w:t>
      </w:r>
    </w:p>
    <w:p>
      <w:pPr>
        <w:pStyle w:val="TextBody"/>
        <w:bidi w:val="0"/>
        <w:spacing w:before="180" w:after="283"/>
        <w:jc w:val="left"/>
        <w:rPr>
          <w:rFonts w:ascii="Times New Roman" w:hAnsi="Times New Roman"/>
          <w:b/>
          <w:color w:val="000000"/>
          <w:sz w:val="20"/>
        </w:rPr>
      </w:pPr>
      <w:bookmarkStart w:id="48" w:name="item_2_unregistered_sales_equity_securit"/>
      <w:bookmarkEnd w:id="48"/>
      <w:r>
        <w:rPr>
          <w:rFonts w:ascii="Times New Roman" w:hAnsi="Times New Roman"/>
          <w:b/>
          <w:color w:val="000000"/>
          <w:sz w:val="20"/>
        </w:rPr>
        <w:t>ITEM 2. UNREGISTERED SALES OF EQUITY SECURITIES AND USE OF PROCEEDS</w:t>
      </w:r>
    </w:p>
    <w:p>
      <w:pPr>
        <w:pStyle w:val="TextBody"/>
        <w:bidi w:val="0"/>
        <w:spacing w:before="180" w:after="283"/>
        <w:jc w:val="left"/>
        <w:rPr>
          <w:rFonts w:ascii="Times New Roman" w:hAnsi="Times New Roman"/>
          <w:sz w:val="20"/>
        </w:rPr>
      </w:pPr>
      <w:r>
        <w:rPr>
          <w:rFonts w:ascii="Times New Roman" w:hAnsi="Times New Roman"/>
          <w:b/>
          <w:color w:val="000000"/>
          <w:sz w:val="20"/>
        </w:rPr>
        <w:t>Unregistered Sales of Equity Securities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May 20, 2026, in connection with the acquisition of Newfront, the Company issued an aggregate of 2,804.205 restricted stock units (‘RSUs’) to trusts established by certain key employees of Newfront, subject to further vesting and transfer restrictions. The securities were issued without registration in reliance on Section 4(a)(2) of the Securities Act as a sale by the Company not involving a public offering.</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is authorized to repurchase shares, by way of redemption or otherwise, and will consider whether to do so from time to time, based on many factors, including market conditions. There are no expiration dates for these repurchase plans or programs.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28, 2026, the board of directors approved a $1.5 billion increase to the existing share repurchase program and on September 16, 2025, approved a $1.5 billion increase to the existing share repurchase program. These increases brought the total approved authorization, since the announcement of the program on April 20, 2016, to $13.2 billion.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following table presents specified information about the Company’s repurchases of its shares in the second quarter of 2026 and the Company’s remaining repurchase authority.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34"/>
        <w:gridCol w:w="146"/>
        <w:gridCol w:w="204"/>
        <w:gridCol w:w="1306"/>
        <w:gridCol w:w="146"/>
        <w:gridCol w:w="146"/>
        <w:gridCol w:w="228"/>
        <w:gridCol w:w="733"/>
        <w:gridCol w:w="146"/>
        <w:gridCol w:w="146"/>
        <w:gridCol w:w="350"/>
        <w:gridCol w:w="2233"/>
        <w:gridCol w:w="146"/>
        <w:gridCol w:w="146"/>
        <w:gridCol w:w="352"/>
        <w:gridCol w:w="2249"/>
        <w:gridCol w:w="194"/>
      </w:tblGrid>
      <w:tr>
        <w:trPr/>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Average price</w:t>
              <w:br/>
              <w:t>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Maximum number of shares that may yet be purchased under the plans or programs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3,620,858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2,498,044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June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2,072,893</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At June 30, 2026 the maximum number of shares that may yet be purchased under the existing share repurchase plan is 2,072,893, with approximately $542 million remaining on the current open-ended repurchase authority granted by the board. An estimate of the maximum number of shares under the existing authorities was determined using the closing price of our ordinary shares on June 30, 2026 of $261.37. </w:t>
      </w:r>
    </w:p>
    <w:p>
      <w:pPr>
        <w:pStyle w:val="TextBody"/>
        <w:bidi w:val="0"/>
        <w:spacing w:before="180" w:after="283"/>
        <w:jc w:val="left"/>
        <w:rPr>
          <w:rFonts w:ascii="Times New Roman" w:hAnsi="Times New Roman"/>
          <w:b/>
          <w:color w:val="000000"/>
          <w:sz w:val="20"/>
        </w:rPr>
      </w:pPr>
      <w:bookmarkStart w:id="49" w:name="item_3_defaults_upon_senior_securities"/>
      <w:bookmarkEnd w:id="49"/>
      <w:r>
        <w:rPr>
          <w:rFonts w:ascii="Times New Roman" w:hAnsi="Times New Roman"/>
          <w:b/>
          <w:color w:val="000000"/>
          <w:sz w:val="20"/>
        </w:rPr>
        <w:t>ITEM 3. DEFAULTS UPON SENIOR SECURITIES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80" w:after="283"/>
        <w:jc w:val="left"/>
        <w:rPr>
          <w:rFonts w:ascii="Times New Roman" w:hAnsi="Times New Roman"/>
          <w:b/>
          <w:color w:val="000000"/>
          <w:sz w:val="20"/>
        </w:rPr>
      </w:pPr>
      <w:bookmarkStart w:id="50" w:name="item_4_mine_safety_disclosures"/>
      <w:bookmarkEnd w:id="50"/>
      <w:r>
        <w:rPr>
          <w:rFonts w:ascii="Times New Roman" w:hAnsi="Times New Roman"/>
          <w:b/>
          <w:color w:val="000000"/>
          <w:sz w:val="20"/>
        </w:rPr>
        <w:t>ITEM 4. MINE SAFETY DISCLOSURES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80" w:after="283"/>
        <w:jc w:val="left"/>
        <w:rPr>
          <w:rFonts w:ascii="Times New Roman" w:hAnsi="Times New Roman"/>
          <w:sz w:val="20"/>
        </w:rPr>
      </w:pPr>
      <w:bookmarkStart w:id="51" w:name="item_5_or_information"/>
      <w:bookmarkEnd w:id="51"/>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80" w:after="283"/>
        <w:jc w:val="left"/>
        <w:rPr>
          <w:rFonts w:ascii="Times New Roman" w:hAnsi="Times New Roman"/>
          <w:sz w:val="20"/>
        </w:rPr>
      </w:pPr>
      <w:r>
        <w:rPr>
          <w:rFonts w:ascii="Times New Roman" w:hAnsi="Times New Roman"/>
          <w:b/>
          <w:color w:val="000000"/>
          <w:sz w:val="20"/>
        </w:rPr>
        <w:t xml:space="preserve">AI </w:t>
      </w:r>
      <w:r>
        <w:rPr>
          <w:rFonts w:ascii="Times New Roman" w:hAnsi="Times New Roman"/>
          <w:b/>
          <w:color w:val="000000"/>
          <w:sz w:val="22"/>
        </w:rPr>
        <w:t>Acceleration Plan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28, 2026, the Board of Directors of WTW (the ‘Company’) approved and authorized management to execute Propel, an artificial intelligence (‘AI’) acceleration plan (the ‘Plan’). The Plan is a two-year program to embed AI and automation across the enterprise. Supported by the Company's ongoing investments in AI, data and technology, including the acquisition of Newfront, the Plan is expected to enhance client service and create additional opportunities for growth as well as streamline core operating processes. The Company expects to generate approximately $400 million in gross run-rate savings. After reinvesting approximately $50 million to support growth, the Company expects to deliver $350 million in net run-rate savings by the end of 2028. Approximately $625 million of cash costs are expected to be incurred as well as approximately $25 million in non-cash charges through the end of 2028 in connection with the Plan, consisting principally of process automation and organizational transition costs, including process and organizational design costs, severance and separation-related costs and temporary retention costs, as well as costs associated with implementing AI systems and related technologies, including technology implementation, integration and certain contractor and vendor contract termination costs. An immaterial portion of these costs is expected to be capitalized.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estimates set forth above are subject to a number of assumptions and actual amounts may differ materially from these estimates. The Company may also incur other charges or cash expenditures not currently contemplated due to unanticipated events that may occur as a result of, or in connection with, the implementation of the Plan.</w:t>
      </w:r>
    </w:p>
    <w:p>
      <w:pPr>
        <w:pStyle w:val="TextBody"/>
        <w:bidi w:val="0"/>
        <w:spacing w:before="180" w:after="283"/>
        <w:jc w:val="left"/>
        <w:rPr>
          <w:rFonts w:ascii="Times New Roman" w:hAnsi="Times New Roman"/>
          <w:sz w:val="20"/>
        </w:rPr>
      </w:pPr>
      <w:r>
        <w:rPr>
          <w:rFonts w:ascii="Times New Roman" w:hAnsi="Times New Roman"/>
          <w:color w:val="000000"/>
          <w:sz w:val="20"/>
        </w:rPr>
        <w:t>Also see Note 20 – Subsequent Event within Part I, Item 1 ‘Financial Statements,’ and Part II, Item 1A, Risk Factors – ‘</w:t>
      </w:r>
      <w:r>
        <w:rPr>
          <w:rFonts w:ascii="Times New Roman" w:hAnsi="Times New Roman"/>
          <w:i/>
          <w:color w:val="000000"/>
          <w:sz w:val="20"/>
        </w:rPr>
        <w:t>Our artificial intelligence (‘AI’) acceleration plan (the ‘Plan’), or other activities we may from time to time undertake that impact our workforce, technology or processes could have adverse effects on the Company and may not achieve the intended benefits,’</w:t>
      </w:r>
      <w:r>
        <w:rPr>
          <w:rFonts w:ascii="Times New Roman" w:hAnsi="Times New Roman"/>
          <w:color w:val="000000"/>
          <w:sz w:val="20"/>
        </w:rPr>
        <w:t xml:space="preserve"> within this Quarterly Report on Form 10-Q.</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Retirement of Principal Accounting Officer and Controller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On July 28, 2026, Joseph S. Kurpis notified the Company of his intent to retire from his role as the Company's Principal Accounting Officer and Controller in the first half of 2027, after the filing of the Company’s Annual Report on Form 10-K, with the exact date to be determined at a later date. In connection with Mr. Kurpis’ retirement, the Company is conducting a search for his successor. Mr. Kurpis is expected to stay with the Company in his current position until his successor is appointed to assist with an orderly handover of responsibilities.</w:t>
      </w:r>
    </w:p>
    <w:p>
      <w:pPr>
        <w:pStyle w:val="TextBody"/>
        <w:bidi w:val="0"/>
        <w:spacing w:before="180" w:after="283"/>
        <w:jc w:val="left"/>
        <w:rPr>
          <w:rFonts w:ascii="Times New Roman" w:hAnsi="Times New Roman"/>
          <w:sz w:val="20"/>
        </w:rPr>
      </w:pPr>
      <w:r>
        <w:rPr>
          <w:rFonts w:ascii="Times New Roman" w:hAnsi="Times New Roman"/>
          <w:b/>
          <w:color w:val="000000"/>
          <w:sz w:val="20"/>
        </w:rPr>
        <w:t>Rule 10b5-1 Trading Arrangements</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quarter ended June 30, 2026,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52" w:name="fis_exhibits_reports"/>
      <w:bookmarkStart w:id="53" w:name="wltw_20180630_10q_htm_s7e2441f0858e50b68"/>
      <w:bookmarkEnd w:id="52"/>
      <w:bookmarkEnd w:id="53"/>
      <w:r>
        <w:rPr>
          <w:rFonts w:ascii="Times New Roman" w:hAnsi="Times New Roman"/>
          <w:b/>
          <w:color w:val="000000"/>
          <w:sz w:val="20"/>
        </w:rPr>
        <w:t xml:space="preserve">ITEM 6. </w:t>
      </w:r>
      <w:bookmarkStart w:id="54" w:name="item_6_exhibits"/>
      <w:bookmarkEnd w:id="54"/>
      <w:r>
        <w:rPr>
          <w:rFonts w:ascii="Times New Roman" w:hAnsi="Times New Roman"/>
          <w:b/>
          <w:color w:val="000000"/>
          <w:sz w:val="20"/>
        </w:rPr>
        <w:t>EXHIBITS</w:t>
      </w:r>
    </w:p>
    <w:p>
      <w:pPr>
        <w:pStyle w:val="TextBody"/>
        <w:bidi w:val="0"/>
        <w:spacing w:before="18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5707"/>
        <w:gridCol w:w="146"/>
        <w:gridCol w:w="746"/>
        <w:gridCol w:w="146"/>
        <w:gridCol w:w="631"/>
        <w:gridCol w:w="146"/>
        <w:gridCol w:w="700"/>
        <w:gridCol w:w="146"/>
        <w:gridCol w:w="949"/>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Schedule/</w:t>
            </w:r>
          </w:p>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pBdr>
                <w:bottom w:val="single" w:sz="8" w:space="1" w:color="000000"/>
              </w:pBdr>
              <w:bidi w:val="0"/>
              <w:spacing w:before="0" w:after="283"/>
              <w:jc w:val="center"/>
              <w:rPr>
                <w:color w:val="000000"/>
              </w:rPr>
            </w:pPr>
            <w:r>
              <w:rPr>
                <w:color w:val="000000"/>
              </w:rPr>
              <w:t>  </w:t>
            </w:r>
            <w:r>
              <w:rPr>
                <w:rFonts w:ascii="Times New Roman" w:hAnsi="Times New Roman"/>
                <w:b/>
                <w:color w:val="000000"/>
                <w:sz w:val="16"/>
              </w:rPr>
              <w:t>Herewith</w:t>
            </w:r>
          </w:p>
        </w:tc>
      </w:tr>
      <w:tr>
        <w:trPr/>
        <w:tc>
          <w:tcPr>
            <w:tcW w:w="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wtw-ex10_1.htm">
              <w:r>
                <w:rPr>
                  <w:rStyle w:val="InternetLink"/>
                  <w:rFonts w:ascii="Times New Roman" w:hAnsi="Times New Roman"/>
                  <w:color w:val="0000FF"/>
                  <w:sz w:val="20"/>
                  <w:u w:val="single"/>
                </w:rPr>
                <w:t>Willis Towers Watson Public Limited Company 2012 Equity Incentive Plan (as amended and restated March 31, 2026).</w:t>
              </w:r>
            </w:hyperlink>
            <w:r>
              <w:rPr>
                <w:rFonts w:ascii="Times New Roman" w:hAnsi="Times New Roman"/>
                <w:color w:val="000000"/>
                <w:sz w:val="20"/>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hyperlink w:anchor="wtw-ex10_2.htm">
              <w:r>
                <w:rPr>
                  <w:rStyle w:val="InternetLink"/>
                  <w:rFonts w:ascii="Times New Roman" w:hAnsi="Times New Roman"/>
                  <w:color w:val="0000FF"/>
                  <w:sz w:val="20"/>
                  <w:u w:val="single"/>
                </w:rPr>
                <w:t>Form of 2026 Time-Based Restricted Share Unit Award Agreement for Executive Officers under the Willis Towers Watson 2012 Equity Incentive Plan, as Amended and Restated.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wtw-ex10_3.htm">
              <w:r>
                <w:rPr>
                  <w:rStyle w:val="InternetLink"/>
                  <w:rFonts w:ascii="Times New Roman" w:hAnsi="Times New Roman"/>
                  <w:color w:val="0000FF"/>
                  <w:sz w:val="20"/>
                  <w:u w:val="single"/>
                </w:rPr>
                <w:t>Form of 2026 Performance-Based Restricted Share Unit Award Agreement for Executive Officers under the Willis Towers Watson 2012 Equity Incentive Plan, as Amended and Restated.</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hyperlink w:anchor="wtw-ex10_4.htm">
              <w:r>
                <w:rPr>
                  <w:rStyle w:val="InternetLink"/>
                  <w:rFonts w:ascii="Times New Roman" w:hAnsi="Times New Roman"/>
                  <w:color w:val="0000FF"/>
                  <w:sz w:val="20"/>
                  <w:u w:val="single"/>
                </w:rPr>
                <w:t>Willis Towers Watson Public Limited Company Compensation Policy and Share Ownership Guidelines for Non-Employee Directors (dated as of May 20, 2026).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shd w:fill="CFF0FC"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WTW Amended and Restated Employee Share Purchase Plan (as last amended and restated May 20, 2026).</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May 26,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tcMar>
              <w:top w:w="0" w:type="dxa"/>
              <w:left w:w="0" w:type="dxa"/>
              <w:bottom w:w="0" w:type="dxa"/>
              <w:right w:w="0" w:type="dxa"/>
            </w:tcMar>
            <w:vAlign w:val="center"/>
          </w:tcPr>
          <w:p>
            <w:pPr>
              <w:pStyle w:val="TableContents"/>
              <w:bidi w:val="0"/>
              <w:spacing w:before="0" w:after="283"/>
              <w:jc w:val="left"/>
              <w:rPr/>
            </w:pPr>
            <w:hyperlink w:anchor="wtw-ex22_1.htm">
              <w:r>
                <w:rPr>
                  <w:rStyle w:val="InternetLink"/>
                  <w:rFonts w:ascii="Times New Roman" w:hAnsi="Times New Roman"/>
                  <w:color w:val="0000FF"/>
                  <w:sz w:val="20"/>
                  <w:u w:val="single"/>
                </w:rPr>
                <w:t>List of Issuers and Guarantor Subsidiaries.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shd w:fill="C3F3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shd w:fill="C3F3FF" w:val="clear"/>
            <w:tcMar>
              <w:top w:w="0" w:type="dxa"/>
              <w:left w:w="0" w:type="dxa"/>
              <w:bottom w:w="0" w:type="dxa"/>
              <w:right w:w="0" w:type="dxa"/>
            </w:tcMar>
            <w:vAlign w:val="center"/>
          </w:tcPr>
          <w:p>
            <w:pPr>
              <w:pStyle w:val="TableContents"/>
              <w:bidi w:val="0"/>
              <w:spacing w:before="0" w:after="283"/>
              <w:jc w:val="left"/>
              <w:rPr/>
            </w:pPr>
            <w:hyperlink w:anchor="wtw-ex31_1.htm">
              <w:r>
                <w:rPr>
                  <w:rStyle w:val="InternetLink"/>
                  <w:rFonts w:ascii="Times New Roman" w:hAnsi="Times New Roman"/>
                  <w:color w:val="0000FF"/>
                  <w:sz w:val="20"/>
                  <w:u w:val="single"/>
                </w:rPr>
                <w:t>Certification of the Registrant’s Chief Executive Officer, Carl A. Hess, pursuant to Rule 13a-14 of the Securities Exchange Act of 1934.</w:t>
              </w:r>
            </w:hyperlink>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3F3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tcMar>
              <w:top w:w="0" w:type="dxa"/>
              <w:left w:w="0" w:type="dxa"/>
              <w:bottom w:w="0" w:type="dxa"/>
              <w:right w:w="0" w:type="dxa"/>
            </w:tcMar>
            <w:vAlign w:val="center"/>
          </w:tcPr>
          <w:p>
            <w:pPr>
              <w:pStyle w:val="TableContents"/>
              <w:bidi w:val="0"/>
              <w:spacing w:before="0" w:after="283"/>
              <w:jc w:val="left"/>
              <w:rPr/>
            </w:pPr>
            <w:hyperlink w:anchor="wtw-ex31_2.htm">
              <w:r>
                <w:rPr>
                  <w:rStyle w:val="InternetLink"/>
                  <w:rFonts w:ascii="Times New Roman" w:hAnsi="Times New Roman"/>
                  <w:color w:val="0000FF"/>
                  <w:sz w:val="20"/>
                  <w:u w:val="single"/>
                </w:rPr>
                <w:t>Certification of the Registrant’s Chief Financial Officer, Andrew J. Krasner, pursuant to Rule 13a-14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shd w:fill="C3F3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5707" w:type="dxa"/>
            <w:tcBorders/>
            <w:shd w:fill="C3F3FF" w:val="clear"/>
            <w:tcMar>
              <w:top w:w="0" w:type="dxa"/>
              <w:left w:w="0" w:type="dxa"/>
              <w:bottom w:w="0" w:type="dxa"/>
              <w:right w:w="0" w:type="dxa"/>
            </w:tcMar>
            <w:vAlign w:val="center"/>
          </w:tcPr>
          <w:p>
            <w:pPr>
              <w:pStyle w:val="TableContents"/>
              <w:bidi w:val="0"/>
              <w:spacing w:before="0" w:after="283"/>
              <w:jc w:val="left"/>
              <w:rPr/>
            </w:pPr>
            <w:hyperlink w:anchor="wtw-ex32_1.htm">
              <w:r>
                <w:rPr>
                  <w:rStyle w:val="InternetLink"/>
                  <w:rFonts w:ascii="Times New Roman" w:hAnsi="Times New Roman"/>
                  <w:color w:val="0000FF"/>
                  <w:sz w:val="20"/>
                  <w:u w:val="single"/>
                </w:rPr>
                <w:t>Certification of the Registrant’s Chief Executive Officer, Carl A. Hess, and Chief Financial Officer, Andrew J. Krasner, pursuant to 18 U.S.C. Section 1350, as adopted pursuant to Section 906 of the Sarbanes-Oxley Act of 2002.</w:t>
              </w:r>
            </w:hyperlink>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3F3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3F3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b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5" w:name="signatures"/>
      <w:bookmarkEnd w:id="55"/>
      <w:r>
        <w:rPr>
          <w:rFonts w:ascii="Times New Roman" w:hAnsi="Times New Roman"/>
          <w:b/>
          <w:color w:val="000000"/>
          <w:sz w:val="20"/>
        </w:rPr>
        <w:t>SIGNATURES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905" w:type="dxa"/>
        <w:jc w:val="left"/>
        <w:tblInd w:w="0" w:type="dxa"/>
        <w:tblLayout w:type="fixed"/>
        <w:tblCellMar>
          <w:top w:w="28" w:type="dxa"/>
          <w:left w:w="28" w:type="dxa"/>
          <w:bottom w:w="28" w:type="dxa"/>
          <w:right w:w="28" w:type="dxa"/>
        </w:tblCellMar>
      </w:tblPr>
      <w:tblGrid>
        <w:gridCol w:w="676"/>
        <w:gridCol w:w="116"/>
        <w:gridCol w:w="3706"/>
        <w:gridCol w:w="116"/>
        <w:gridCol w:w="1291"/>
      </w:tblGrid>
      <w:tr>
        <w:trPr/>
        <w:tc>
          <w:tcPr>
            <w:tcW w:w="6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Willis Towers Watson Public Limited Company</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(Registrant)</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Carl A. Hess</w:t>
            </w:r>
          </w:p>
        </w:tc>
        <w:tc>
          <w:tcPr>
            <w:tcW w:w="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u w:val="single"/>
              </w:rPr>
            </w:pPr>
            <w:r>
              <w:rPr>
                <w:rFonts w:ascii="Times New Roman" w:hAnsi="Times New Roman"/>
                <w:color w:val="000000"/>
                <w:sz w:val="20"/>
                <w:u w:val="single"/>
              </w:rPr>
              <w:t>July 30, 2026</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Name: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Carl A. Hess</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Title: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Andrew J. Krasner</w:t>
            </w:r>
          </w:p>
        </w:tc>
        <w:tc>
          <w:tcPr>
            <w:tcW w:w="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u w:val="single"/>
              </w:rPr>
            </w:pPr>
            <w:r>
              <w:rPr>
                <w:rFonts w:ascii="Times New Roman" w:hAnsi="Times New Roman"/>
                <w:color w:val="000000"/>
                <w:sz w:val="20"/>
                <w:u w:val="single"/>
              </w:rPr>
              <w:t>July 30, 2026</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Name: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Andrew J. Krasner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Title: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4498" w:type="dxa"/>
            <w:gridSpan w:val="3"/>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Joseph S. Kurpis</w:t>
            </w:r>
          </w:p>
        </w:tc>
        <w:tc>
          <w:tcPr>
            <w:tcW w:w="11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u w:val="single"/>
              </w:rPr>
            </w:pPr>
            <w:r>
              <w:rPr>
                <w:rFonts w:ascii="Times New Roman" w:hAnsi="Times New Roman"/>
                <w:color w:val="000000"/>
                <w:sz w:val="20"/>
                <w:u w:val="single"/>
              </w:rPr>
              <w:t>July 30, 2026</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Name: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Joseph S. Kurpis</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w:t>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Title: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70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Principal Accounting Officer and Controller</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6" w:name="wtw-ex10_1.htm"/>
      <w:bookmarkStart w:id="57" w:name="kswtwex10_1"/>
      <w:bookmarkEnd w:id="56"/>
      <w:bookmarkEnd w:id="57"/>
      <w:r>
        <w:rPr>
          <w:rFonts w:ascii="Times New Roman" w:hAnsi="Times New Roman"/>
          <w:b/>
          <w:color w:val="000000"/>
          <w:sz w:val="22"/>
        </w:rPr>
        <w:t>Exhibit 10.1</w:t>
      </w:r>
      <w:r>
        <w:br w:type="page"/>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THE WILLIS TOWERS WATSON PUBLIC LIMITED COMPANY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2012 EQUITY INCENTIVE PLAN</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(AS AMENDED AND RESTATED March 31, 2026)</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PURPOSE OF PLAN</w:t>
      </w:r>
    </w:p>
    <w:p>
      <w:pPr>
        <w:pStyle w:val="TextBody"/>
        <w:bidi w:val="0"/>
        <w:spacing w:before="0" w:after="240"/>
        <w:jc w:val="both"/>
        <w:rPr>
          <w:rFonts w:ascii="Times New Roman" w:hAnsi="Times New Roman"/>
          <w:sz w:val="20"/>
        </w:rPr>
      </w:pPr>
      <w:r>
        <w:rPr>
          <w:rFonts w:ascii="Times New Roman" w:hAnsi="Times New Roman"/>
          <w:color w:val="000000"/>
          <w:sz w:val="22"/>
        </w:rPr>
        <w:t>The purpose of the Willis Towers Watson plc 2012 Equity Incentive Plan, as amended and restated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is: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promote the long-term financial interests and growth of the WTW Group and certain Designated Associate Companies (as defined below) by attracting and retaining personnel with the training, experience and ability to enable them to make a substantial contribution to the success of the Company’s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motivate management personnel by means of growth-related incentives to achieve long range goals;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further align the interests of participants with those of the shareholders of the Company through opportunities for increased share or share-based ownership.</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DEFINITIONS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Wherever the following terms are used in the Plan they shall have the meanings specified below, unless the context clearly indicates otherwise. The singular pronoun shall include the plural where the context so indicates.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color w:val="000000"/>
        </w:rPr>
        <w:t>“</w:t>
      </w:r>
      <w:r>
        <w:rPr>
          <w:rFonts w:ascii="Times New Roman" w:hAnsi="Times New Roman"/>
          <w:color w:val="000000"/>
          <w:sz w:val="22"/>
          <w:u w:val="single"/>
        </w:rPr>
        <w:t>2022 Approval Date</w:t>
      </w:r>
      <w:r>
        <w:rPr>
          <w:color w:val="000000"/>
        </w:rPr>
        <w:t xml:space="preserve">” </w:t>
      </w:r>
      <w:r>
        <w:rPr>
          <w:rFonts w:ascii="Times New Roman" w:hAnsi="Times New Roman"/>
          <w:color w:val="000000"/>
          <w:sz w:val="22"/>
        </w:rPr>
        <w:t>means June 8, 2022, the date that the shareholders approved the amendment and restatement of the Plan in 2022.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color w:val="000000"/>
        </w:rPr>
        <w:t>“</w:t>
      </w:r>
      <w:r>
        <w:rPr>
          <w:rFonts w:ascii="Times New Roman" w:hAnsi="Times New Roman"/>
          <w:color w:val="000000"/>
          <w:sz w:val="22"/>
          <w:u w:val="single"/>
        </w:rPr>
        <w:t>Act</w:t>
      </w:r>
      <w:r>
        <w:rPr>
          <w:color w:val="000000"/>
        </w:rPr>
        <w:t xml:space="preserve">” </w:t>
      </w:r>
      <w:r>
        <w:rPr>
          <w:rFonts w:ascii="Times New Roman" w:hAnsi="Times New Roman"/>
          <w:color w:val="000000"/>
          <w:sz w:val="22"/>
        </w:rPr>
        <w:t xml:space="preserve">means the Companies Act 2014 of Ireland.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color w:val="000000"/>
        </w:rPr>
        <w:t>“</w:t>
      </w:r>
      <w:r>
        <w:rPr>
          <w:rFonts w:ascii="Times New Roman" w:hAnsi="Times New Roman"/>
          <w:color w:val="000000"/>
          <w:sz w:val="22"/>
          <w:u w:val="single"/>
        </w:rPr>
        <w:t>Award</w:t>
      </w:r>
      <w:r>
        <w:rPr>
          <w:color w:val="000000"/>
        </w:rPr>
        <w:t xml:space="preserve">” </w:t>
      </w:r>
      <w:r>
        <w:rPr>
          <w:rFonts w:ascii="Times New Roman" w:hAnsi="Times New Roman"/>
          <w:color w:val="000000"/>
          <w:sz w:val="22"/>
        </w:rPr>
        <w:t xml:space="preserve">means an award of a Dividend Equivalent Right, an Option, a SAR, Restricted Share, Restricted Share Unit, or any other right or benefit, including any other Share-Based Award under Section 7(e) granted to a Participant pursuant to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color w:val="000000"/>
        </w:rPr>
        <w:t>“</w:t>
      </w:r>
      <w:r>
        <w:rPr>
          <w:rFonts w:ascii="Times New Roman" w:hAnsi="Times New Roman"/>
          <w:color w:val="000000"/>
          <w:sz w:val="22"/>
          <w:u w:val="single"/>
        </w:rPr>
        <w:t>Award Agreement</w:t>
      </w:r>
      <w:r>
        <w:rPr>
          <w:color w:val="000000"/>
        </w:rPr>
        <w:t xml:space="preserve">” </w:t>
      </w:r>
      <w:r>
        <w:rPr>
          <w:rFonts w:ascii="Times New Roman" w:hAnsi="Times New Roman"/>
          <w:color w:val="000000"/>
          <w:sz w:val="22"/>
        </w:rPr>
        <w:t xml:space="preserve">means an agreement between the Company and a Participant or other document, which may be in electronic form, that sets forth the terms, conditions and limitations applicable to an Award, including through electronic medium.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color w:val="000000"/>
        </w:rPr>
        <w:t>“</w:t>
      </w:r>
      <w:r>
        <w:rPr>
          <w:rFonts w:ascii="Times New Roman" w:hAnsi="Times New Roman"/>
          <w:color w:val="000000"/>
          <w:sz w:val="22"/>
          <w:u w:val="single"/>
        </w:rPr>
        <w:t>Board</w:t>
      </w:r>
      <w:r>
        <w:rPr>
          <w:color w:val="000000"/>
        </w:rPr>
        <w:t xml:space="preserve">” </w:t>
      </w:r>
      <w:r>
        <w:rPr>
          <w:rFonts w:ascii="Times New Roman" w:hAnsi="Times New Roman"/>
          <w:color w:val="000000"/>
          <w:sz w:val="22"/>
        </w:rPr>
        <w:t xml:space="preserve">means the Board of Directors of the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color w:val="000000"/>
        </w:rPr>
        <w:t>“</w:t>
      </w:r>
      <w:r>
        <w:rPr>
          <w:rFonts w:ascii="Times New Roman" w:hAnsi="Times New Roman"/>
          <w:color w:val="000000"/>
          <w:sz w:val="22"/>
          <w:u w:val="single"/>
        </w:rPr>
        <w:t>Change of Control</w:t>
      </w:r>
      <w:r>
        <w:rPr>
          <w:color w:val="000000"/>
        </w:rPr>
        <w:t xml:space="preserve">” </w:t>
      </w:r>
      <w:r>
        <w:rPr>
          <w:rFonts w:ascii="Times New Roman" w:hAnsi="Times New Roman"/>
          <w:color w:val="000000"/>
          <w:sz w:val="22"/>
        </w:rPr>
        <w:t xml:space="preserve">means (a) the acquisition of ownership, directly or indirectly, beneficially or of record, by any Person or group of Persons of the Ordinary Shares representing more than 50% of the aggregate voting power represented by the issued and outstanding Ordinary Shares; or (b) occupation of a majority of the Board (other than vacant seats) by Persons who were neither (i) nominated by the Board nor (ii) appointed by Directors so nominated; or (c) a sale or other disposition of all or substantially all of the Company’s assets in any single transaction or series of related transactions.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the avoidance of doubt, a transaction shall not constitute a Change of Control (i) if effected for the purpose of changing the place of incorporation or form of organization of the ultimate parent entity of the WTW Group (including where the Company is succeeded by an issuer incorporated under the laws of another state, country or foreign government for such purpose and whether or not the Company remains in existence following such transaction) and (ii) where all or substantially all of the Person(s) who are the beneficial owners of the outstanding voting securities of the Company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the Company.</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color w:val="000000"/>
        </w:rPr>
        <w:t>“</w:t>
      </w:r>
      <w:r>
        <w:rPr>
          <w:rFonts w:ascii="Times New Roman" w:hAnsi="Times New Roman"/>
          <w:color w:val="000000"/>
          <w:sz w:val="22"/>
          <w:u w:val="single"/>
        </w:rPr>
        <w:t>Code</w:t>
      </w:r>
      <w:r>
        <w:rPr>
          <w:color w:val="000000"/>
        </w:rPr>
        <w:t xml:space="preserve">” </w:t>
      </w:r>
      <w:r>
        <w:rPr>
          <w:rFonts w:ascii="Times New Roman" w:hAnsi="Times New Roman"/>
          <w:color w:val="000000"/>
          <w:sz w:val="22"/>
        </w:rPr>
        <w:t xml:space="preserve">means the U.S. Internal Revenue Code of 1986, as amended from time to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color w:val="000000"/>
        </w:rPr>
        <w:t>“</w:t>
      </w:r>
      <w:r>
        <w:rPr>
          <w:rFonts w:ascii="Times New Roman" w:hAnsi="Times New Roman"/>
          <w:color w:val="000000"/>
          <w:sz w:val="22"/>
          <w:u w:val="single"/>
        </w:rPr>
        <w:t>Committee</w:t>
      </w:r>
      <w:r>
        <w:rPr>
          <w:color w:val="000000"/>
        </w:rPr>
        <w:t xml:space="preserve">” </w:t>
      </w:r>
      <w:r>
        <w:rPr>
          <w:rFonts w:ascii="Times New Roman" w:hAnsi="Times New Roman"/>
          <w:color w:val="000000"/>
          <w:sz w:val="22"/>
        </w:rPr>
        <w:t xml:space="preserve">means the Human Capital and Compensation Committee of the Board or any other committee comprised of members of the Board (or, if no such committee is appointed, the Board, provided that a majority of the Board members are “independent directors” for the purpose of the rules and regulations of the Nasdaq Stock Market, or such other principal securities exchange or market on which the Ordinary Shares are then listed or traded).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color w:val="000000"/>
        </w:rPr>
        <w:t>“</w:t>
      </w:r>
      <w:r>
        <w:rPr>
          <w:rFonts w:ascii="Times New Roman" w:hAnsi="Times New Roman"/>
          <w:color w:val="000000"/>
          <w:sz w:val="22"/>
          <w:u w:val="single"/>
        </w:rPr>
        <w:t>Company</w:t>
      </w:r>
      <w:r>
        <w:rPr>
          <w:color w:val="000000"/>
        </w:rPr>
        <w:t xml:space="preserve">” </w:t>
      </w:r>
      <w:r>
        <w:rPr>
          <w:rFonts w:ascii="Times New Roman" w:hAnsi="Times New Roman"/>
          <w:color w:val="000000"/>
          <w:sz w:val="22"/>
        </w:rPr>
        <w:t>or “</w:t>
      </w:r>
      <w:r>
        <w:rPr>
          <w:rFonts w:ascii="Times New Roman" w:hAnsi="Times New Roman"/>
          <w:color w:val="000000"/>
          <w:sz w:val="22"/>
          <w:u w:val="single"/>
        </w:rPr>
        <w:t>WTW</w:t>
      </w:r>
      <w:r>
        <w:rPr>
          <w:color w:val="000000"/>
        </w:rPr>
        <w:t xml:space="preserve">” </w:t>
      </w:r>
      <w:r>
        <w:rPr>
          <w:rFonts w:ascii="Times New Roman" w:hAnsi="Times New Roman"/>
          <w:color w:val="000000"/>
          <w:sz w:val="22"/>
        </w:rPr>
        <w:t xml:space="preserve">means Willis Towers Watson Public Limited Company, a company incorporated in Ireland under registered number 475616, or any successor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color w:val="000000"/>
        </w:rPr>
        <w:t>“</w:t>
      </w:r>
      <w:r>
        <w:rPr>
          <w:rFonts w:ascii="Times New Roman" w:hAnsi="Times New Roman"/>
          <w:color w:val="000000"/>
          <w:sz w:val="22"/>
          <w:u w:val="single"/>
        </w:rPr>
        <w:t>Consultant</w:t>
      </w:r>
      <w:r>
        <w:rPr>
          <w:color w:val="000000"/>
        </w:rPr>
        <w:t xml:space="preserve">” </w:t>
      </w:r>
      <w:r>
        <w:rPr>
          <w:rFonts w:ascii="Times New Roman" w:hAnsi="Times New Roman"/>
          <w:color w:val="000000"/>
          <w:sz w:val="22"/>
        </w:rPr>
        <w:t xml:space="preserve">means any consultant or adviser if: (i) the consultant or adviser renders bona fide services to the Company or any Subsidiary or Designated Associate Company; (ii)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color w:val="000000"/>
        </w:rPr>
        <w:t>“</w:t>
      </w:r>
      <w:r>
        <w:rPr>
          <w:rFonts w:ascii="Times New Roman" w:hAnsi="Times New Roman"/>
          <w:color w:val="000000"/>
          <w:sz w:val="22"/>
          <w:u w:val="single"/>
        </w:rPr>
        <w:t>Designated Associate Company</w:t>
      </w:r>
      <w:r>
        <w:rPr>
          <w:color w:val="000000"/>
        </w:rPr>
        <w:t xml:space="preserve">” </w:t>
      </w:r>
      <w:r>
        <w:rPr>
          <w:rFonts w:ascii="Times New Roman" w:hAnsi="Times New Roman"/>
          <w:color w:val="000000"/>
          <w:sz w:val="22"/>
        </w:rPr>
        <w:t xml:space="preserve">means any company in which a member of the WTW Group owns twenty percent or more of the voting share interest but less than fifty percent of the voting share interest and that has been designated by the Committee as being eligible for participation in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color w:val="000000"/>
        </w:rPr>
        <w:t>“</w:t>
      </w:r>
      <w:r>
        <w:rPr>
          <w:rFonts w:ascii="Times New Roman" w:hAnsi="Times New Roman"/>
          <w:color w:val="000000"/>
          <w:sz w:val="22"/>
          <w:u w:val="single"/>
        </w:rPr>
        <w:t>Director</w:t>
      </w:r>
      <w:r>
        <w:rPr>
          <w:color w:val="000000"/>
        </w:rPr>
        <w:t xml:space="preserve">” </w:t>
      </w:r>
      <w:r>
        <w:rPr>
          <w:rFonts w:ascii="Times New Roman" w:hAnsi="Times New Roman"/>
          <w:color w:val="000000"/>
          <w:sz w:val="22"/>
        </w:rPr>
        <w:t xml:space="preserve">means any member of the Board.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color w:val="000000"/>
        </w:rPr>
        <w:t>“</w:t>
      </w:r>
      <w:r>
        <w:rPr>
          <w:rFonts w:ascii="Times New Roman" w:hAnsi="Times New Roman"/>
          <w:color w:val="000000"/>
          <w:sz w:val="22"/>
          <w:u w:val="single"/>
        </w:rPr>
        <w:t>Dividend Equivalent Right</w:t>
      </w:r>
      <w:r>
        <w:rPr>
          <w:color w:val="000000"/>
        </w:rPr>
        <w:t xml:space="preserve">” </w:t>
      </w:r>
      <w:r>
        <w:rPr>
          <w:rFonts w:ascii="Times New Roman" w:hAnsi="Times New Roman"/>
          <w:color w:val="000000"/>
          <w:sz w:val="22"/>
        </w:rPr>
        <w:t xml:space="preserve">means a right granted pursuant to Section 7(f) to receive, in such form and on such terms as the Committee may determine, the equivalent value of a dividend or distribution paid by the Company on one of its Shares (in cash or in Shares) in accordance with its Articles of Association that would be payable on the number of Shares subject to a Full-Value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color w:val="000000"/>
        </w:rPr>
        <w:t>“</w:t>
      </w:r>
      <w:r>
        <w:rPr>
          <w:rFonts w:ascii="Times New Roman" w:hAnsi="Times New Roman"/>
          <w:color w:val="000000"/>
          <w:sz w:val="22"/>
          <w:u w:val="single"/>
        </w:rPr>
        <w:t>Eligible Individual</w:t>
      </w:r>
      <w:r>
        <w:rPr>
          <w:color w:val="000000"/>
        </w:rPr>
        <w:t xml:space="preserve">” </w:t>
      </w:r>
      <w:r>
        <w:rPr>
          <w:rFonts w:ascii="Times New Roman" w:hAnsi="Times New Roman"/>
          <w:color w:val="000000"/>
          <w:sz w:val="22"/>
        </w:rPr>
        <w:t xml:space="preserve">means any person who is an Employee, Consultant or a Director, as determined by the Committee.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color w:val="000000"/>
        </w:rPr>
        <w:t>“</w:t>
      </w:r>
      <w:r>
        <w:rPr>
          <w:rFonts w:ascii="Times New Roman" w:hAnsi="Times New Roman"/>
          <w:color w:val="000000"/>
          <w:sz w:val="22"/>
          <w:u w:val="single"/>
        </w:rPr>
        <w:t>Employee</w:t>
      </w:r>
      <w:r>
        <w:rPr>
          <w:color w:val="000000"/>
        </w:rPr>
        <w:t xml:space="preserve">” </w:t>
      </w:r>
      <w:r>
        <w:rPr>
          <w:rFonts w:ascii="Times New Roman" w:hAnsi="Times New Roman"/>
          <w:color w:val="000000"/>
          <w:sz w:val="22"/>
        </w:rPr>
        <w:t xml:space="preserve">means a person, including Directors and officers, in the employment of any member of the WTW Group or a Designated Associate Company, who is treated as an employee in the personnel records of a member of the WTW Group or a Designated Associate Company for the relevant period. Neither services as a Director nor payment of a director’s fee by the Company, a Subsidiary or Designated Associate Company shall be sufficient to constitute “employment” by the Company, any Subsidiary or Designated Associate Company.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color w:val="000000"/>
        </w:rPr>
        <w:t>“</w:t>
      </w:r>
      <w:r>
        <w:rPr>
          <w:rFonts w:ascii="Times New Roman" w:hAnsi="Times New Roman"/>
          <w:color w:val="000000"/>
          <w:sz w:val="22"/>
          <w:u w:val="single"/>
        </w:rPr>
        <w:t>Effective Date</w:t>
      </w:r>
      <w:r>
        <w:rPr>
          <w:color w:val="000000"/>
        </w:rPr>
        <w:t xml:space="preserve">” </w:t>
      </w:r>
      <w:r>
        <w:rPr>
          <w:rFonts w:ascii="Times New Roman" w:hAnsi="Times New Roman"/>
          <w:color w:val="000000"/>
          <w:sz w:val="22"/>
        </w:rPr>
        <w:t>means March 31, 2026, the date that the Board approved the amendment and restatement of the Plan.</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color w:val="000000"/>
        </w:rPr>
        <w:t>“</w:t>
      </w:r>
      <w:r>
        <w:rPr>
          <w:rFonts w:ascii="Times New Roman" w:hAnsi="Times New Roman"/>
          <w:color w:val="000000"/>
          <w:sz w:val="22"/>
          <w:u w:val="single"/>
        </w:rPr>
        <w:t>Exchange Act</w:t>
      </w:r>
      <w:r>
        <w:rPr>
          <w:color w:val="000000"/>
        </w:rPr>
        <w:t xml:space="preserve">” </w:t>
      </w:r>
      <w:r>
        <w:rPr>
          <w:rFonts w:ascii="Times New Roman" w:hAnsi="Times New Roman"/>
          <w:color w:val="000000"/>
          <w:sz w:val="22"/>
        </w:rPr>
        <w:t xml:space="preserve">means the U.S. Securities Exchange Act of 1934, as amended.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w:t>
      </w:r>
    </w:p>
    <w:p>
      <w:pPr>
        <w:pStyle w:val="TextBody"/>
        <w:bidi w:val="0"/>
        <w:spacing w:before="0" w:after="240"/>
        <w:jc w:val="both"/>
        <w:rPr/>
      </w:pPr>
      <w:r>
        <w:rPr>
          <w:color w:val="000000"/>
        </w:rPr>
        <w:t>“</w:t>
      </w:r>
      <w:r>
        <w:rPr>
          <w:rFonts w:ascii="Times New Roman" w:hAnsi="Times New Roman"/>
          <w:color w:val="000000"/>
          <w:sz w:val="22"/>
          <w:u w:val="single"/>
        </w:rPr>
        <w:t>Exercise Price</w:t>
      </w:r>
      <w:r>
        <w:rPr>
          <w:color w:val="000000"/>
        </w:rPr>
        <w:t xml:space="preserve">” </w:t>
      </w:r>
      <w:r>
        <w:rPr>
          <w:rFonts w:ascii="Times New Roman" w:hAnsi="Times New Roman"/>
          <w:color w:val="000000"/>
          <w:sz w:val="22"/>
        </w:rPr>
        <w:t>means the price of a Share, as fixed by the Committee, which may be purchased under an Option or other Share-Based Award, if applicable, or with respect to which the amount of any payment pursuant to a SAR or other Share-Based Award, if applicable, is determined.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w:t>
      </w:r>
    </w:p>
    <w:p>
      <w:pPr>
        <w:pStyle w:val="TextBody"/>
        <w:bidi w:val="0"/>
        <w:spacing w:before="0" w:after="240"/>
        <w:jc w:val="both"/>
        <w:rPr/>
      </w:pPr>
      <w:r>
        <w:rPr>
          <w:color w:val="000000"/>
        </w:rPr>
        <w:t>“</w:t>
      </w:r>
      <w:r>
        <w:rPr>
          <w:rFonts w:ascii="Times New Roman" w:hAnsi="Times New Roman"/>
          <w:color w:val="000000"/>
          <w:sz w:val="22"/>
          <w:u w:val="single"/>
        </w:rPr>
        <w:t>Fair Market Value</w:t>
      </w:r>
      <w:r>
        <w:rPr>
          <w:color w:val="000000"/>
        </w:rPr>
        <w:t xml:space="preserve">” </w:t>
      </w:r>
      <w:r>
        <w:rPr>
          <w:rFonts w:ascii="Times New Roman" w:hAnsi="Times New Roman"/>
          <w:color w:val="000000"/>
          <w:sz w:val="22"/>
        </w:rPr>
        <w:t xml:space="preserve">means the per Share closing price of the Shares as reported on the Nasdaq Global Select Market on that date (or if there were no reported prices on such date, on the last preceding date on which the prices were reported) or, if the Company is not then listed on the Nasdaq Global Select Market, on such other principal securities exchange or market on which the Shares are traded, and if the Company is not listed on the Nasdaq Global Select Market or any other securities exchange or market, the Fair Market Value of Shares shall be determined by the Committee in its sole discretion using appropriate criteria which, with respect to Awards to U.S. Taxpayers, shall be determined, to the extent necessary, pursuant to a reasonable valuation method in accordance with Section 409A of the Code. Fair Market Value with respect to any property other than Shares, means the market value of such property determined by such methods or procedures as shall be established from time to time by the Committee.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w:t>
      </w:r>
    </w:p>
    <w:p>
      <w:pPr>
        <w:pStyle w:val="TextBody"/>
        <w:bidi w:val="0"/>
        <w:spacing w:before="0" w:after="240"/>
        <w:jc w:val="both"/>
        <w:rPr/>
      </w:pPr>
      <w:r>
        <w:rPr>
          <w:color w:val="000000"/>
        </w:rPr>
        <w:t>“</w:t>
      </w:r>
      <w:r>
        <w:rPr>
          <w:rFonts w:ascii="Times New Roman" w:hAnsi="Times New Roman"/>
          <w:color w:val="000000"/>
          <w:sz w:val="22"/>
          <w:u w:val="single"/>
        </w:rPr>
        <w:t>Fractional Share Interest</w:t>
      </w:r>
      <w:r>
        <w:rPr>
          <w:color w:val="000000"/>
        </w:rPr>
        <w:t xml:space="preserve">” </w:t>
      </w:r>
      <w:r>
        <w:rPr>
          <w:rFonts w:ascii="Times New Roman" w:hAnsi="Times New Roman"/>
          <w:color w:val="000000"/>
          <w:sz w:val="22"/>
        </w:rPr>
        <w:t xml:space="preserve">means a notional or similar interest in a Share issuable pursuant to an Award, the credit of which interest shall be facilitated by the Company’s designated broker, providing for such rights with respect to a Share as shall be specified by the Committee at the time of grant or otherwise of an Award under which Fractional Share Interests may be issued, whether or not the Award also provides for the issuance of whole Shares, including circumstances where the issuance of Fractional Share Interests results from the withholding of less than a whole Share to satisfy Tax-Related Items pursuant to Section 15 hereof or payment of the exercise price of an Option pursuant to Section 7(a)(iii) 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w:t>
      </w:r>
    </w:p>
    <w:p>
      <w:pPr>
        <w:pStyle w:val="TextBody"/>
        <w:bidi w:val="0"/>
        <w:spacing w:before="0" w:after="240"/>
        <w:jc w:val="both"/>
        <w:rPr/>
      </w:pPr>
      <w:r>
        <w:rPr>
          <w:color w:val="000000"/>
        </w:rPr>
        <w:t>“</w:t>
      </w:r>
      <w:r>
        <w:rPr>
          <w:rFonts w:ascii="Times New Roman" w:hAnsi="Times New Roman"/>
          <w:color w:val="000000"/>
          <w:sz w:val="22"/>
          <w:u w:val="single"/>
        </w:rPr>
        <w:t>Full-Value Award</w:t>
      </w:r>
      <w:r>
        <w:rPr>
          <w:color w:val="000000"/>
        </w:rPr>
        <w:t xml:space="preserve">” </w:t>
      </w:r>
      <w:r>
        <w:rPr>
          <w:rFonts w:ascii="Times New Roman" w:hAnsi="Times New Roman"/>
          <w:color w:val="000000"/>
          <w:sz w:val="22"/>
        </w:rPr>
        <w:t xml:space="preserve">means an Award of Restricted Shares, Restricted Share Units, or Share-Based Awards, provided that the purchase price (if any) to purchase the Shares underlying the Full-Value Award is less than Fair Market Value of the Shares, as determined as of the date of grant.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color w:val="000000"/>
        </w:rPr>
        <w:t>“</w:t>
      </w:r>
      <w:r>
        <w:rPr>
          <w:rFonts w:ascii="Times New Roman" w:hAnsi="Times New Roman"/>
          <w:color w:val="000000"/>
          <w:sz w:val="22"/>
          <w:u w:val="single"/>
        </w:rPr>
        <w:t>Incentive Stock Option</w:t>
      </w:r>
      <w:r>
        <w:rPr>
          <w:color w:val="000000"/>
        </w:rPr>
        <w:t xml:space="preserve">” </w:t>
      </w:r>
      <w:r>
        <w:rPr>
          <w:rFonts w:ascii="Times New Roman" w:hAnsi="Times New Roman"/>
          <w:color w:val="000000"/>
          <w:sz w:val="22"/>
        </w:rPr>
        <w:t xml:space="preserve">or “ISO” means an Option that is intended to meet the requirements of Section 422 of the Code or any successor provision thereto.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t>
      </w:r>
    </w:p>
    <w:p>
      <w:pPr>
        <w:pStyle w:val="TextBody"/>
        <w:bidi w:val="0"/>
        <w:spacing w:before="0" w:after="240"/>
        <w:jc w:val="both"/>
        <w:rPr/>
      </w:pPr>
      <w:r>
        <w:rPr>
          <w:color w:val="000000"/>
        </w:rPr>
        <w:t>“</w:t>
      </w:r>
      <w:r>
        <w:rPr>
          <w:rFonts w:ascii="Times New Roman" w:hAnsi="Times New Roman"/>
          <w:color w:val="000000"/>
          <w:sz w:val="22"/>
          <w:u w:val="single"/>
        </w:rPr>
        <w:t>Newfront</w:t>
      </w:r>
      <w:r>
        <w:rPr>
          <w:color w:val="000000"/>
        </w:rPr>
        <w:t xml:space="preserve">” </w:t>
      </w:r>
      <w:r>
        <w:rPr>
          <w:rFonts w:ascii="Times New Roman" w:hAnsi="Times New Roman"/>
          <w:color w:val="000000"/>
          <w:sz w:val="22"/>
        </w:rPr>
        <w:t>means Newfront Insurance Holdings, which became a wholly-owned Subsidiary, effective January 27, 2026.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pPr>
      <w:r>
        <w:rPr>
          <w:color w:val="000000"/>
        </w:rPr>
        <w:t>“</w:t>
      </w:r>
      <w:r>
        <w:rPr>
          <w:rFonts w:ascii="Times New Roman" w:hAnsi="Times New Roman"/>
          <w:color w:val="000000"/>
          <w:sz w:val="22"/>
          <w:u w:val="single"/>
        </w:rPr>
        <w:t>Newfront Plans</w:t>
      </w:r>
      <w:r>
        <w:rPr>
          <w:color w:val="000000"/>
        </w:rPr>
        <w:t xml:space="preserve">” </w:t>
      </w:r>
      <w:r>
        <w:rPr>
          <w:rFonts w:ascii="Times New Roman" w:hAnsi="Times New Roman"/>
          <w:color w:val="000000"/>
          <w:sz w:val="22"/>
        </w:rPr>
        <w:t>means the Abe Labs, Inc. 2017 Stock Incentive Plan and the Newfront 2021 Stock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w:t>
      </w:r>
    </w:p>
    <w:p>
      <w:pPr>
        <w:pStyle w:val="TextBody"/>
        <w:bidi w:val="0"/>
        <w:spacing w:before="0" w:after="240"/>
        <w:jc w:val="both"/>
        <w:rPr/>
      </w:pPr>
      <w:r>
        <w:rPr>
          <w:color w:val="000000"/>
        </w:rPr>
        <w:t>“</w:t>
      </w:r>
      <w:r>
        <w:rPr>
          <w:rFonts w:ascii="Times New Roman" w:hAnsi="Times New Roman"/>
          <w:color w:val="000000"/>
          <w:sz w:val="22"/>
          <w:u w:val="single"/>
        </w:rPr>
        <w:t>New Pool</w:t>
      </w:r>
      <w:r>
        <w:rPr>
          <w:color w:val="000000"/>
        </w:rPr>
        <w:t xml:space="preserve">” </w:t>
      </w:r>
      <w:r>
        <w:rPr>
          <w:rFonts w:ascii="Times New Roman" w:hAnsi="Times New Roman"/>
          <w:color w:val="000000"/>
          <w:sz w:val="22"/>
        </w:rPr>
        <w:t>means the sum of (a) 2,000,000</w:t>
      </w:r>
      <w:r>
        <w:rPr>
          <w:color w:val="000000"/>
        </w:rPr>
        <w:t xml:space="preserve"> </w:t>
      </w:r>
      <w:r>
        <w:rPr>
          <w:rFonts w:ascii="Times New Roman" w:hAnsi="Times New Roman"/>
          <w:color w:val="000000"/>
          <w:sz w:val="22"/>
        </w:rPr>
        <w:t>Shares, which represents the number of Shares by which the share reserve was increased as of the 2022 Approval Date, plus (b) 243,823 Shares, which represents the net number of Shares by which the Share reserve was increased in connection with the Company’s assumption of the Newfront Plans and the assumption and conversion of the underlying share reserves of the Newfront Plans to Shares issuable under the Plan</w:t>
      </w:r>
      <w:r>
        <w:rPr>
          <w:rFonts w:ascii="Times New Roman" w:hAnsi="Times New Roman"/>
          <w:color w:val="000000"/>
          <w:sz w:val="15"/>
        </w:rPr>
        <w:t>1</w:t>
      </w:r>
      <w:r>
        <w:rPr>
          <w:rFonts w:ascii="Times New Roman" w:hAnsi="Times New Roman"/>
          <w:color w:val="000000"/>
          <w:sz w:val="22"/>
        </w:rPr>
        <w:t>, plus (c) the Shares that become reissuable pursuant to Section 5(a)(iii)(B) of the Plan in connection with new Awards granted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w:t>
      </w:r>
    </w:p>
    <w:p>
      <w:pPr>
        <w:pStyle w:val="TextBody"/>
        <w:bidi w:val="0"/>
        <w:spacing w:before="0" w:after="240"/>
        <w:jc w:val="both"/>
        <w:rPr/>
      </w:pPr>
      <w:r>
        <w:rPr>
          <w:color w:val="000000"/>
        </w:rPr>
        <w:t>“</w:t>
      </w:r>
      <w:r>
        <w:rPr>
          <w:rFonts w:ascii="Times New Roman" w:hAnsi="Times New Roman"/>
          <w:color w:val="000000"/>
          <w:sz w:val="22"/>
          <w:u w:val="single"/>
        </w:rPr>
        <w:t>Nominal Value</w:t>
      </w:r>
      <w:r>
        <w:rPr>
          <w:color w:val="000000"/>
        </w:rPr>
        <w:t xml:space="preserve">” </w:t>
      </w:r>
      <w:r>
        <w:rPr>
          <w:rFonts w:ascii="Times New Roman" w:hAnsi="Times New Roman"/>
          <w:color w:val="000000"/>
          <w:sz w:val="22"/>
        </w:rPr>
        <w:t>means $0.000304635, per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(aa)</w:t>
      </w:r>
    </w:p>
    <w:p>
      <w:pPr>
        <w:pStyle w:val="TextBody"/>
        <w:bidi w:val="0"/>
        <w:spacing w:before="0" w:after="240"/>
        <w:jc w:val="both"/>
        <w:rPr/>
      </w:pPr>
      <w:r>
        <w:rPr>
          <w:color w:val="000000"/>
        </w:rPr>
        <w:t>“</w:t>
      </w:r>
      <w:r>
        <w:rPr>
          <w:rFonts w:ascii="Times New Roman" w:hAnsi="Times New Roman"/>
          <w:color w:val="000000"/>
          <w:sz w:val="22"/>
          <w:u w:val="single"/>
        </w:rPr>
        <w:t>Non-Employee Director</w:t>
      </w:r>
      <w:r>
        <w:rPr>
          <w:color w:val="000000"/>
        </w:rPr>
        <w:t xml:space="preserve">” </w:t>
      </w:r>
      <w:r>
        <w:rPr>
          <w:rFonts w:ascii="Times New Roman" w:hAnsi="Times New Roman"/>
          <w:color w:val="000000"/>
          <w:sz w:val="22"/>
        </w:rPr>
        <w:t xml:space="preserve">means a Director of the Company who qualifies as a “Non-Employee Director” as defined in Rule 16b-3(b)(3) under the Exchange Act, or any successor rule.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(bb)</w:t>
      </w:r>
    </w:p>
    <w:p>
      <w:pPr>
        <w:pStyle w:val="TextBody"/>
        <w:bidi w:val="0"/>
        <w:spacing w:before="0" w:after="240"/>
        <w:jc w:val="both"/>
        <w:rPr/>
      </w:pPr>
      <w:r>
        <w:rPr>
          <w:color w:val="000000"/>
        </w:rPr>
        <w:t>“</w:t>
      </w:r>
      <w:r>
        <w:rPr>
          <w:rFonts w:ascii="Times New Roman" w:hAnsi="Times New Roman"/>
          <w:color w:val="000000"/>
          <w:sz w:val="22"/>
          <w:u w:val="single"/>
        </w:rPr>
        <w:t>Option</w:t>
      </w:r>
      <w:r>
        <w:rPr>
          <w:color w:val="000000"/>
        </w:rPr>
        <w:t xml:space="preserve">” </w:t>
      </w:r>
      <w:r>
        <w:rPr>
          <w:rFonts w:ascii="Times New Roman" w:hAnsi="Times New Roman"/>
          <w:color w:val="000000"/>
          <w:sz w:val="22"/>
        </w:rPr>
        <w:t xml:space="preserve">means a share option to purchase a specified number of Ordinary Shares at a specified Exercise Price during specified time periods, granted under Section 7(a) of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(cc)</w:t>
      </w:r>
    </w:p>
    <w:p>
      <w:pPr>
        <w:pStyle w:val="TextBody"/>
        <w:bidi w:val="0"/>
        <w:spacing w:before="0" w:after="240"/>
        <w:jc w:val="both"/>
        <w:rPr/>
      </w:pPr>
      <w:r>
        <w:rPr>
          <w:color w:val="000000"/>
        </w:rPr>
        <w:t>“</w:t>
      </w:r>
      <w:r>
        <w:rPr>
          <w:rFonts w:ascii="Times New Roman" w:hAnsi="Times New Roman"/>
          <w:color w:val="000000"/>
          <w:sz w:val="22"/>
          <w:u w:val="single"/>
        </w:rPr>
        <w:t>Ordinary Shares</w:t>
      </w:r>
      <w:r>
        <w:rPr>
          <w:color w:val="000000"/>
        </w:rPr>
        <w:t xml:space="preserve">” </w:t>
      </w:r>
      <w:r>
        <w:rPr>
          <w:rFonts w:ascii="Times New Roman" w:hAnsi="Times New Roman"/>
          <w:color w:val="000000"/>
          <w:sz w:val="22"/>
        </w:rPr>
        <w:t>or “</w:t>
      </w:r>
      <w:r>
        <w:rPr>
          <w:rFonts w:ascii="Times New Roman" w:hAnsi="Times New Roman"/>
          <w:color w:val="000000"/>
          <w:sz w:val="22"/>
          <w:u w:val="single"/>
        </w:rPr>
        <w:t>Shares</w:t>
      </w:r>
      <w:r>
        <w:rPr>
          <w:color w:val="000000"/>
        </w:rPr>
        <w:t xml:space="preserve">” </w:t>
      </w:r>
      <w:r>
        <w:rPr>
          <w:rFonts w:ascii="Times New Roman" w:hAnsi="Times New Roman"/>
          <w:color w:val="000000"/>
          <w:sz w:val="22"/>
        </w:rPr>
        <w:t xml:space="preserve">means the ordinary shares of the Company, Nominal Value.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(dd)</w:t>
      </w:r>
    </w:p>
    <w:p>
      <w:pPr>
        <w:pStyle w:val="TextBody"/>
        <w:bidi w:val="0"/>
        <w:spacing w:before="0" w:after="240"/>
        <w:jc w:val="both"/>
        <w:rPr/>
      </w:pPr>
      <w:r>
        <w:rPr>
          <w:color w:val="000000"/>
        </w:rPr>
        <w:t>“</w:t>
      </w:r>
      <w:r>
        <w:rPr>
          <w:rFonts w:ascii="Times New Roman" w:hAnsi="Times New Roman"/>
          <w:color w:val="000000"/>
          <w:sz w:val="22"/>
          <w:u w:val="single"/>
        </w:rPr>
        <w:t>Outstanding Qualified Performance-Based Compensation</w:t>
      </w:r>
      <w:r>
        <w:rPr>
          <w:color w:val="000000"/>
        </w:rPr>
        <w:t xml:space="preserve">” </w:t>
      </w:r>
      <w:r>
        <w:rPr>
          <w:rFonts w:ascii="Times New Roman" w:hAnsi="Times New Roman"/>
          <w:color w:val="000000"/>
          <w:sz w:val="22"/>
        </w:rPr>
        <w:t>means any compensation granted prior to November 3, 2017 and that was outstanding as of the 2022 Approval Date</w:t>
      </w:r>
      <w:r>
        <w:rPr>
          <w:color w:val="000000"/>
        </w:rPr>
        <w:t xml:space="preserve"> </w:t>
      </w:r>
      <w:r>
        <w:rPr>
          <w:rFonts w:ascii="Times New Roman" w:hAnsi="Times New Roman"/>
          <w:color w:val="000000"/>
          <w:sz w:val="22"/>
        </w:rPr>
        <w:t>and is intended to qualify as “qualified performance-based compensation” as described in Section 162(m)(4)(C) of the Code. For the avoidance of doubt, all provisions of the Plan, governing Outstanding Qualified Performance-Based Compensation that were in effect prior to the 2022 Approval Date shall continue in effect with respect to the Outstanding Qualified Performance-Based Compensation, notwithstanding the elimination of such provisions from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(ee)</w:t>
      </w:r>
    </w:p>
    <w:p>
      <w:pPr>
        <w:pStyle w:val="TextBody"/>
        <w:bidi w:val="0"/>
        <w:spacing w:before="0" w:after="240"/>
        <w:jc w:val="both"/>
        <w:rPr/>
      </w:pPr>
      <w:r>
        <w:rPr>
          <w:color w:val="000000"/>
        </w:rPr>
        <w:t>“</w:t>
      </w:r>
      <w:r>
        <w:rPr>
          <w:rFonts w:ascii="Times New Roman" w:hAnsi="Times New Roman"/>
          <w:color w:val="000000"/>
          <w:sz w:val="22"/>
          <w:u w:val="single"/>
        </w:rPr>
        <w:t>Participant</w:t>
      </w:r>
      <w:r>
        <w:rPr>
          <w:color w:val="000000"/>
        </w:rPr>
        <w:t xml:space="preserve">” </w:t>
      </w:r>
      <w:r>
        <w:rPr>
          <w:rFonts w:ascii="Times New Roman" w:hAnsi="Times New Roman"/>
          <w:color w:val="000000"/>
          <w:sz w:val="22"/>
        </w:rPr>
        <w:t xml:space="preserve">means an Eligible Individual of any member of WTW Group or a Designated Associate Company, to whom one or more Awards have been granted, and such Awards have not all expired or been forfeited or terminated under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(ff)</w:t>
      </w:r>
    </w:p>
    <w:p>
      <w:pPr>
        <w:pStyle w:val="TextBody"/>
        <w:bidi w:val="0"/>
        <w:spacing w:before="0" w:after="240"/>
        <w:jc w:val="both"/>
        <w:rPr/>
      </w:pPr>
      <w:r>
        <w:rPr>
          <w:color w:val="000000"/>
        </w:rPr>
        <w:t>“</w:t>
      </w:r>
      <w:r>
        <w:rPr>
          <w:rFonts w:ascii="Times New Roman" w:hAnsi="Times New Roman"/>
          <w:color w:val="000000"/>
          <w:sz w:val="22"/>
          <w:u w:val="single"/>
        </w:rPr>
        <w:t>Performance Criteria</w:t>
      </w:r>
      <w:r>
        <w:rPr>
          <w:color w:val="000000"/>
        </w:rPr>
        <w:t xml:space="preserve">” </w:t>
      </w:r>
      <w:r>
        <w:rPr>
          <w:rFonts w:ascii="Times New Roman" w:hAnsi="Times New Roman"/>
          <w:color w:val="000000"/>
          <w:sz w:val="22"/>
        </w:rPr>
        <w:t xml:space="preserve">means the criteria that the Committee selects for purposes of establishing the Performance Goal or Performance Goals for a Participant for the relevant performance period, including but not limited to: net revenue; revenue growth or product revenue growth; operating income (before or after taxes); pre- or after-tax income (before or after allocation of corporate overhead and bonus); earnings per share; net income (before or after taxes); return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Share reserve was increased on January 27, 2026 by 445,656 Shares in connection with the Company’s assumption of the Newfront Plans and the assumption and conversion of the underlying share reserves of the Newfront Plans to Shares issuable under the Plan and subsequently decreased by 201,833 Shares on March 31, 2026 to reflect the issuance of these Shares outside the Plan.</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equity; total shareholder return; return on assets or net assets; appreciation in and/or maintenance of the price of the Shares or any other publicly-traded securities of the Company; market share; gross profits; earnings (including net earnings, earnings before taxes, earnings before interest and taxes or earnings before interest, taxes, depreciation, amortization, dividend ratio, net sales growth, return on sales, economic value added, return on operating revenue, operating ratio, and integration and/or penetration of the market); reductions in costs; cash flow or cash flow per Share (before or after dividends); return on capital (including return on total capital or return on invested capital); cash flow return on investment; improvement in or attainment of expense levels or working capital levels; adjusted operating margins, adjusted earnings per share, gross margins or cash margin; year-end cash; debt reductions; shareholder equity; regulatory achievements; and implementation, completion or attainment of measurable objectives with respect to research, development, products or projects, production volume levels, acquisitions and divestitures (or other corporate transactions); recruiting and maintaining personnel, promoting diversity and inclusion, fostering health and wellbeing, furthering climate-positive actions, and other environmental, social or governance objectives.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(gg)</w:t>
      </w:r>
    </w:p>
    <w:p>
      <w:pPr>
        <w:pStyle w:val="TextBody"/>
        <w:bidi w:val="0"/>
        <w:spacing w:before="0" w:after="240"/>
        <w:jc w:val="both"/>
        <w:rPr/>
      </w:pPr>
      <w:r>
        <w:rPr>
          <w:color w:val="000000"/>
        </w:rPr>
        <w:t>“</w:t>
      </w:r>
      <w:r>
        <w:rPr>
          <w:rFonts w:ascii="Times New Roman" w:hAnsi="Times New Roman"/>
          <w:color w:val="000000"/>
          <w:sz w:val="22"/>
          <w:u w:val="single"/>
        </w:rPr>
        <w:t>Performance Goals</w:t>
      </w:r>
      <w:r>
        <w:rPr>
          <w:color w:val="000000"/>
        </w:rPr>
        <w:t xml:space="preserve">” </w:t>
      </w:r>
      <w:r>
        <w:rPr>
          <w:rFonts w:ascii="Times New Roman" w:hAnsi="Times New Roman"/>
          <w:color w:val="000000"/>
          <w:sz w:val="22"/>
        </w:rPr>
        <w:t xml:space="preserve">means, for a performance period, the goals established in writing by the Committee for the performance period based upon the Performance Criteria that the Committee, in its discretion, selects. The Committee, in its discretion, may, provide for adjustments or modifications to the calculation of Performance Goals for such performance period.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(hh)</w:t>
      </w:r>
    </w:p>
    <w:p>
      <w:pPr>
        <w:pStyle w:val="TextBody"/>
        <w:bidi w:val="0"/>
        <w:spacing w:before="0" w:after="240"/>
        <w:jc w:val="both"/>
        <w:rPr/>
      </w:pPr>
      <w:r>
        <w:rPr>
          <w:color w:val="000000"/>
        </w:rPr>
        <w:t>“</w:t>
      </w:r>
      <w:r>
        <w:rPr>
          <w:rFonts w:ascii="Times New Roman" w:hAnsi="Times New Roman"/>
          <w:color w:val="000000"/>
          <w:sz w:val="22"/>
          <w:u w:val="single"/>
        </w:rPr>
        <w:t>Permanent Disability</w:t>
      </w:r>
      <w:r>
        <w:rPr>
          <w:color w:val="000000"/>
        </w:rPr>
        <w:t xml:space="preserve">” </w:t>
      </w:r>
      <w:r>
        <w:rPr>
          <w:rFonts w:ascii="Times New Roman" w:hAnsi="Times New Roman"/>
          <w:color w:val="000000"/>
          <w:sz w:val="22"/>
        </w:rPr>
        <w:t>means, unless otherwise defined in the Award Agreement, that the Participant would qualify to receive long-term disability payments under the long-term disability policy, as it may be amended from time to time, of the Company or the Subsidiary or Designated Associate Company to which the Participant provides services regardless of whether the Participant is covered by such policy. If the Company or the Subsidiary or Designated Associate Company to which the Participant provides service does not have a long-term disability policy or plan in place, “Permanent Disability” means that a Participant is unable to carry out the responsibilities and functions of the position held by the Participant by reason of any medically determined physical or mental impairment, as determined by a physician acceptable to the Company, for a period of not less than 180 consecutive business days out of 270 business days. A Participant shall not be considered to have incurred a Permanent Disability unless he or she furnishes proof of such impairment sufficient to satisfy the Company in its discretion. Anything to the contrary in the foregoing notwithstanding, for purposes of (1) Incentive Stock Options, “Permanent Disability” shall mean a total and permanent disability as defined in Section 22(e)(3) of the Code and for purposes of an Award that is subject to Section 409A of the Code, shall mean a “Disability,” within the meaning of Section 409A of the Code to the extent necessary to comply with Section 409A of the Code; and (2) Restricted Share Units Granted under Sections L. 225-197-1 to L. 225-197-6 of the French Commercial Code, as amended, “Permanent Disability” shall mean disability as defined under categories 2° and 3° of Section L. 341-4 of the French Social Security Code,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color w:val="000000"/>
        </w:rPr>
        <w:t>“</w:t>
      </w:r>
      <w:r>
        <w:rPr>
          <w:rFonts w:ascii="Times New Roman" w:hAnsi="Times New Roman"/>
          <w:color w:val="000000"/>
          <w:sz w:val="22"/>
          <w:u w:val="single"/>
        </w:rPr>
        <w:t>Person</w:t>
      </w:r>
      <w:r>
        <w:rPr>
          <w:color w:val="000000"/>
        </w:rPr>
        <w:t xml:space="preserve">” </w:t>
      </w:r>
      <w:r>
        <w:rPr>
          <w:rFonts w:ascii="Times New Roman" w:hAnsi="Times New Roman"/>
          <w:color w:val="000000"/>
          <w:sz w:val="22"/>
        </w:rPr>
        <w:t xml:space="preserve">means “person” as such term is used in Sections 13(d) and 14(d) of the Exchange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(jj)</w:t>
      </w:r>
    </w:p>
    <w:p>
      <w:pPr>
        <w:pStyle w:val="TextBody"/>
        <w:bidi w:val="0"/>
        <w:spacing w:before="0" w:after="240"/>
        <w:jc w:val="both"/>
        <w:rPr/>
      </w:pPr>
      <w:r>
        <w:rPr>
          <w:color w:val="000000"/>
        </w:rPr>
        <w:t>“</w:t>
      </w:r>
      <w:r>
        <w:rPr>
          <w:rFonts w:ascii="Times New Roman" w:hAnsi="Times New Roman"/>
          <w:color w:val="000000"/>
          <w:sz w:val="22"/>
          <w:u w:val="single"/>
        </w:rPr>
        <w:t>Plan</w:t>
      </w:r>
      <w:r>
        <w:rPr>
          <w:color w:val="000000"/>
        </w:rPr>
        <w:t xml:space="preserve">” </w:t>
      </w:r>
      <w:r>
        <w:rPr>
          <w:rFonts w:ascii="Times New Roman" w:hAnsi="Times New Roman"/>
          <w:color w:val="000000"/>
          <w:sz w:val="22"/>
        </w:rPr>
        <w:t xml:space="preserve">means this Willis Towers Watson Public Limited Company 2012 Equity Incentive Plan, as amended from time to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(kk)</w:t>
      </w:r>
    </w:p>
    <w:p>
      <w:pPr>
        <w:pStyle w:val="TextBody"/>
        <w:bidi w:val="0"/>
        <w:spacing w:before="0" w:after="240"/>
        <w:jc w:val="both"/>
        <w:rPr/>
      </w:pPr>
      <w:r>
        <w:rPr>
          <w:color w:val="000000"/>
        </w:rPr>
        <w:t>“</w:t>
      </w:r>
      <w:r>
        <w:rPr>
          <w:rFonts w:ascii="Times New Roman" w:hAnsi="Times New Roman"/>
          <w:color w:val="000000"/>
          <w:sz w:val="22"/>
          <w:u w:val="single"/>
        </w:rPr>
        <w:t>Prior Pool</w:t>
      </w:r>
      <w:r>
        <w:rPr>
          <w:color w:val="000000"/>
        </w:rPr>
        <w:t xml:space="preserve">” </w:t>
      </w:r>
      <w:r>
        <w:rPr>
          <w:rFonts w:ascii="Times New Roman" w:hAnsi="Times New Roman"/>
          <w:color w:val="000000"/>
          <w:sz w:val="22"/>
        </w:rPr>
        <w:t>means the sum of 19,432,521 Shares, which represents the number of Shares reserved for the grant of Awards under the Plan immediately prior to the 2022 Approval Date, plus the Shares that become reissuable pursuant to Section 5(a)(iii)(A) of the Plan in connection with new Awards granted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(ll)</w:t>
      </w:r>
    </w:p>
    <w:p>
      <w:pPr>
        <w:pStyle w:val="TextBody"/>
        <w:bidi w:val="0"/>
        <w:spacing w:before="0" w:after="240"/>
        <w:jc w:val="both"/>
        <w:rPr/>
      </w:pPr>
      <w:r>
        <w:rPr>
          <w:color w:val="000000"/>
        </w:rPr>
        <w:t>“</w:t>
      </w:r>
      <w:r>
        <w:rPr>
          <w:rFonts w:ascii="Times New Roman" w:hAnsi="Times New Roman"/>
          <w:color w:val="000000"/>
          <w:sz w:val="22"/>
          <w:u w:val="single"/>
        </w:rPr>
        <w:t>Restricted Shares</w:t>
      </w:r>
      <w:r>
        <w:rPr>
          <w:color w:val="000000"/>
        </w:rPr>
        <w:t xml:space="preserve">” </w:t>
      </w:r>
      <w:r>
        <w:rPr>
          <w:rFonts w:ascii="Times New Roman" w:hAnsi="Times New Roman"/>
          <w:color w:val="000000"/>
          <w:sz w:val="22"/>
        </w:rPr>
        <w:t xml:space="preserve">means Shares awarded to a Participant pursuant to Section 7(b) of the Plan which may be subject to certain restrictions and to risk of forfeiture.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(mm)</w:t>
      </w:r>
    </w:p>
    <w:p>
      <w:pPr>
        <w:pStyle w:val="TextBody"/>
        <w:bidi w:val="0"/>
        <w:spacing w:before="0" w:after="240"/>
        <w:jc w:val="both"/>
        <w:rPr/>
      </w:pPr>
      <w:r>
        <w:rPr>
          <w:color w:val="000000"/>
        </w:rPr>
        <w:t>“</w:t>
      </w:r>
      <w:r>
        <w:rPr>
          <w:rFonts w:ascii="Times New Roman" w:hAnsi="Times New Roman"/>
          <w:color w:val="000000"/>
          <w:sz w:val="22"/>
          <w:u w:val="single"/>
        </w:rPr>
        <w:t>Restricted Share Unit</w:t>
      </w:r>
      <w:r>
        <w:rPr>
          <w:color w:val="000000"/>
        </w:rPr>
        <w:t xml:space="preserve">” </w:t>
      </w:r>
      <w:r>
        <w:rPr>
          <w:rFonts w:ascii="Times New Roman" w:hAnsi="Times New Roman"/>
          <w:color w:val="000000"/>
          <w:sz w:val="22"/>
        </w:rPr>
        <w:t xml:space="preserve">means an unfunded, unsecured right granted pursuant to Section 7(d) of the Plan that entitles a Participant to receive one Share or an amount in cash or other consideration determined on the applicable settlement date upon the satisfaction of certain time-based criteria and/or Performance Goals.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(nn)</w:t>
      </w:r>
    </w:p>
    <w:p>
      <w:pPr>
        <w:pStyle w:val="TextBody"/>
        <w:bidi w:val="0"/>
        <w:spacing w:before="0" w:after="240"/>
        <w:jc w:val="both"/>
        <w:rPr/>
      </w:pPr>
      <w:r>
        <w:rPr>
          <w:color w:val="000000"/>
        </w:rPr>
        <w:t>“</w:t>
      </w:r>
      <w:r>
        <w:rPr>
          <w:rFonts w:ascii="Times New Roman" w:hAnsi="Times New Roman"/>
          <w:color w:val="000000"/>
          <w:sz w:val="22"/>
          <w:u w:val="single"/>
        </w:rPr>
        <w:t>Securities Act</w:t>
      </w:r>
      <w:r>
        <w:rPr>
          <w:color w:val="000000"/>
        </w:rPr>
        <w:t xml:space="preserve">” </w:t>
      </w:r>
      <w:r>
        <w:rPr>
          <w:rFonts w:ascii="Times New Roman" w:hAnsi="Times New Roman"/>
          <w:color w:val="000000"/>
          <w:sz w:val="22"/>
        </w:rPr>
        <w:t xml:space="preserve">means the U.S. Securities Act of 1933, as amended.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(oo)</w:t>
      </w:r>
    </w:p>
    <w:p>
      <w:pPr>
        <w:pStyle w:val="TextBody"/>
        <w:bidi w:val="0"/>
        <w:spacing w:before="0" w:after="240"/>
        <w:jc w:val="both"/>
        <w:rPr/>
      </w:pPr>
      <w:r>
        <w:rPr>
          <w:color w:val="000000"/>
        </w:rPr>
        <w:t>“</w:t>
      </w:r>
      <w:r>
        <w:rPr>
          <w:rFonts w:ascii="Times New Roman" w:hAnsi="Times New Roman"/>
          <w:color w:val="000000"/>
          <w:sz w:val="22"/>
          <w:u w:val="single"/>
        </w:rPr>
        <w:t>Share-Based Award</w:t>
      </w:r>
      <w:r>
        <w:rPr>
          <w:color w:val="000000"/>
        </w:rPr>
        <w:t xml:space="preserve">” </w:t>
      </w:r>
      <w:r>
        <w:rPr>
          <w:rFonts w:ascii="Times New Roman" w:hAnsi="Times New Roman"/>
          <w:color w:val="000000"/>
          <w:sz w:val="22"/>
        </w:rPr>
        <w:t xml:space="preserve">means an Award granted under Section 7(e) of the Plan.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(pp)</w:t>
      </w:r>
    </w:p>
    <w:p>
      <w:pPr>
        <w:pStyle w:val="TextBody"/>
        <w:bidi w:val="0"/>
        <w:spacing w:before="0" w:after="240"/>
        <w:jc w:val="both"/>
        <w:rPr/>
      </w:pPr>
      <w:r>
        <w:rPr>
          <w:color w:val="000000"/>
        </w:rPr>
        <w:t>“</w:t>
      </w:r>
      <w:r>
        <w:rPr>
          <w:rFonts w:ascii="Times New Roman" w:hAnsi="Times New Roman"/>
          <w:color w:val="000000"/>
          <w:sz w:val="22"/>
          <w:u w:val="single"/>
        </w:rPr>
        <w:t>Share Appreciation Right</w:t>
      </w:r>
      <w:r>
        <w:rPr>
          <w:color w:val="000000"/>
        </w:rPr>
        <w:t xml:space="preserve">” </w:t>
      </w:r>
      <w:r>
        <w:rPr>
          <w:rFonts w:ascii="Times New Roman" w:hAnsi="Times New Roman"/>
          <w:color w:val="000000"/>
          <w:sz w:val="22"/>
        </w:rPr>
        <w:t>or “</w:t>
      </w:r>
      <w:r>
        <w:rPr>
          <w:rFonts w:ascii="Times New Roman" w:hAnsi="Times New Roman"/>
          <w:color w:val="000000"/>
          <w:sz w:val="22"/>
          <w:u w:val="single"/>
        </w:rPr>
        <w:t>SAR</w:t>
      </w:r>
      <w:r>
        <w:rPr>
          <w:color w:val="000000"/>
        </w:rPr>
        <w:t xml:space="preserve">” </w:t>
      </w:r>
      <w:r>
        <w:rPr>
          <w:rFonts w:ascii="Times New Roman" w:hAnsi="Times New Roman"/>
          <w:color w:val="000000"/>
          <w:sz w:val="22"/>
        </w:rPr>
        <w:t xml:space="preserve">means a right granted pursuant to Section 7(c) of the Plan to receive a payment in cash or Shares equal to the excess of the Fair Market Value of a specified number of Shares on the date the SAR is exercised over the Exercise Price on the date the SAR was granted as set forth in the applicable Award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(qq)</w:t>
      </w:r>
    </w:p>
    <w:p>
      <w:pPr>
        <w:pStyle w:val="TextBody"/>
        <w:bidi w:val="0"/>
        <w:spacing w:before="0" w:after="240"/>
        <w:jc w:val="both"/>
        <w:rPr/>
      </w:pPr>
      <w:r>
        <w:rPr>
          <w:color w:val="000000"/>
        </w:rPr>
        <w:t>“</w:t>
      </w:r>
      <w:r>
        <w:rPr>
          <w:rFonts w:ascii="Times New Roman" w:hAnsi="Times New Roman"/>
          <w:color w:val="000000"/>
          <w:sz w:val="22"/>
          <w:u w:val="single"/>
        </w:rPr>
        <w:t>Share Award Committee</w:t>
      </w:r>
      <w:r>
        <w:rPr>
          <w:color w:val="000000"/>
        </w:rPr>
        <w:t xml:space="preserve">” </w:t>
      </w:r>
      <w:r>
        <w:rPr>
          <w:rFonts w:ascii="Times New Roman" w:hAnsi="Times New Roman"/>
          <w:color w:val="000000"/>
          <w:sz w:val="22"/>
        </w:rPr>
        <w:t>or “</w:t>
      </w:r>
      <w:r>
        <w:rPr>
          <w:rFonts w:ascii="Times New Roman" w:hAnsi="Times New Roman"/>
          <w:color w:val="000000"/>
          <w:sz w:val="22"/>
          <w:u w:val="single"/>
        </w:rPr>
        <w:t>SAC</w:t>
      </w:r>
      <w:r>
        <w:rPr>
          <w:color w:val="000000"/>
        </w:rPr>
        <w:t xml:space="preserve">” </w:t>
      </w:r>
      <w:r>
        <w:rPr>
          <w:rFonts w:ascii="Times New Roman" w:hAnsi="Times New Roman"/>
          <w:color w:val="000000"/>
          <w:sz w:val="22"/>
        </w:rPr>
        <w:t xml:space="preserve">means the authorized delegate of the Committee under the Company’s Policy Regarding Share-Based Compensation Awards or such successor policy as may be adopted from time to time.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(rr)</w:t>
      </w:r>
    </w:p>
    <w:p>
      <w:pPr>
        <w:pStyle w:val="TextBody"/>
        <w:bidi w:val="0"/>
        <w:spacing w:before="0" w:after="240"/>
        <w:jc w:val="both"/>
        <w:rPr/>
      </w:pPr>
      <w:r>
        <w:rPr>
          <w:color w:val="000000"/>
        </w:rPr>
        <w:t>“</w:t>
      </w:r>
      <w:r>
        <w:rPr>
          <w:rFonts w:ascii="Times New Roman" w:hAnsi="Times New Roman"/>
          <w:color w:val="000000"/>
          <w:sz w:val="22"/>
          <w:u w:val="single"/>
        </w:rPr>
        <w:t>Subsidiary</w:t>
      </w:r>
      <w:r>
        <w:rPr>
          <w:color w:val="000000"/>
        </w:rPr>
        <w:t xml:space="preserve">” </w:t>
      </w:r>
      <w:r>
        <w:rPr>
          <w:rFonts w:ascii="Times New Roman" w:hAnsi="Times New Roman"/>
          <w:color w:val="000000"/>
          <w:sz w:val="22"/>
        </w:rPr>
        <w:t xml:space="preserve">means, with respect to the Company, any subsidiary of the Company within the meaning of Section 155 of the Act. For purposes of granting an “Incentive Stock Option,” Subsidiary means any “subsidiary corporation” of the Company as defined in Section 424(f) of the Code and any regulations promulgated thereunder. For purposes of granting non-qualified share Options, SARs or other “stock rights,” within the meaning of Section 409A of the Code, to a U.S. Taxpayer, an entity may not be considered a Subsidiary if the Ordinary Shares will not be treated as “service recipient stock” of such entity under Section 409A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(ss)</w:t>
      </w:r>
    </w:p>
    <w:p>
      <w:pPr>
        <w:pStyle w:val="TextBody"/>
        <w:bidi w:val="0"/>
        <w:spacing w:before="0" w:after="240"/>
        <w:jc w:val="both"/>
        <w:rPr/>
      </w:pPr>
      <w:r>
        <w:rPr>
          <w:color w:val="000000"/>
        </w:rPr>
        <w:t>“</w:t>
      </w:r>
      <w:r>
        <w:rPr>
          <w:rFonts w:ascii="Times New Roman" w:hAnsi="Times New Roman"/>
          <w:color w:val="000000"/>
          <w:sz w:val="22"/>
          <w:u w:val="single"/>
        </w:rPr>
        <w:t>Substitute Award</w:t>
      </w:r>
      <w:r>
        <w:rPr>
          <w:color w:val="000000"/>
        </w:rPr>
        <w:t xml:space="preserve">” </w:t>
      </w:r>
      <w:r>
        <w:rPr>
          <w:rFonts w:ascii="Times New Roman" w:hAnsi="Times New Roman"/>
          <w:color w:val="000000"/>
          <w:sz w:val="22"/>
        </w:rPr>
        <w:t xml:space="preserve">means an Award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(tt)</w:t>
      </w:r>
    </w:p>
    <w:p>
      <w:pPr>
        <w:pStyle w:val="TextBody"/>
        <w:bidi w:val="0"/>
        <w:spacing w:before="0" w:after="240"/>
        <w:jc w:val="both"/>
        <w:rPr/>
      </w:pPr>
      <w:r>
        <w:rPr>
          <w:color w:val="000000"/>
        </w:rPr>
        <w:t>“</w:t>
      </w:r>
      <w:r>
        <w:rPr>
          <w:rFonts w:ascii="Times New Roman" w:hAnsi="Times New Roman"/>
          <w:color w:val="000000"/>
          <w:sz w:val="22"/>
          <w:u w:val="single"/>
        </w:rPr>
        <w:t>Tax-Related Items</w:t>
      </w:r>
      <w:r>
        <w:rPr>
          <w:color w:val="000000"/>
        </w:rPr>
        <w:t xml:space="preserve">” </w:t>
      </w:r>
      <w:r>
        <w:rPr>
          <w:rFonts w:ascii="Times New Roman" w:hAnsi="Times New Roman"/>
          <w:color w:val="000000"/>
          <w:sz w:val="22"/>
        </w:rPr>
        <w:t xml:space="preserve">means U.S. federal, state, and/or local taxes and Irish national and/or local taxes and/or taxes imposed by jurisdictions outside of Ireland and the U.S. (including, 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Award Agreement or otherwise.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(uu)</w:t>
      </w:r>
    </w:p>
    <w:p>
      <w:pPr>
        <w:pStyle w:val="TextBody"/>
        <w:bidi w:val="0"/>
        <w:spacing w:before="0" w:after="240"/>
        <w:jc w:val="both"/>
        <w:rPr/>
      </w:pPr>
      <w:r>
        <w:rPr>
          <w:color w:val="000000"/>
        </w:rPr>
        <w:t>“</w:t>
      </w:r>
      <w:r>
        <w:rPr>
          <w:rFonts w:ascii="Times New Roman" w:hAnsi="Times New Roman"/>
          <w:color w:val="000000"/>
          <w:sz w:val="22"/>
          <w:u w:val="single"/>
        </w:rPr>
        <w:t>Termination Date</w:t>
      </w:r>
      <w:r>
        <w:rPr>
          <w:color w:val="000000"/>
        </w:rPr>
        <w:t xml:space="preserve">” </w:t>
      </w:r>
      <w:r>
        <w:rPr>
          <w:rFonts w:ascii="Times New Roman" w:hAnsi="Times New Roman"/>
          <w:color w:val="000000"/>
          <w:sz w:val="22"/>
        </w:rPr>
        <w:t>shall have the meaning set forth in Section 2(vv).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(vv)</w:t>
      </w:r>
    </w:p>
    <w:p>
      <w:pPr>
        <w:pStyle w:val="TextBody"/>
        <w:bidi w:val="0"/>
        <w:spacing w:before="0" w:after="240"/>
        <w:jc w:val="both"/>
        <w:rPr/>
      </w:pPr>
      <w:r>
        <w:rPr>
          <w:color w:val="000000"/>
        </w:rPr>
        <w:t>“</w:t>
      </w:r>
      <w:r>
        <w:rPr>
          <w:rFonts w:ascii="Times New Roman" w:hAnsi="Times New Roman"/>
          <w:color w:val="000000"/>
          <w:sz w:val="22"/>
          <w:u w:val="single"/>
        </w:rPr>
        <w:t>Termination of Service</w:t>
      </w:r>
      <w:r>
        <w:rPr>
          <w:color w:val="000000"/>
        </w:rPr>
        <w:t xml:space="preserve">” </w:t>
      </w:r>
      <w:r>
        <w:rPr>
          <w:rFonts w:ascii="Times New Roman" w:hAnsi="Times New Roman"/>
          <w:color w:val="000000"/>
          <w:sz w:val="22"/>
        </w:rPr>
        <w:t xml:space="preserve">means, for purposes of the Plan and with respect to a Participant, that the Participant has for any reason ceased to provide services as an Employee, officer or Director to the WTW Group or a Designated Associate Company. The Committee will have sole discretion to determine whether and for what reason a Participant has ceased to provide services and the effective date on which the Participant ceased to provide services (the “Termination Date”), subject to compliance with Section 409A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(ww)</w:t>
      </w:r>
    </w:p>
    <w:p>
      <w:pPr>
        <w:pStyle w:val="TextBody"/>
        <w:bidi w:val="0"/>
        <w:spacing w:before="0" w:after="240"/>
        <w:jc w:val="both"/>
        <w:rPr/>
      </w:pPr>
      <w:r>
        <w:rPr>
          <w:color w:val="000000"/>
        </w:rPr>
        <w:t>“</w:t>
      </w:r>
      <w:r>
        <w:rPr>
          <w:rFonts w:ascii="Times New Roman" w:hAnsi="Times New Roman"/>
          <w:color w:val="000000"/>
          <w:sz w:val="22"/>
          <w:u w:val="single"/>
        </w:rPr>
        <w:t>Unrestricted Pool</w:t>
      </w:r>
      <w:r>
        <w:rPr>
          <w:color w:val="000000"/>
        </w:rPr>
        <w:t xml:space="preserve">” </w:t>
      </w:r>
      <w:r>
        <w:rPr>
          <w:rFonts w:ascii="Times New Roman" w:hAnsi="Times New Roman"/>
          <w:color w:val="000000"/>
          <w:sz w:val="22"/>
        </w:rPr>
        <w:t xml:space="preserve">means a number of Shares equal to 5% of the total number of Shares reserved for issuance under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w:t>
      </w:r>
    </w:p>
    <w:p>
      <w:pPr>
        <w:pStyle w:val="TextBody"/>
        <w:bidi w:val="0"/>
        <w:spacing w:before="0" w:after="240"/>
        <w:jc w:val="both"/>
        <w:rPr/>
      </w:pPr>
      <w:r>
        <w:rPr>
          <w:color w:val="000000"/>
        </w:rPr>
        <w:t>“</w:t>
      </w:r>
      <w:r>
        <w:rPr>
          <w:rFonts w:ascii="Times New Roman" w:hAnsi="Times New Roman"/>
          <w:color w:val="000000"/>
          <w:sz w:val="22"/>
          <w:u w:val="single"/>
        </w:rPr>
        <w:t>U.S</w:t>
      </w:r>
      <w:r>
        <w:rPr>
          <w:rFonts w:ascii="Times New Roman" w:hAnsi="Times New Roman"/>
          <w:color w:val="000000"/>
          <w:sz w:val="22"/>
        </w:rPr>
        <w:t>.” means the United States of America.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(yy)</w:t>
      </w:r>
    </w:p>
    <w:p>
      <w:pPr>
        <w:pStyle w:val="TextBody"/>
        <w:bidi w:val="0"/>
        <w:spacing w:before="0" w:after="240"/>
        <w:jc w:val="both"/>
        <w:rPr/>
      </w:pPr>
      <w:r>
        <w:rPr>
          <w:color w:val="000000"/>
        </w:rPr>
        <w:t>“</w:t>
      </w:r>
      <w:r>
        <w:rPr>
          <w:rFonts w:ascii="Times New Roman" w:hAnsi="Times New Roman"/>
          <w:color w:val="000000"/>
          <w:sz w:val="22"/>
          <w:u w:val="single"/>
        </w:rPr>
        <w:t>U.S. Taxpayer</w:t>
      </w:r>
      <w:r>
        <w:rPr>
          <w:color w:val="000000"/>
        </w:rPr>
        <w:t xml:space="preserve">” </w:t>
      </w:r>
      <w:r>
        <w:rPr>
          <w:rFonts w:ascii="Times New Roman" w:hAnsi="Times New Roman"/>
          <w:color w:val="000000"/>
          <w:sz w:val="22"/>
        </w:rPr>
        <w:t xml:space="preserve">means an Eligible Individual who is, or may be, subject to taxation under the laws of the U.S. or a political subdivision thereof.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(zz)</w:t>
      </w:r>
    </w:p>
    <w:p>
      <w:pPr>
        <w:pStyle w:val="TextBody"/>
        <w:bidi w:val="0"/>
        <w:spacing w:before="0" w:after="240"/>
        <w:jc w:val="both"/>
        <w:rPr/>
      </w:pPr>
      <w:r>
        <w:rPr>
          <w:color w:val="000000"/>
        </w:rPr>
        <w:t>“</w:t>
      </w:r>
      <w:r>
        <w:rPr>
          <w:rFonts w:ascii="Times New Roman" w:hAnsi="Times New Roman"/>
          <w:color w:val="000000"/>
          <w:sz w:val="22"/>
          <w:u w:val="single"/>
        </w:rPr>
        <w:t>WTW Group</w:t>
      </w:r>
      <w:r>
        <w:rPr>
          <w:color w:val="000000"/>
        </w:rPr>
        <w:t xml:space="preserve">” </w:t>
      </w:r>
      <w:r>
        <w:rPr>
          <w:rFonts w:ascii="Times New Roman" w:hAnsi="Times New Roman"/>
          <w:color w:val="000000"/>
          <w:sz w:val="22"/>
        </w:rPr>
        <w:t xml:space="preserve">means the Company and its Subsidiaries.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ADMINISTRATION OF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Committee</w:t>
      </w:r>
      <w:r>
        <w:rPr>
          <w:rFonts w:ascii="Times New Roman" w:hAnsi="Times New Roman"/>
          <w:color w:val="000000"/>
          <w:sz w:val="22"/>
        </w:rPr>
        <w:t xml:space="preserve">. Unless otherwise determined by the Board, the Plan shall be administered by the Committee which shall consist solely of two or more members of the Board each of whom is an “independent director” under the Nasdaq Stock Market rules (or other principal securities market on which Shares are traded); provided that the term “Committee” means (i) the Board acting at any time in lieu of the Committee; (ii) a committee consisting solely of two or more Directors of the Company, each of whom is an “outside director” within the meaning of Section 162(m) of the Code with respect to Outstanding Qualified Performance-Based Compensation; and (iii) with respect to an Award granted to a Director or officer of the Company subject to Section 16 of the Exchange Act, a committee consisting solely of two or more Non-Employee Directors as defined under Rule 16b-3 under the Exchange Act and provided further that, any action taken by the Committee shall be valid and effective, whether or not members of the Committee at the time of such action are later determined not to have satisfied the requirements for membership set forth in this Section 3(a) or otherwise provided in any charter of the Committee.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Authority of Committee</w:t>
      </w:r>
      <w:r>
        <w:rPr>
          <w:rFonts w:ascii="Times New Roman" w:hAnsi="Times New Roman"/>
          <w:color w:val="000000"/>
          <w:sz w:val="22"/>
        </w:rPr>
        <w:t xml:space="preserve">. The Plan shall be administered by the Committee. The Committee may adopt its own rules of procedure, and the action of the Committee, taken at a meeting or taken without a meeting by a unanimous signed writing, shall constitute action by the Committee. Subject to any specific designation in the Plan, the Committee has the exclusive power, authority and discretion to: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Designate Participants to receive Awards;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Determine the type or types of Awards to be granted to each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Determine the number of Awards to be granted and the number of Shares and/or Fractional Share Interests to which an Award will relate;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color w:val="000000"/>
          <w:sz w:val="22"/>
        </w:rPr>
        <w:t xml:space="preserve">Determine the terms and conditions of any Award granted pursuant to the Plan, including, but not limited to, the Exercise Price, or purchase price, any restrictions or limitations on the Award or the Shares underlying the Award, any schedule for lapse of forfeiture restrictions or restrictions on the exercisability of an Award, and accelerations or waivers thereof, any provisions related to non-competition, and forfeiture or recapture (“clawback”) of gain on an Award, based in each case on such considerations as the Committee in its sole discretion determines; </w:t>
      </w:r>
      <w:r>
        <w:rPr>
          <w:rFonts w:ascii="Times New Roman" w:hAnsi="Times New Roman"/>
          <w:i/>
          <w:color w:val="000000"/>
          <w:sz w:val="22"/>
        </w:rPr>
        <w:t>provided, however</w:t>
      </w:r>
      <w:r>
        <w:rPr>
          <w:rFonts w:ascii="Times New Roman" w:hAnsi="Times New Roman"/>
          <w:color w:val="000000"/>
          <w:sz w:val="22"/>
        </w:rPr>
        <w:t xml:space="preserve">, that the Committee shall not have the authority to accelerate the Performance Goal vesting requirement or waive the forfeiture of any Awards intended to constitute an Outstanding Qualified Performance-Based Compensation;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Subject to Section 13 of this Plan, determine whether, to what extent, and pursuant to what circumstances an Award may be settled in, or the Exercise Price of an Award may be paid in, cash, Shares, Fractional Share Interests, other Awards, or other property, or an Award may be amended (including acceleration of vesting or waivers of forfeiture restrictions or exercisability), canceled, forfeited, substituted, exchanged, replaced, bought out or surrendered;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Prescribe the form of each Award Agreement, which need not be identical for each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Decide all other matters that must be determined in connection with an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Establish, adopt, interpret, or revise any rules and regulations including adopting sub-plans to the Plan and Award Agreements for the purposes of complying with securities, exchange control or tax laws outside of the U.S. or Ireland, and/or for the purposes of taking advantage of tax favorable treatment for Awards granted to Participants as it may deem necessary or advisable to administer the Plan, including the adoption of separate share schemes under the umbrella of the Plan in order to qualify for special tax or other treatment anywhere in the world; provided such rules, regulations or sub-plans, including the interpretation thereof are consistent with the terms and conditions of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Interpret the terms of, and any matter arising pursuant to, the Plan, any sub-plan or Award Agreement;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Make all other decisions and determinations that may be required pursuant to the Plan, or any sub-plan or Award Agreement as the Committee deems necessary or advisable to administer the Plan, any sub-plan or Award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Decisions Binding</w:t>
      </w:r>
      <w:r>
        <w:rPr>
          <w:rFonts w:ascii="Times New Roman" w:hAnsi="Times New Roman"/>
          <w:color w:val="000000"/>
          <w:sz w:val="22"/>
        </w:rPr>
        <w:t xml:space="preserve">. The Committee’s interpretation of the Plan, any sub-plan, or any Awards granted pursuant to the Plan, any sub-plan and any Award Agreement and all decisions and determinations by the Committee with respect to the Plan, any sub-plan and any Award Agreement are final, binding, and conclusive on all parties.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Delegation of Authority</w:t>
      </w:r>
      <w:r>
        <w:rPr>
          <w:rFonts w:ascii="Times New Roman" w:hAnsi="Times New Roman"/>
          <w:color w:val="000000"/>
          <w:sz w:val="22"/>
        </w:rPr>
        <w:t xml:space="preserve">. To the extent permitted by applicable Irish or U.S. law and subject to Section 13 of this Plan, the Committee may from time to time delegate to the Share Award Committee, the Chief Executive Officer and/or one or more senior officers of the Company the authority to grant, amend, substitute, exchange, replace, buyout, surrender, forfeit or cancel Awards to Participants;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the Committee shall have the sole authority with respect to Awards granted to or held by (a) Participants who are subject to Section 16 of the Exchange Act or (b) officers of the Company to whom authority to grant or amend Awards has been delegated hereunder. For the avoidance of doubt, provided it meets the limitation in the preceding sentence, this delegation shall include the right to grant, amend, exchange, replace, buyout, surrender, forfeit or cancel Awards as necessary to accommodate changes in the laws or regulations, including in jurisdictions outside the U.S. and Ireland. Any delegation hereunder shall be subject to the restrictions and limits that the Committee specifies at the time of such delegation, and the Committee may at any time rescind the authority so delegated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or appoint a new delegate, or at all times, the delegate appointed under this Section 3(d) shall serve in such capacity at the pleasure of the Committee.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No Liability to Participants</w:t>
      </w:r>
      <w:r>
        <w:rPr>
          <w:rFonts w:ascii="Times New Roman" w:hAnsi="Times New Roman"/>
          <w:color w:val="000000"/>
          <w:sz w:val="22"/>
        </w:rPr>
        <w:t xml:space="preserve">. The Committee may employ attorneys, consultants, accountants, appraisers, brokers or other persons and the Committee, the WTW Group, and the officers and Directors of the WTW Group shall be entitled to rely upon the advice, opinions or valuations of any such persons. No member of the Committee shall be personally liable for any action, determination or interpretation made in good faith with respect to the Plan, any sub-plan or the Awards, and all members of the Committee or any delegate of the Committee appointed under Section 3(d) shall be fully protected by the Company with respect to any such action, determination or interpretation, and subject to applicable Irish law. Notwithstanding anything to the contrary contained in the Plan, any sub-plan or any Award Agreement, subject to applicable Irish law, neither the WTW Group, any Designated Associate Company or any of their respective Employees, Directors, officers, agents or representatives nor any member of the Committee or the Share Award Committee shall have liability to a Participant or otherwise, including, without limitation, with respect to the failure of the Plan, any sub-plan, any Award or Award Agreement to comply with Section 409A of the Code.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4.</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ELIGIBILITY AND PARTICIPATION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Eligibility</w:t>
      </w:r>
      <w:r>
        <w:rPr>
          <w:rFonts w:ascii="Times New Roman" w:hAnsi="Times New Roman"/>
          <w:color w:val="000000"/>
          <w:sz w:val="22"/>
        </w:rPr>
        <w:t xml:space="preserve">. Subject to the provisions of the Plan, each Eligible Individual shall be eligible to be granted one or more Awards pursuant to the Plan in such form and having such terms, conditions and limitations as the Committee may determine; provided, however, that Eligible Individuals employed by a Designated Associate Company shall not be eligible to be granted an Option, SAR or other “stock right,” within the meaning of Section 409A of the Code, unless the Eligible Individual is not a U.S. Taxpayer or if the Committee determines that the stock right is exempt from, or may be granted in compliance with, Section 409A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Participation</w:t>
      </w:r>
      <w:r>
        <w:rPr>
          <w:rFonts w:ascii="Times New Roman" w:hAnsi="Times New Roman"/>
          <w:color w:val="000000"/>
          <w:sz w:val="22"/>
        </w:rPr>
        <w:t xml:space="preserve">. Subject to the provisions of the Plan, the Committee may, from time to time, select from among all Eligible Individuals, those to whom Awards shall be granted and shall determine the nature and amount of each Award. No Eligible Individual shall have any right to be granted an Award pursuant to the Plan. Awards may be granted singly, in combination </w:t>
      </w:r>
      <w:r>
        <w:rPr>
          <w:rFonts w:ascii="Arial" w:hAnsi="Arial"/>
          <w:color w:val="000000"/>
          <w:sz w:val="20"/>
        </w:rPr>
        <w:t xml:space="preserve">or in </w:t>
      </w:r>
      <w:r>
        <w:rPr>
          <w:rFonts w:ascii="Times New Roman" w:hAnsi="Times New Roman"/>
          <w:color w:val="000000"/>
          <w:sz w:val="22"/>
        </w:rPr>
        <w:t>tandem. The terms, conditions and limitations of each Award under the Plan shall be set forth in an Award Agreement, in a form approved by the Committee or an authorized delegatee under Section 3(d), as applicable, consistent, however, with the terms of the Plan and any sub-plan.</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5.</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SHARE LIMITATIONS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Number of Shares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Separate Share Pools</w:t>
      </w:r>
      <w:r>
        <w:rPr>
          <w:rFonts w:ascii="Times New Roman" w:hAnsi="Times New Roman"/>
          <w:color w:val="000000"/>
          <w:sz w:val="22"/>
        </w:rPr>
        <w:t xml:space="preserve">. Subject to Section 11 and Section 5(a)(iii) hereof, the aggregate number of Shares which are authorized for grants and may be issued or transferred pursuant to Awards under the Plan will be 21,676,344 Shares, which shall be comprised of the Prior Pool and the New Pool; and </w:t>
      </w:r>
      <w:r>
        <w:rPr>
          <w:rFonts w:ascii="Times New Roman" w:hAnsi="Times New Roman"/>
          <w:i/>
          <w:color w:val="000000"/>
          <w:sz w:val="22"/>
        </w:rPr>
        <w:t>provided</w:t>
      </w:r>
      <w:r>
        <w:rPr>
          <w:color w:val="000000"/>
        </w:rPr>
        <w:t xml:space="preserve"> </w:t>
      </w:r>
      <w:r>
        <w:rPr>
          <w:rFonts w:ascii="Times New Roman" w:hAnsi="Times New Roman"/>
          <w:color w:val="000000"/>
          <w:sz w:val="22"/>
        </w:rPr>
        <w:t>that the maximum aggregate number of Shares that may be issued pursuant to the exercise of Incentive Stock Options shall in no event exceed 21,432,521</w:t>
      </w:r>
      <w:r>
        <w:rPr>
          <w:color w:val="000000"/>
        </w:rPr>
        <w:t xml:space="preserve"> </w:t>
      </w:r>
      <w:r>
        <w:rPr>
          <w:rFonts w:ascii="Times New Roman" w:hAnsi="Times New Roman"/>
          <w:color w:val="000000"/>
          <w:sz w:val="22"/>
        </w:rPr>
        <w:t xml:space="preserve">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Share Reserve Counting.</w:t>
      </w:r>
      <w:r>
        <w:rPr>
          <w:color w:val="000000"/>
        </w:rPr>
        <w:t xml:space="preserve"> </w:t>
      </w:r>
      <w:r>
        <w:rPr>
          <w:rFonts w:ascii="Times New Roman" w:hAnsi="Times New Roman"/>
          <w:color w:val="000000"/>
          <w:sz w:val="22"/>
        </w:rPr>
        <w:t>Shares and/or Fractional Share Interests subject to Awards granted under the Plan shall be counted against Shares available for grant under the Plan in accordance with the provisions of this Section 5(a)(ii).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Prior Pool Share Counting</w:t>
      </w:r>
      <w:r>
        <w:rPr>
          <w:rFonts w:ascii="Times New Roman" w:hAnsi="Times New Roman"/>
          <w:color w:val="000000"/>
          <w:sz w:val="22"/>
        </w:rPr>
        <w:t xml:space="preserve">. Any Shares and/or Fractional Share Interests that are subject to Awards granted under the Prior Pool will be counted against the maximum limit set forth in Section 5(a)(i) in accordance with the following: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Shares and/or Fractional Share Interests that are subject to Awards of Options or SARs or other Award that is not a Full-Value Award shall be counted against this limit as (i) one (1) Share for every one (1) Share granted or subject to grant for any such Award and (ii) the fractional portion of a Share corresponding to any Fractional Share Interest granted or subject to grant for any such Award; and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Shares and/or Fractional Share Interests that are subject to a Full-Value Award (other than Options or SARs) shall be counted against this limit as (i) one (1) Share for every one (1) Share granted or subject to grant for any such Award and (ii) the fractional portion of a Share corresponding to any Fractional Share Interest granted or subject to grant for any such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New Pool Share Counting</w:t>
      </w:r>
      <w:r>
        <w:rPr>
          <w:rFonts w:ascii="Times New Roman" w:hAnsi="Times New Roman"/>
          <w:color w:val="000000"/>
          <w:sz w:val="22"/>
        </w:rPr>
        <w:t xml:space="preserve">. Any Shares and/or Fractional Share Interests that are subject to Awards granted under the New Pool will be counted against the maximum limit set forth in Section 5(a)(i) as (i) one (1) Share for every one (1) Share subject to the granted Award and (ii) the fractional portion of a Share corresponding to any Fractional Share Interest granted or subject to grant for any such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Shares Reissuable Under Plan</w:t>
      </w:r>
      <w:r>
        <w:rPr>
          <w:rFonts w:ascii="Times New Roman" w:hAnsi="Times New Roman"/>
          <w:color w:val="000000"/>
          <w:sz w:val="22"/>
        </w:rPr>
        <w:t xml:space="preserve">. To the extent that an Award terminates, expires, lapses for any reason, or is settled in cash, any Shares and Fractional Share Interests subject to the Award shall again be available for the grant of an Award pursuant to the Plan. Any Shares and Fractional Share Interests that become available for the grant of Awards pursuant to this Section 5(a)(iii) shall be added back in accordance with the following: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Prior Pool</w:t>
      </w:r>
      <w:r>
        <w:rPr>
          <w:rFonts w:ascii="Times New Roman" w:hAnsi="Times New Roman"/>
          <w:color w:val="000000"/>
          <w:sz w:val="22"/>
        </w:rPr>
        <w:t>. For Awards granted under the Prior Pool prior to the 2022 Approval Date, the Shares and fractional portion of a Share will be added back to the Prior Pool as (i) one (1) Share and fractional portion of a Share, as applicable, if such Shares and fractional portion of a Share corresponding to the Fractional Share Interests were subject to Options or SARs and (ii) a number of Shares and fractional portion of a Share, as applicable, equal to the product of 3.28, multiplied by the number of Shares and, if applicable, fractional portion of a Share corresponding to the Fractional Share Interest if such Shares and, if applicable, Fractional Share Interests were subject to Full-Value Awards;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New Pool</w:t>
      </w:r>
      <w:r>
        <w:rPr>
          <w:rFonts w:ascii="Times New Roman" w:hAnsi="Times New Roman"/>
          <w:color w:val="000000"/>
          <w:sz w:val="22"/>
        </w:rPr>
        <w:t xml:space="preserve">. For Awards granted under the New Pool, the Shares and/or Fractional Share Interests will be added back to the New Pool as (i) one (1) Share for each Share and (ii) the fractional portion of a Share corresponding to any Fractional Share Interest subject to each type of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Shares and Fractional Share Interests Not Reissuable Under Plan</w:t>
      </w:r>
      <w:r>
        <w:rPr>
          <w:rFonts w:ascii="Times New Roman" w:hAnsi="Times New Roman"/>
          <w:color w:val="000000"/>
          <w:sz w:val="22"/>
        </w:rPr>
        <w:t xml:space="preserve">. Notwithstanding anything to the contrary contained herein, the following Shares and/or fractional portion of a Share corresponding to Fractional Share Interests shall not be added to the Shares authorized for grant under this Section 5(a): (1) Shares and/or Fractional Share Interests not issued or delivered as a result of the net settlement of an outstanding Option or SAR; (2) Shares, fractional portion of a Share and/or Fractional Share Interests tendered by the Participant or withheld by the Company in payment of the Exercise Price of a Option or a SAR; (3) Shares, fractional portion of a Share and/or Fractional Share Interests tendered by the Participant or withheld by the Company to satisfy any Tax-Related Items withholding obligation with respect to an Award; and (4) Shares repurchased by the Company on the open market with the proceeds of the Exercise Price from Options. The payment of Dividend Equivalent Rights in cash in conjunction with any outstanding Awards shall not be counted against the Shares available for issuance under the Plan. Notwithstanding the provisions of this Section 5, no Shares may again be optioned, granted or awarded if such action would cause an Incentive Stock Option to fail to qualify as an incentive stock option under Section 422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Shares Not Counted Against Share Pool Reserve</w:t>
      </w:r>
      <w:r>
        <w:rPr>
          <w:rFonts w:ascii="Times New Roman" w:hAnsi="Times New Roman"/>
          <w:color w:val="000000"/>
          <w:sz w:val="22"/>
        </w:rPr>
        <w:t>. To the extent permitted by applicable securities law or any rule of the securities exchange on which the Ordinary Shares are then listed or traded, Substitute Awards issued in assumption of, or in substitution for, any outstanding awards of any entity acquired in any form of combination by the Company or any Subsidiary shall not be counted against Shares available for grant pursuant to the Plan. Additionally, to the extent permitted by applicable securities law or any rule of the securities exchange on which the Ordinary Shares are then listed or traded, in the event that a company acquired by (or combined with) the Company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at the discretion of the Committee, be used for Substitute Awards under the Plan in lieu of awards under the applicable pre-existing plan of the other company and shall not reduce the Shares authorized for grant under the Plan; provided that Substitute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Subsidiary prior to such acquisition or combination.</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Shares Distributed</w:t>
      </w:r>
      <w:r>
        <w:rPr>
          <w:rFonts w:ascii="Times New Roman" w:hAnsi="Times New Roman"/>
          <w:color w:val="000000"/>
          <w:sz w:val="22"/>
        </w:rPr>
        <w:t xml:space="preserve">. Any Shares distributed pursuant to an Award may consist in whole or in part, of authorized and unissued Shares, treasury Shares or Shares purchased in the open market.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6.</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TERMS AND CONDITIONS APPLICABLE TO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Stand-Alone and Tandem Awards</w:t>
      </w:r>
      <w:r>
        <w:rPr>
          <w:rFonts w:ascii="Times New Roman" w:hAnsi="Times New Roman"/>
          <w:color w:val="000000"/>
          <w:sz w:val="22"/>
        </w:rPr>
        <w:t xml:space="preserve">. Awards granted pursuant to the Plan may, in the discretion of the Committee, be granted either alone, in addition to, or in tandem with, any other Award granted pursuant to the Plan. Awards granted in addition to or in tandem with other Awards may be granted either at the same time as or at a different time from the grant of such other Awards.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Award Agreement</w:t>
      </w:r>
      <w:r>
        <w:rPr>
          <w:rFonts w:ascii="Times New Roman" w:hAnsi="Times New Roman"/>
          <w:color w:val="000000"/>
          <w:sz w:val="22"/>
        </w:rPr>
        <w:t xml:space="preserve">.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No Right to Employment or Services</w:t>
      </w:r>
      <w:r>
        <w:rPr>
          <w:rFonts w:ascii="Times New Roman" w:hAnsi="Times New Roman"/>
          <w:color w:val="000000"/>
          <w:sz w:val="22"/>
        </w:rPr>
        <w:t xml:space="preserve">. Nothing contained herein shall affect the right of WTW Group or, if applicable, a Designated Associate Company to terminate any Participant’s employment or service at any time or for any reason. The rights and obligations of any individual under the terms of his or her office or employment or service with any member of the WTW Group or, if applicable, a Designated Associate Company shall not be affected by his or her participation in the Plan or any right which he or she may have to participate in it, and an individual who participates in the Plan shall waive any and all rights to compensation or damages in consequence of the his or her Termination of Service for any reason whatsoever insofar as those rights arise or may arise from his or her ceasing to have rights under or be entitled to any Award as a result of such termination.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Deferral of Awards</w:t>
      </w:r>
      <w:r>
        <w:rPr>
          <w:rFonts w:ascii="Times New Roman" w:hAnsi="Times New Roman"/>
          <w:color w:val="000000"/>
          <w:sz w:val="22"/>
        </w:rPr>
        <w:t xml:space="preserve">. Subject to complying with Section 409A of the Code in the case of Awards granted to a U.S. Taxpayer, the deferral of the settlement of an Award may be provided for, at the sole discretion of the Committee, in the Award Agreements.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Limits on Transfer</w:t>
      </w:r>
      <w:r>
        <w:rPr>
          <w:rFonts w:ascii="Times New Roman" w:hAnsi="Times New Roman"/>
          <w:color w:val="000000"/>
          <w:sz w:val="22"/>
        </w:rPr>
        <w:t xml:space="preserve">. No Award, right or benefit under the Plan may be transferred by a Participant other than by will or the laws of intestacy, and all Awards, rights and benefits under the Plan may be exercised during the Participant’s lifetime only by the Participant. No such benefit shall, prior to receipt thereof by the Participant, be in any manner liable for or subject to the debts, contracts, liabilities, engagements, or torts of the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No Shareholder Rights</w:t>
      </w:r>
      <w:r>
        <w:rPr>
          <w:rFonts w:ascii="Times New Roman" w:hAnsi="Times New Roman"/>
          <w:color w:val="000000"/>
          <w:sz w:val="22"/>
        </w:rPr>
        <w:t xml:space="preserve">. Except as set forth in Section 7(b) or otherwise determined by the Committee, Participants shall not be, and shall not have any of the rights or privileges of, Company shareholders in respect of any Shares and/or Fractional Share Interests purchasable or issuable in connection with any Award unless such Shares and/or Fractional Share Interests have been issued by the Company to such Participants and in the case of Fractional Share Interests, only to the extent provided in the Award Agreement evidencing the grant of the Fractional Share Interests and permitted by applicable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color w:val="000000"/>
          <w:sz w:val="22"/>
          <w:u w:val="single"/>
        </w:rPr>
        <w:t>Relationship to Other Benefits</w:t>
      </w:r>
      <w:r>
        <w:rPr>
          <w:rFonts w:ascii="Times New Roman" w:hAnsi="Times New Roman"/>
          <w:color w:val="000000"/>
          <w:sz w:val="22"/>
        </w:rPr>
        <w:t>. Absent express provisions to the contrary, any Award under the Plan shall not be deemed compensation for purposes of computing benefits or contributions under any retirement plan of any member of WTW Group or Designated Associate Company and shall not affect any benefits under any other benefit plan of any kind now or subsequently in effect under which the availability or amount of benefits is related to level of compensation. The Plan is not a “Pension Plan” or “Welfare Plan” under the U.S. Employee Retirement Income Security Act of 1974, as amended. Further, no payment pursuant to the Plan shall be taken into account in determining any benefits pursuant to any pension, retirement, savings, profit sharing, group insurance, termination programs and/or indemnities or severance payments, welfare or other benefit plan of any member of the WTW Group or any Designated Associate Company except to the extent otherwise expressly provided in writing in such other plan or an agreement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color w:val="000000"/>
          <w:sz w:val="22"/>
          <w:u w:val="single"/>
        </w:rPr>
        <w:t>Unfunded Status of Awards</w:t>
      </w:r>
      <w:r>
        <w:rPr>
          <w:rFonts w:ascii="Times New Roman" w:hAnsi="Times New Roman"/>
          <w:color w:val="000000"/>
          <w:sz w:val="22"/>
        </w:rPr>
        <w:t xml:space="preserve">. Unless the Committee determines otherwise, no benefit or promise under the Plan shall be secured by any specific assets of any member of WTW Group, nor shall any assets of any member of WTW Group be designated as attributable or allocated to the satisfaction of the Company’s obligations under the Plan.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u w:val="single"/>
        </w:rPr>
        <w:t>Share Certificates</w:t>
      </w:r>
      <w:r>
        <w:rPr>
          <w:rFonts w:ascii="Times New Roman" w:hAnsi="Times New Roman"/>
          <w:color w:val="000000"/>
          <w:sz w:val="22"/>
        </w:rPr>
        <w:t xml:space="preserve">; </w:t>
      </w:r>
      <w:r>
        <w:rPr>
          <w:rFonts w:ascii="Times New Roman" w:hAnsi="Times New Roman"/>
          <w:color w:val="000000"/>
          <w:sz w:val="22"/>
          <w:u w:val="single"/>
        </w:rPr>
        <w:t>Book Entry Procedures</w:t>
      </w:r>
      <w:r>
        <w:rPr>
          <w:rFonts w:ascii="Times New Roman" w:hAnsi="Times New Roman"/>
          <w:color w:val="000000"/>
          <w:sz w:val="22"/>
        </w:rPr>
        <w:t xml:space="preserve">. Any certificates evidencing Shares delivered pursuant to the Plan are subject to any restrictions as the Committee deems necessary or advisable to comply with applicable securities laws, rules, and regulations of Ireland and the U.S. and jurisdictions outside of Ireland and the U.S., including the rules of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any securities exchange or automated quotation system on which the Shares are listed, quoted, or traded. The Committee may place legends on any certificate evidencing Shares to reference restrictions applicable to the Shares. Notwithstanding any other provision of the Plan, unless otherwise determined by the Committee or required by applicable laws, rules or regulations, the Company shall not deliver to any Participant certificates evidencing Shares and/or Fractional Share Interests issued in connection with any Award and instead (i) any Shares that are issued pursuant to an Award shall be recorded in the books of the Company (or, as applicable, its transfer agent or stock plan administrator), but in no event shall a fractional Share be recorded in the books of the Company (or, as applicable, its transfer agent), and (ii) any Fractional Share Interests that are issued pursuant to an Award may be recorded in the books of the stock plan administrator for purposes of providing holders of Fractional Share Interests with such rights of shareholders with respect to Shares as may be specified in the Award Agreement. Where the Company’s stock plan administrator holds a Fractional Share Interest (through the Company’s custodial account) in excess of those allocated to Participants, the Fractional Shares Interest shall be held in the Company’s custodial account for the benefit of satisfying future obligations to issue Fractional Share Interests pursuant to Awards granted under the Plan.</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240"/>
        <w:jc w:val="both"/>
        <w:rPr/>
      </w:pPr>
      <w:r>
        <w:rPr>
          <w:rFonts w:ascii="Times New Roman" w:hAnsi="Times New Roman"/>
          <w:color w:val="000000"/>
          <w:sz w:val="22"/>
          <w:u w:val="single"/>
        </w:rPr>
        <w:t>Paperless Administration</w:t>
      </w:r>
      <w:r>
        <w:rPr>
          <w:rFonts w:ascii="Times New Roman" w:hAnsi="Times New Roman"/>
          <w:color w:val="000000"/>
          <w:sz w:val="22"/>
        </w:rPr>
        <w:t xml:space="preserve">.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240"/>
        <w:jc w:val="both"/>
        <w:rPr/>
      </w:pPr>
      <w:r>
        <w:rPr>
          <w:rFonts w:ascii="Times New Roman" w:hAnsi="Times New Roman"/>
          <w:color w:val="000000"/>
          <w:sz w:val="22"/>
          <w:u w:val="single"/>
        </w:rPr>
        <w:t>Minimum Vesting Conditions</w:t>
      </w:r>
      <w:r>
        <w:rPr>
          <w:rFonts w:ascii="Times New Roman" w:hAnsi="Times New Roman"/>
          <w:color w:val="000000"/>
          <w:sz w:val="22"/>
        </w:rPr>
        <w:t xml:space="preserve">. Notwithstanding any other provision of the Plan, no portion of an Award may vest before the first anniversary of the date of grant; </w:t>
      </w:r>
      <w:r>
        <w:rPr>
          <w:rFonts w:ascii="Times New Roman" w:hAnsi="Times New Roman"/>
          <w:i/>
          <w:color w:val="000000"/>
          <w:sz w:val="22"/>
        </w:rPr>
        <w:t xml:space="preserve">provided, however, </w:t>
      </w:r>
      <w:r>
        <w:rPr>
          <w:rFonts w:ascii="Times New Roman" w:hAnsi="Times New Roman"/>
          <w:color w:val="000000"/>
          <w:sz w:val="22"/>
        </w:rPr>
        <w:t xml:space="preserve">that the minimum vesting periods set forth in this sentence shall not apply to (A) Awards relating to Shares and/or Fractional Share Interests issuable under the Unrestricted Pool, (B) Substitute Awards or (C) Awards, the vesting of which is accelerated in connection with a Participant’s Termination of Service resulting from death or a Permanent Disability.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(l)</w:t>
      </w:r>
    </w:p>
    <w:p>
      <w:pPr>
        <w:pStyle w:val="TextBody"/>
        <w:bidi w:val="0"/>
        <w:spacing w:before="0" w:after="240"/>
        <w:jc w:val="both"/>
        <w:rPr/>
      </w:pPr>
      <w:r>
        <w:rPr>
          <w:rFonts w:ascii="Times New Roman" w:hAnsi="Times New Roman"/>
          <w:color w:val="000000"/>
          <w:sz w:val="22"/>
          <w:u w:val="single"/>
        </w:rPr>
        <w:t>Vesting Acceleration</w:t>
      </w:r>
      <w:r>
        <w:rPr>
          <w:rFonts w:ascii="Times New Roman" w:hAnsi="Times New Roman"/>
          <w:color w:val="000000"/>
          <w:sz w:val="22"/>
        </w:rPr>
        <w:t xml:space="preserve">. Any Award granted under the Plan shall only vest while the Participant is an Employee, Consultant or Director, as applicable;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the Committee in its sole and absolute discretion may provide that any Award may become exercisable or vest because of the Participants Termination of Service, subject to the minimum vesting conditions of Section 6(k);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no such action to accelerate the vesting or exercisability shall be given effect to the extent that such action would cause an Award to violate Section 409A of the Code.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w:t>
      </w:r>
    </w:p>
    <w:p>
      <w:pPr>
        <w:pStyle w:val="TextBody"/>
        <w:bidi w:val="0"/>
        <w:spacing w:before="0" w:after="240"/>
        <w:jc w:val="both"/>
        <w:rPr/>
      </w:pPr>
      <w:r>
        <w:rPr>
          <w:rFonts w:ascii="Times New Roman" w:hAnsi="Times New Roman"/>
          <w:color w:val="000000"/>
          <w:sz w:val="22"/>
          <w:u w:val="single"/>
        </w:rPr>
        <w:t>Titles and Headings</w:t>
      </w:r>
      <w:r>
        <w:rPr>
          <w:rFonts w:ascii="Times New Roman" w:hAnsi="Times New Roman"/>
          <w:color w:val="000000"/>
          <w:sz w:val="22"/>
        </w:rPr>
        <w:t xml:space="preserve">. The titles and headings of the Sections in the Plan are for convenience of reference only and, in the event of any conflict, the text of the Plan, rather than such titles or headings, shall control.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w:t>
      </w:r>
    </w:p>
    <w:p>
      <w:pPr>
        <w:pStyle w:val="TextBody"/>
        <w:bidi w:val="0"/>
        <w:spacing w:before="0" w:after="240"/>
        <w:jc w:val="both"/>
        <w:rPr/>
      </w:pPr>
      <w:r>
        <w:rPr>
          <w:rFonts w:ascii="Times New Roman" w:hAnsi="Times New Roman"/>
          <w:color w:val="000000"/>
          <w:sz w:val="22"/>
          <w:u w:val="single"/>
        </w:rPr>
        <w:t>Fractional Shares; Fractional Share Interests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the provisions of Section 6(n)(ii) hereof in connection with Fractional Share Interest transactions facilitated by the Company’s designated Plan broker, no fractional Shares shall be issued by the Company and in no event shall certificates representing fractional Shares be delivered to a Participant under any circumstances. Where the Committee has determined that Fractional Share Interests (as authorized under Section 6(n)(ii) hereof) will not be credited to a Participant’s stock account, the Committee shall determine, in its discretion, whether cash shall be paid in lieu of fractional Shares that vest or whether such fractional Shares shall be eliminated by rounding up or down as appropriate.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Awards over Fractional Share Interests may be granted and Fractional Share Interests may be credited to a Participant’s stock account through an arrangement facilitated by the Company’s designated Plan broker if and to the extent determined by the Committee. To the extent the Committee has determined that Fractional Share Interests may be granted and/or credited to a Participant’s stock account pursuant to this Section 6(n)(ii), the terms of the Award providing for the issuance of Fractional Share Interests shall be consistent with the general provisions applicable to an Award as set forth herein (including the provisions set forth in Section 7), and the Award Agreement evidencing such Award shall specify the rights the Participant shall have as a stockholder with respect to Shares underlying the Fractional Share Interests subject to the Award. Without limiting the foregoing and notwithstanding anything to the contrary in Section 7(a)(iii) or 15 hereof, the Committee may authorize the withholding of less than a whole Share or of a Fractional Share Interest or the sale of less than a whole Share or of a Fractional Share Interest subject to the Award to satisfy (1) any withholding obligations for Tax-Related Items pursuant to Section 15 and/or (2) the payment of the exercise price of an Option pursuant to Section 7(a)(iii) hereof, some of which of the foregoing transactions may result in the crediting of Fractional Share Interests to a Participant’s stock account.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pPr>
      <w:r>
        <w:rPr>
          <w:rFonts w:ascii="Times New Roman" w:hAnsi="Times New Roman"/>
          <w:color w:val="000000"/>
          <w:sz w:val="22"/>
          <w:u w:val="single"/>
        </w:rPr>
        <w:t>Limitations Applicable to Section 16 Persons</w:t>
      </w:r>
      <w:r>
        <w:rPr>
          <w:rFonts w:ascii="Times New Roman" w:hAnsi="Times New Roman"/>
          <w:color w:val="000000"/>
          <w:sz w:val="22"/>
        </w:rPr>
        <w:t xml:space="preserve">. Notwithstanding any other provision of the Plan,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under the Exchange Act) that are requirements for the application of such exemptive rule. The Plan and Awards granted or awarded hereunder shall be deemed amended to the extent necessary to conform to such applicable exemptive rule.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w:t>
      </w:r>
    </w:p>
    <w:p>
      <w:pPr>
        <w:pStyle w:val="TextBody"/>
        <w:bidi w:val="0"/>
        <w:spacing w:before="0" w:after="240"/>
        <w:jc w:val="both"/>
        <w:rPr/>
      </w:pPr>
      <w:r>
        <w:rPr>
          <w:rFonts w:ascii="Times New Roman" w:hAnsi="Times New Roman"/>
          <w:color w:val="000000"/>
          <w:sz w:val="22"/>
          <w:u w:val="single"/>
        </w:rPr>
        <w:t>Compliance with Government and Other Regulations</w:t>
      </w:r>
      <w:r>
        <w:rPr>
          <w:rFonts w:ascii="Times New Roman" w:hAnsi="Times New Roman"/>
          <w:color w:val="000000"/>
          <w:sz w:val="22"/>
        </w:rPr>
        <w:t>. The obligation of the Company to make payment of Awards in Shares, Fractional Share Interests or otherwise shall be subject to all applicable securities and exchange control laws, rules, and regulations of Ireland and the U.S. and jurisdictions outside of Ireland and the U.S., and to such approvals by government agencies, including government agencies in jurisdictions outside of Ireland and the U.S., in each case as may be required or as the Company deems necessary or advisable. Without limiting the foregoing, the Company shall have no obligation to issue or deliver evidence of title for Shares or evidence of crediting of Fractional Share Interests subject to Awards granted hereunder prior to: (i) obtaining any approvals from governmental agencies that the Company determines are necessary or advisable, (ii) completion of any registration or other qualification with respect to the Shares under any applicable securities and exchange control law in Ireland or the U.S. or in a jurisdiction outside of Ireland or the U.S. or ruling of any governmental body that the Company determines to be necessary or advisable or at a time when any such registration or qualification is not current, has been suspended or otherwise has ceased to be effective, or (iii) confirming, with advice of counsel, that the issuance or delivery is in compliance with all applicable securities and exchange control laws, regulations of governmental authorities and, if applicable, the requirements of any securities exchange on which the Shares are listed or traded. The Committee may require that a Participant make such reasonable covenants, agreements, and representations as the Committee, in its discretion, deems advisable to comply with applicable securities and exchange control laws, rules, and regulations of Ireland and the U.S. and jurisdictions outside of Ireland and the U.S.. The Committee shall have the right to require any Participant to comply with any timing or other restrictions with respect to the settlement or exercise of any Award, including a window-period limitation, as may be imposed in the discretion of the Committee.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The Company shall be under no obligation to register Shares issued or paid pursuant to the Plan under the Securities Act. If the Shares paid pursuant to the Plan may in certain circumstances be exempt from registration pursuant to the Securities Act, the Company may restrict the transfer of such Shares in such manner as it deems advisable to ensure the availability of any such exemption.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(q)</w:t>
      </w:r>
    </w:p>
    <w:p>
      <w:pPr>
        <w:pStyle w:val="TextBody"/>
        <w:bidi w:val="0"/>
        <w:spacing w:before="0" w:after="240"/>
        <w:jc w:val="both"/>
        <w:rPr/>
      </w:pPr>
      <w:r>
        <w:rPr>
          <w:rFonts w:ascii="Times New Roman" w:hAnsi="Times New Roman"/>
          <w:color w:val="000000"/>
          <w:sz w:val="22"/>
          <w:u w:val="single"/>
        </w:rPr>
        <w:t>No Representations or Covenants with Respect to Tax Qualification</w:t>
      </w:r>
      <w:r>
        <w:rPr>
          <w:rFonts w:ascii="Times New Roman" w:hAnsi="Times New Roman"/>
          <w:color w:val="000000"/>
          <w:sz w:val="22"/>
        </w:rPr>
        <w:t>. Although the Company may endeavor to (1) qualify an Award for favorable tax treatment under the laws of Ireland, the U.S. or jurisdictions outside of the U.S. (e.g., Incentive Stock Options under Section 422 of the Code or tax-favored schemes in Ireland or the United Kingdom) or (2) avoid adverse tax treatment (e.g., under Section 409A of the Code), the Company makes no representation to that effect and expressly disavows any covenant to maintain favorable or avoid unfavorable tax treatment, anything to the contrary in the Plan, including Section 16, notwithstanding, and the Company will have no liability to a Participant or any other party if a payment under an Award that is intended to benefit from favorable tax treatment or avoid adverse tax treatment does not receive favorable tax treatment or is subject to adverse tax treatment or for any action taken by the Committee with respect to the Award. The Company shall be unconstrained in its corporate activities without regard to the potential negative tax impact on holders of Awards under the Plan.</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7.</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AWARDS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From time to time, the Committee will determine the forms and amounts of Awards for Participants. Such Awards may take the following forms in the Committee’s sole discretion; </w:t>
      </w:r>
      <w:r>
        <w:rPr>
          <w:rFonts w:ascii="Times New Roman" w:hAnsi="Times New Roman"/>
          <w:i/>
          <w:color w:val="000000"/>
          <w:sz w:val="22"/>
        </w:rPr>
        <w:t>provided, however</w:t>
      </w:r>
      <w:r>
        <w:rPr>
          <w:rFonts w:ascii="Times New Roman" w:hAnsi="Times New Roman"/>
          <w:color w:val="000000"/>
          <w:sz w:val="22"/>
        </w:rPr>
        <w:t>, that in no event shall the Exercise Price or purchase price of any Share and/or Fractional Share Interest to be acquired pursuant to an Award be less than the Nominal Value. For the avoidance of doubt, the Exercise Price or purchase price of any Fractional Share Interest acquired pursuant to an Award shall equal at least the Nominal Value of a whole Share.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Share Options</w:t>
      </w:r>
      <w:r>
        <w:rPr>
          <w:rFonts w:ascii="Times New Roman" w:hAnsi="Times New Roman"/>
          <w:color w:val="000000"/>
          <w:sz w:val="22"/>
        </w:rPr>
        <w:t>. The Committee is authorized to grant Options to Eligible Individuals on the following terms and conditions and such additional terms and conditions as may be specified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Exercise Price</w:t>
      </w:r>
      <w:r>
        <w:rPr>
          <w:rFonts w:ascii="Times New Roman" w:hAnsi="Times New Roman"/>
          <w:color w:val="000000"/>
          <w:sz w:val="22"/>
        </w:rPr>
        <w:t xml:space="preserve">. The Exercise Price per Share subject to an Option shall be determined by the Committee and set forth in the Award Agreement but shall be no less than the higher of (A) 100% of the Fair Market Value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 xml:space="preserve">per Share and (B) the Nominal Value of the Shares or such higher price as required by Irish law on the date of grant, and if the Option is intended to be an Incentive Stock Option, the Exercise Price shall comply with Section 7(a)(iv)(A);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if an Option is granted pursuant to a sub-plan adopted by the Committee to non-U.S. taxpayer employees outside of the U.S., the Committee may establish an exercise price that complies with the requirements of local tax law as long as such price is not less than Nominal Value of the Share or such higher price required by Irish law.</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Time and Conditions of Exercise</w:t>
      </w:r>
      <w:r>
        <w:rPr>
          <w:rFonts w:ascii="Times New Roman" w:hAnsi="Times New Roman"/>
          <w:color w:val="000000"/>
          <w:sz w:val="22"/>
        </w:rPr>
        <w:t xml:space="preserve">. Subject to the minimum vesting conditions of Section 6(k), the Committee shall determine the time or times at which an Option may be exercised in whole or in part;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the term of any Option granted under the Plan shall not exceed ten years. The Committee shall also determine the performance or other conditions, if any, that must be satisfied before all or part of an Option may be exercised.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Payment of Exercise Price</w:t>
      </w:r>
      <w:r>
        <w:rPr>
          <w:rFonts w:ascii="Times New Roman" w:hAnsi="Times New Roman"/>
          <w:color w:val="000000"/>
          <w:sz w:val="22"/>
        </w:rPr>
        <w:t xml:space="preserve">. The Committee shall determine the methods by which the Exercise Price of an Option and applicable withholding of Tax-Related Items (as further set forth in Section 15 hereof) may be paid and the form of payment, as shall be set forth in the Participant’s Award Agreement, including, without limitation (and as further modified by Section 6(n) hereof): (a) cash or check, (b) surrender of Shares or delivery of a properly executed form of attestation of ownership of Shares as the Committee may require (including withholding of Shares otherwise deliverable upon exercise or payment of the Award) which have a Fair Market Value on the date of surrender or attestation equal to the aggregate Exercise Price of the Shares as to which the Award shall be exercised, (c) promissory note bearing interest at no less than such rate as shall then preclude the imputation of interest under the Code), (d) other property acceptable to the Committee (including through the delivery of a notice that the Participant has placed a market sell order with a broker with respect to Shares then issuable upon exercise of the Option, and that the broker has been directed to pay a sufficient portion of the net proceeds of the sale of Shares to the Company in satisfaction of the Exercise Price and applicable withholding of Tax-Related Items;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payment of such proceeds is then made to the Company upon settlement of such sale), (e) by a “net exercise” arrangement pursuant to which the number of Shares issuable upon exercise of the Option shall be reduced by the largest whole number of Shares having an aggregate Fair Market Value that does not exceed the aggregate Exercise Price (plus Tax-Related Items withholdings, if applicable) and any remaining balance of the aggregate Exercise Price (and/or applicable Tax-Related Items withholdings) not satisfied by such reduction in the number of whole Shares to be issued shall be paid by Participant in cash or other form of payment approved by the Committee. The Committee shall also determine the methods by which Shares shall be delivered or deemed to be delivered to Participants. Notwithstanding any other provision of the Plan to the contrary, no Participant who is a Director or an “executive officer” of the Company within the meaning of Section 13(k) of the Exchange Act shall be permitted to pay the Exercise Price of an Option, or continue any extension of credit with respect to the Exercise Price of an Option with a loan from the Company or a loan arranged by the Company in violation of Section 13(k) of the Exchange Act.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Incentive Stock Options</w:t>
      </w:r>
      <w:r>
        <w:rPr>
          <w:rFonts w:ascii="Times New Roman" w:hAnsi="Times New Roman"/>
          <w:color w:val="000000"/>
          <w:sz w:val="22"/>
        </w:rPr>
        <w:t xml:space="preserve">. Incentive Stock Options shall be granted only to Employees of the Company or any Subsidiary and the terms of any ISOs granted pursuant to the Plan, in addition to the requirements of Section 7 hereof, must comply with the provisions of this Section 7(a)(iv).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Exercise Price</w:t>
      </w:r>
      <w:r>
        <w:rPr>
          <w:rFonts w:ascii="Times New Roman" w:hAnsi="Times New Roman"/>
          <w:color w:val="000000"/>
          <w:sz w:val="22"/>
        </w:rPr>
        <w:t xml:space="preserve">. An ISO shall be granted at an Exercise Price that is not less than 100% of Fair Market Value of a Share on the date of grant. An ISO may be granted to any Employee who, at the date of grant, owns shares possessing more than ten percent of the total combined voting power of all classes of shares of the Company only if such Option is granted at an Exercise Price that is not less than 110% of Fair Market Value of a Share on the date of grant and the Option is exercisable for no more than five years from the date of grant.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Expiration</w:t>
      </w:r>
      <w:r>
        <w:rPr>
          <w:rFonts w:ascii="Times New Roman" w:hAnsi="Times New Roman"/>
          <w:color w:val="000000"/>
          <w:sz w:val="22"/>
        </w:rPr>
        <w:t xml:space="preserve">. Subject to Section 7(a)(iv)(A), an ISO shall expire and may not be exercised to any extent by anyone after the first to occur of the following events: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Ten years from the date it is granted, unless an earlier time is set in the Award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Three months after the Participant’s Termination of Service as an Employee;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One year after the date of the Participant’s Termination of Service on account of Permanent Disability or death. Upon the Participant’s Permanent Disability or death, any ISOs exercisable at the Participant’s Permanent Disability or death may be exercised by the Participant’s legal representative or representatives, by the person or persons entitled to do so pursuant to the Participant’s last will and testament, or, if the Participant fails to make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testamentary disposition of such ISO or dies intestate, by the person or persons entitled to receive the ISO pursuant to the applicable laws of intestacy.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Dollar Limitation</w:t>
      </w:r>
      <w:r>
        <w:rPr>
          <w:rFonts w:ascii="Times New Roman" w:hAnsi="Times New Roman"/>
          <w:color w:val="000000"/>
          <w:sz w:val="22"/>
        </w:rPr>
        <w:t>. The aggregate Fair Market Value (determined as of the time the Option is granted) of all Shares with respect to which ISOs are first exercisable by a Participant in any calendar year may not exceed (U.S.)$100,000 or such other limitation as imposed by Section 422(d) of the Code, or any successor provision. To the extent that ISOs are first exercisable by a Participant in excess of such limitation, the excess shall be considered a non-qualified share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Notice of Disposition</w:t>
      </w:r>
      <w:r>
        <w:rPr>
          <w:rFonts w:ascii="Times New Roman" w:hAnsi="Times New Roman"/>
          <w:color w:val="000000"/>
          <w:sz w:val="22"/>
        </w:rPr>
        <w:t xml:space="preserve">. The Participant shall give the Company prompt notice of any disposition of Shares acquired by exercise of an ISO within (i) two years from the date of grant of such ISO or (ii) one year after the issue or transfer of such Shares to the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Right to Exercise</w:t>
      </w:r>
      <w:r>
        <w:rPr>
          <w:rFonts w:ascii="Times New Roman" w:hAnsi="Times New Roman"/>
          <w:color w:val="000000"/>
          <w:sz w:val="22"/>
        </w:rPr>
        <w:t xml:space="preserve">. During a Participant’s lifetime, an ISO may be exercised only by the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Failure to Meet Requirements</w:t>
      </w:r>
      <w:r>
        <w:rPr>
          <w:rFonts w:ascii="Times New Roman" w:hAnsi="Times New Roman"/>
          <w:color w:val="000000"/>
          <w:sz w:val="22"/>
        </w:rPr>
        <w:t>. Any Option (or portion thereof) purported to be an ISO, which, for any reason, fails to meet the requirements of Section 422 of the Code shall be considered a non-qualified share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40"/>
        <w:jc w:val="both"/>
        <w:rPr/>
      </w:pPr>
      <w:r>
        <w:rPr>
          <w:rFonts w:ascii="Times New Roman" w:hAnsi="Times New Roman"/>
          <w:i/>
          <w:color w:val="000000"/>
          <w:sz w:val="22"/>
        </w:rPr>
        <w:t>Substitution of SARs</w:t>
      </w:r>
      <w:r>
        <w:rPr>
          <w:rFonts w:ascii="Times New Roman" w:hAnsi="Times New Roman"/>
          <w:color w:val="000000"/>
          <w:sz w:val="22"/>
        </w:rPr>
        <w:t xml:space="preserve">. The Committee may provide in the Award Agreement evidencing the grant of an Option that the Committee, in its sole discretion, shall have the right to substitute a SAR for such Option at any time prior to or upon exercise of such Option; </w:t>
      </w:r>
      <w:r>
        <w:rPr>
          <w:rFonts w:ascii="Times New Roman" w:hAnsi="Times New Roman"/>
          <w:i/>
          <w:color w:val="000000"/>
          <w:sz w:val="22"/>
        </w:rPr>
        <w:t>provided,</w:t>
      </w:r>
      <w:r>
        <w:rPr>
          <w:color w:val="000000"/>
        </w:rPr>
        <w:t xml:space="preserve"> </w:t>
      </w:r>
      <w:r>
        <w:rPr>
          <w:rFonts w:ascii="Times New Roman" w:hAnsi="Times New Roman"/>
          <w:color w:val="000000"/>
          <w:sz w:val="22"/>
        </w:rPr>
        <w:t>that such substitution complies with Section 13 of this Plan and that the SAR shall be exercisable with respect to the same number of Shares for which such substituted Option would have been exercisable.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Restricted Shares</w:t>
      </w:r>
      <w:r>
        <w:rPr>
          <w:rFonts w:ascii="Times New Roman" w:hAnsi="Times New Roman"/>
          <w:color w:val="000000"/>
          <w:sz w:val="22"/>
        </w:rPr>
        <w:t xml:space="preserve">. The Committee is authorized to make awards of Restricted Shares to any Eligible Individual selected by the Committee in such amounts and subject to such terms and conditions as determined by the Committee. Unless otherwise provided in the Award Agreement and Section 6(n) hereof, beginning on the date of grant of the Restricted Share Award and subject to execution of the Award Agreement, the Participant shall become a shareholder of the Company with respect to all Shares subject to the Restricted Share Awards and shall have all of the rights of a shareholder, including the right to vote such Shares and the right to receive distributions made with respect to such Shares.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Purchase Price</w:t>
      </w:r>
      <w:r>
        <w:rPr>
          <w:rFonts w:ascii="Times New Roman" w:hAnsi="Times New Roman"/>
          <w:color w:val="000000"/>
          <w:sz w:val="22"/>
        </w:rPr>
        <w:t xml:space="preserve">. At the time of the grant of Restricted Shares, the Committee shall determine the price, if any, to be paid by the Participant for each Share subject to the Restricted Shares Award. The price to be paid by the Participant for each Share subject to the Restricted Shares shall not be less than the Nominal Value of a Share (or such higher amount required by applicable Irish law). The purchase price of Shares acquired pursuant to Restricted Shares Award shall be paid by a non-Irish incorporated Subsidiary on behalf of the Participant designated by the Committee or by the Participant through one or more of the following methods (a) in cash or (b) in any other form of legal consideration that may be acceptable to the Committee in its sole discretion and in compliance with applicable Irish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Issuance, Vesting and Restrictions</w:t>
      </w:r>
      <w:r>
        <w:rPr>
          <w:rFonts w:ascii="Times New Roman" w:hAnsi="Times New Roman"/>
          <w:color w:val="000000"/>
          <w:sz w:val="22"/>
        </w:rPr>
        <w:t>. Subject to the minimum vesting conditions of Section 6(k), the Committee shall determine the vesting or other conditions, if any, and such other restrictions on transferability and other restrictions to which Restricted Shares may or may not be subject (including, without limitation, limitations on the right to vote Restricted Shares or the right to receive dividends on the Restricted Shares). To the extent Restricted Shares are subject to vesting, dividends shall be accumulated and subject to any restrictions and risk of forfeiture to which the underlying Restricted Shares are subject and the Participant shall not be entitled to the dividends until the vesting conditions of the Award have been met.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Forfeiture</w:t>
      </w:r>
      <w:r>
        <w:rPr>
          <w:rFonts w:ascii="Times New Roman" w:hAnsi="Times New Roman"/>
          <w:color w:val="000000"/>
          <w:sz w:val="22"/>
        </w:rPr>
        <w:t xml:space="preserve">. Except as otherwise determined by the Committee at the time of the grant of the Award or thereafter, upon Termination of Service during the applicable restriction period, Restricted Shares that are at that time subject to restrictions shall be forfeited; </w:t>
      </w:r>
      <w:r>
        <w:rPr>
          <w:rFonts w:ascii="Times New Roman" w:hAnsi="Times New Roman"/>
          <w:i/>
          <w:color w:val="000000"/>
          <w:sz w:val="22"/>
        </w:rPr>
        <w:t>provided, however</w:t>
      </w:r>
      <w:r>
        <w:rPr>
          <w:rFonts w:ascii="Times New Roman" w:hAnsi="Times New Roman"/>
          <w:color w:val="000000"/>
          <w:sz w:val="22"/>
        </w:rPr>
        <w:t xml:space="preserve">, that the Committee may, subject to the minimum vesting conditions of Section 6(k), (a) provide in any Award Agreement that restrictions or forfeiture conditions relating to Restricted Shares will be waived in whole or in part in the event of Terminations of Service resulting from specified causes, and (b) in other cases waive in whole or in part restrictions or forfeiture conditions relating to Restricted Shares.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Restrictive Legend</w:t>
      </w:r>
      <w:r>
        <w:rPr>
          <w:rFonts w:ascii="Times New Roman" w:hAnsi="Times New Roman"/>
          <w:color w:val="000000"/>
          <w:sz w:val="22"/>
        </w:rPr>
        <w:t xml:space="preserve">. Restricted Shares granted pursuant to the Plan may be evidenced in such manner as the Committee shall determine. If certificates representing shares of Restricted Shares are issued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color w:val="000000"/>
          <w:sz w:val="22"/>
          <w:u w:val="single"/>
        </w:rPr>
        <w:t>Share Appreciation Rights</w:t>
      </w:r>
      <w:r>
        <w:rPr>
          <w:rFonts w:ascii="Times New Roman" w:hAnsi="Times New Roman"/>
          <w:color w:val="000000"/>
          <w:sz w:val="22"/>
        </w:rPr>
        <w:t>. The Committee is authorized to grant Share Appreciation Rights, or SARs, to Eligible Individuals on the following terms and conditions and such additional terms and conditions as may be specified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Exercise Price</w:t>
      </w:r>
      <w:r>
        <w:rPr>
          <w:rFonts w:ascii="Times New Roman" w:hAnsi="Times New Roman"/>
          <w:color w:val="000000"/>
          <w:sz w:val="22"/>
        </w:rPr>
        <w:t xml:space="preserve">. The Exercise Price per Share subject to a SAR shall be determined by the Committee and set forth in the Award Agreement but shall be no less than the higher of (A) 100% of the Fair Market Value per Share and (B) the Nominal Value of the Shares or such higher price as required by Irish law on the date of grant.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Time and Conditions of Exercise</w:t>
      </w:r>
      <w:r>
        <w:rPr>
          <w:rFonts w:ascii="Times New Roman" w:hAnsi="Times New Roman"/>
          <w:color w:val="000000"/>
          <w:sz w:val="22"/>
        </w:rPr>
        <w:t xml:space="preserve">. Subject to the minimum vesting conditions of Section 6(k), the Committee shall determine the time or times at which a SAR may be exercised in whole or in part;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the term of any SAR granted under the Plan shall not exceed ten years. The Committee shall also determine the performance or other conditions, if any, that must be satisfied before all or part of a SAR may be exercised.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Payment and Limitations on Exercise</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SAR shall entitle the Participant (or other person entitled to exercise the SAR pursuant to the Plan) to exercise all or a specified portion of the SAR (to the extent then exercisable pursuant to its terms) and to receive from the Company an amount equal to the product of (i) the excess of (A) the Fair Market Value of the Shares on the date the SAR is exercised over (B) the Exercise Price of the SAR and (ii) the number of Shares with respect to which the SAR is exercised, less applicable withholding of Tax-Related Items (as further set forth in Section 15), subject to any limitations the Committee may impose.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Payment of the amounts determined under Section 7(c)(iii) hereof shall be in cash, in Shares (based on the Fair Market Value of the Shares as of the date the SAR is exercised) or a combination of both, as determined by the Committee and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color w:val="000000"/>
          <w:sz w:val="22"/>
          <w:u w:val="single"/>
        </w:rPr>
        <w:t>Restricted Share Units</w:t>
      </w:r>
      <w:r>
        <w:rPr>
          <w:rFonts w:ascii="Times New Roman" w:hAnsi="Times New Roman"/>
          <w:color w:val="000000"/>
          <w:sz w:val="22"/>
        </w:rPr>
        <w:t>. The Committee is authorized to award Restricted Share Units to any Eligible Individual selected by the Committee in such amounts and subject to such terms and conditions as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i/>
          <w:color w:val="000000"/>
          <w:sz w:val="22"/>
        </w:rPr>
        <w:t>Vesting Conditions</w:t>
      </w:r>
      <w:r>
        <w:rPr>
          <w:rFonts w:ascii="Times New Roman" w:hAnsi="Times New Roman"/>
          <w:color w:val="000000"/>
          <w:sz w:val="22"/>
        </w:rPr>
        <w:t xml:space="preserve">. A Participant receiving a Restricted Share Unit Award shall not possess the rights of a shareholder of the Company with respect to such grant until the Restricted Share Units are settled and the Shares subject to the Restricted Share Units have been issued to the Participant. Subject to the minimum vesting conditions of Section 6(k), the Committee shall specify the date or dates on which the Restricted Share Units shall become fully vested and nonforfeitable, and may specify such conditions to vesting as it deems appropriate. The vesting conditions may be based on the passage of time and/or the attainment of Performance Goals.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pPr>
      <w:r>
        <w:rPr>
          <w:rFonts w:ascii="Times New Roman" w:hAnsi="Times New Roman"/>
          <w:i/>
          <w:color w:val="000000"/>
          <w:sz w:val="22"/>
        </w:rPr>
        <w:t>Purchase Price</w:t>
      </w:r>
      <w:r>
        <w:rPr>
          <w:rFonts w:ascii="Times New Roman" w:hAnsi="Times New Roman"/>
          <w:color w:val="000000"/>
          <w:sz w:val="22"/>
        </w:rPr>
        <w:t xml:space="preserve">. At the time of the grant of Restricted Shares Units, the Committee shall determine the price, if any, to be paid by the Participant for each Share subject to the Restricted Shares Units. The price to be paid by the Participant for each Share subject to the Restricted Shares Units Awards shall not be less than the Nominal Value of a Share (or such higher amount required by applicable Irish law). The purchase price of Shares acquired pursuant to the Restricted Share Unit Award shall be paid by a non-Irish incorporated Subsidiary on behalf of the Participant as designated by the Committee or by the Participant through one or more of the following methods (a) in cash or (b) in any other form of legal consideration that may be acceptable to the Committee in its sole discretion and in compliance with applicable Irish law.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i/>
          <w:color w:val="000000"/>
          <w:sz w:val="22"/>
        </w:rPr>
        <w:t>Form and Time of Settlement</w:t>
      </w:r>
      <w:r>
        <w:rPr>
          <w:rFonts w:ascii="Times New Roman" w:hAnsi="Times New Roman"/>
          <w:color w:val="000000"/>
          <w:sz w:val="22"/>
        </w:rPr>
        <w:t xml:space="preserve">. The Committee shall specify the settlement date applicable to each grant of Restricted Share Units which shall be no earlier than the vesting date, or it may be deferred to any later date, subject to compliance with Section 409A of the Code in the case of Restricted Share Units granted to a U.S. Taxpayer, as applicable. On the settlement date, subject to satisfaction of applicable Tax-Related Items withholding (as further set forth in Section 15), the Company shall issue or transfer to the Participant one Share for each Restricted Share Unit scheduled to be paid out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such date and not previously forfeited. Alternatively, settlement of a Restricted Share Unit may be made in cash (in an amount reflecting the Fair Market Value of Shares that would have been issued) or any combination of cash and Shares, as determined by the Committee, in its sole discretion, in either case less applicable withholding of Tax-Related Items (as further set forth in Section 15). Until a Restricted Share Unit is settled, the number of Restricted Share Units shall be subject to adjustment pursuant to Section 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pPr>
      <w:r>
        <w:rPr>
          <w:rFonts w:ascii="Times New Roman" w:hAnsi="Times New Roman"/>
          <w:i/>
          <w:color w:val="000000"/>
          <w:sz w:val="22"/>
        </w:rPr>
        <w:t>General Creditors</w:t>
      </w:r>
      <w:r>
        <w:rPr>
          <w:rFonts w:ascii="Times New Roman" w:hAnsi="Times New Roman"/>
          <w:color w:val="000000"/>
          <w:sz w:val="22"/>
        </w:rPr>
        <w:t>. A Participant who has been granted Restricted Share Units shall have no rights other than those of a general unsecured creditor of the Company. Restricted Share Units represent an unfunded and unsecured obligation of the Company, subject to the terms and conditions of the applicable Award Agreement evidencing the grant of the Restricted Share Units.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color w:val="000000"/>
          <w:sz w:val="22"/>
          <w:u w:val="single"/>
        </w:rPr>
        <w:t>Other Share-Based Awards</w:t>
      </w:r>
      <w:r>
        <w:rPr>
          <w:rFonts w:ascii="Times New Roman" w:hAnsi="Times New Roman"/>
          <w:color w:val="000000"/>
          <w:sz w:val="22"/>
        </w:rPr>
        <w:t xml:space="preserve">. The Committee may make other Awards under the Plan pursuant to which Ordinary Shares or other equity securities of the Company are or may in the future be acquired, or Awards denominated in Share units, including units valued using measures other than Fair Market Value. Share-Based Awards may be granted with or without consideration from the Participant, provided that the Award may not be granted with a purchase price less than the Nominal Value per Share subject to the Share-Based Award. Subject to the minimum vesting conditions of Section 6(k), Share-Based Awards may be subject to vesting conditions or may be granted free of vesting conditions, transfer restrictions and forfeiture conditions. Should Ordinary Shares be issued on the vesting of a Share-Based Award in circumstances where they are not otherwise fully paid up, the Committee may require the Participant to pay the aggregate Nominal Value of such Ordinary Shares on the basis that such Ordinary Shares shall then be allotted as fully paid to the Participant.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color w:val="000000"/>
          <w:sz w:val="22"/>
          <w:u w:val="single"/>
        </w:rPr>
        <w:t>Entitlement to Dividend Equivalent Rights</w:t>
      </w:r>
      <w:r>
        <w:rPr>
          <w:rFonts w:ascii="Times New Roman" w:hAnsi="Times New Roman"/>
          <w:color w:val="000000"/>
          <w:sz w:val="22"/>
        </w:rPr>
        <w:t xml:space="preserve">. Subject to complying with Section 409A of the Code and the provisions of the Plan, including, without limitation Section 11, and any Award Agreement, the recipient of a Full-Value Award may, if so determined by the Committee, be entitled to receive, a Dividend Equivalent Right, cash, Shares, Fractional Share Interests or other property with respect to the number of Shares and/or Fractional Share Interests covered by the Award, as determined by the Committee, in its sole discretion. The right of U.S. Taxpayers to receive Dividend Equivalent Rights or other dividends or payments shall be treated as a separate Award and such Dividend Equivalent Rights or other dividends or payments for such U.S. Taxpayers, if any, shall be credited to a notional account maintained by the Company or paid, as of the dividend payment dates during the period between the date of grant and the date the Award is exercised, vested, expired, credited or paid, as applicable and shall be subject to such limitations as may be determined by the Committee. To the extent the Full-Value Award (other than Restricted Shares) is subject to vesting (based on the passage of time and/or the attainment of Performance Goals), any Dividend Equivalent Right shall be accumulated subject to restrictions and subject to a risk of forfeiture to the same extent as the underlying Full-Value Award (the Dividend Equivalent Right shall not become payable prior to the time that the underlying Full-Value Award vests). The Committee may provide that Dividend Equivalent Rights shall be deemed to have been reinvested in additional Shares and/or Fractional Share Interests or Full-Value Awards. For the avoidance of uncertainty, no dividends or Dividend Equivalent rights shall be granted or otherwise become payable with respect to Options or Share Appreciation Rights.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8.</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GRANTS TO NON-EMPLOYEE DIRECTORS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Eligibility</w:t>
      </w:r>
      <w:r>
        <w:rPr>
          <w:rFonts w:ascii="Times New Roman" w:hAnsi="Times New Roman"/>
          <w:color w:val="000000"/>
          <w:sz w:val="22"/>
        </w:rPr>
        <w:t xml:space="preserve">. From time to time, the Committee will determine the forms and amounts of Awards for Non-Employee Directors. Such Awards may take the following forms: Options, SARs, Restricted Shares, Restricted Share Units, or any other right or benefit, including any other Share-Based Award pursuant to the Plan in the Committee’s sole discretion; </w:t>
      </w:r>
      <w:r>
        <w:rPr>
          <w:rFonts w:ascii="Times New Roman" w:hAnsi="Times New Roman"/>
          <w:i/>
          <w:color w:val="000000"/>
          <w:sz w:val="22"/>
        </w:rPr>
        <w:t>provided, however</w:t>
      </w:r>
      <w:r>
        <w:rPr>
          <w:rFonts w:ascii="Times New Roman" w:hAnsi="Times New Roman"/>
          <w:color w:val="000000"/>
          <w:sz w:val="22"/>
        </w:rPr>
        <w:t xml:space="preserve">, that in no event shall the Exercise Price or purchase price of any Award be less than the Nominal Value of the Shares. Awards subject to this Section 8 shall be granted only to Non-Employee Directors. In no event, however, may any Non-Employee Director be granted any Awards under this Section 8 if such Award is (a) prohibited, or (b) restricted (either absolutely or subject to various securities requirements, whether legal or administrative, being complied with), in the jurisdiction in which such Non-Employee Director is resident under the relevant securities laws of that jurisdiction.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Vesting and Exercisability</w:t>
      </w:r>
      <w:r>
        <w:rPr>
          <w:rFonts w:ascii="Times New Roman" w:hAnsi="Times New Roman"/>
          <w:color w:val="000000"/>
          <w:sz w:val="22"/>
        </w:rPr>
        <w:t xml:space="preserve">. Subject to the minimum vesting conditions of Section 6(k), each Award will vest and/or become exercisable according to the terms set forth by the Committee in the applicable Award Agreement. </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9.</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FORFEITURE OR CLAWBACK OF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Notwithstanding anything to the contrary contained herein, an Award Agreement may provide that the Award shall be forfeited or canceled if the Participant, without the consent of the Company, while employed by any member of the WTW Group or, if applicable, a Designated Associate Company or after Termination of Service, establishes a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2"/>
        </w:rPr>
        <w:t>relationship with a competitor of any member of the WTW Group or, if applicable, a Designated Associate Company or engages in activity that is in conflict with or adverse to the interest of any member of the WTW Group or, if applicable, a Designated Associate Company (including conduct contributing to financial restatements, material noncompliance in the financial reports requirements or irregularities), as determined by the Committee in its sole discretion. The Committee may provide in an Award Agreement that if within the time period specified in the Award Agreement the Participant establishes a relationship with a competitor or engages in an activity referred to in the preceding sentence, the Participant will forfeit any gain realized on the vesting or exercise of the Award and must repay such gain to the Company.</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Section 9(a), any Award Agreement evidencing Awards to an Eligible Individual shall provide for repayment on forfeiture as the Committee deems necessary or desirable in order to facilitate compliance with the requirement of the U.S. Securities and Exchange Commission or any applicable securities law, including the requirements of the U.S. Dodd-Frank Wall Street Reform and Consumer Protection Act, or any securities exchange on which the Shares are listed or traded, as may be in effect from time to time, or any other similar policy adopted by the Board or the Committee. Further, to the extent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10.</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TRANSFERS AND LEAVES OF ABSENCE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purposes of the Plan, unless the Committee determines otherwise: (a) a transfer of a Participant’s employment without an intervening period of separation among a member of the WTW Group and any Subsidiary or any Designated Associate Company shall not be deemed a Termination of Service, subject to Section 409A of the Code in the case of an Award subject to Section 409A of the Code that is granted to a U.S. Taxpayer and (b) unless provided otherwise in an Award Agreement, a Participant who is granted in writing a leave of absence shall be deemed to have remained in the employ of any member of the WTW Group or Designated Associate Company during such leave of absence, provided that such leave is for a period of not more than ninety (90) days, unless reemployment upon the expiration of such leave is guaranteed by contract or statute or unless provided otherwise pursuant to formal policy adopted from time to time by the Company and issued and promulgated to Employees in writing. In the case of any Employee on an approved leave of absence, the Committee may make such provisions respecting suspension or reduction of vesting of the Award while on leave from the employ of the WTW Group or a Designated Associate Company as it may deem appropriate, except that in no event may an Option be exercised after the expiration of the term set forth in the applicable Award Agreement. For purposes of Incentive Stock Options, no leave of absence may exceed three (3) months, unless reemployment upon expiration of such leave is guaranteed by statute or has been agreed to by contract or in a written policy of the Company which provides for a right of reemployment following the leave of absence.</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11.</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ADJUSTMENTS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any increase, decrease or change in the number or characteristic of outstanding Ordinary Shares of the Company effected without receipt of consideration by the Company or by reason of a share split, spin-off, share or extraordinary cash dividend, share combination or reclassification, recapitalization or merger, Change of Control, or similar event, the Committee shall substitute or adjust proportionately, as the Committee in its sole discretion deems equitable, (a) the aggregate number and kind of shares that may be issued under the Plan (including, but not limited to, adjustments of the limitations in Section 5); (b) the number and kind of shares (or other securities or property) subject to outstanding Awards; (c) the terms and conditions of any outstanding Awards (including, without limitation, any applicable performance targets or criteria with respect thereto); and (d) the Exercise Price or purchase price per Share and/or Fractional Share Interest for any outstanding Awards under the Plan. Any adjustment affecting an Award that is subject to Section 409A of the Code shall be made consistent with the requirements of Section 409A. An adjustment under this provision may have the effect of reducing the price at which Ordinary Shares and/or Fractional Share Interests may be acquired to less than their Nominal Value (the “Shortfall”), but only if and to the extent that the Committee shall be authorized to capitalize from the reserves of the Company a sum equal to the Shortfall and to apply that sum in paying up that amount on the Ordinary Shares and/or Fractional Share Interests.</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12.</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CHANGE OF CONTROL OR SIMILAR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Unless otherwise provided in an Award Agreement, in the event of a Change of Control in which the successor company or an affiliate assumes, substitutes or otherwise replaces an Award (as further described in Section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12(a)(iii) below), if a Participant’s employment with such successor company (or an affiliate thereof) terminates on an involuntary basis within 24 months following such Change of Control, the following treatment shall apply: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Awards, the vesting of which is conditioned solely on the continued service with the Company, a Subsidiary or a Designated Associate Company: (A) Share Options or SARs outstanding as of the date of such Termination of Services will immediately vest, become fully exercisable, (B) restrictions and deferral limitations on Restricted Share Awards and Restricted Share Units Awards shall lapse and the Restricted Shares and Restricted Share Units shall become free of all restrictions and limitations and become fully vested,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For Awards, the vesting of which is based, in whole or in part, on the attainment of Performance Goals, the restrictions shall lapse and the Award shall become free of all restrictions and limitations and shall vest with respect the target number of Shares subject to the Award; and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For the purposes of this Section 12, an Award shall be considered assumed, substituted for, or replaced if following the Change of Control the Award: (A) confers the right to purchase or receive, for each Share subject to the Award immediately prior to the Change of Control, the consideration (whether shares, cash or property) received in the transaction constituting a Change of Control by holders of Shares for each Share held on the effective date of such transaction (and if holders were offered a choice of consideration, the type of consideration chosen by the holders of a majority of the outstanding shares); </w:t>
      </w:r>
      <w:r>
        <w:rPr>
          <w:rFonts w:ascii="Times New Roman" w:hAnsi="Times New Roman"/>
          <w:i/>
          <w:color w:val="000000"/>
          <w:sz w:val="22"/>
        </w:rPr>
        <w:t>provided, however</w:t>
      </w:r>
      <w:r>
        <w:rPr>
          <w:rFonts w:ascii="Times New Roman" w:hAnsi="Times New Roman"/>
          <w:color w:val="000000"/>
          <w:sz w:val="22"/>
        </w:rPr>
        <w:t>, that if such consideration received in the transaction constituting a Change of Control is not solely ordinary shares or common stock of the successor company, the Committee may, with the consent of the successor company, provide that the consideration to be received upon the exercise or vesting of an Award for each Share and/or Fractional Share Interest subject thereto, will be solely ordinary shares or common stock of the successor company substantially equal in Fair Market Value to the per Share consideration received by holders of Shares in the transaction constituting a Change of Control;</w:t>
      </w:r>
      <w:r>
        <w:rPr>
          <w:color w:val="000000"/>
        </w:rPr>
        <w:t xml:space="preserve"> </w:t>
      </w:r>
      <w:r>
        <w:rPr>
          <w:rFonts w:ascii="Times New Roman" w:hAnsi="Times New Roman"/>
          <w:i/>
          <w:color w:val="000000"/>
          <w:sz w:val="22"/>
        </w:rPr>
        <w:t>provided further, however</w:t>
      </w:r>
      <w:r>
        <w:rPr>
          <w:rFonts w:ascii="Times New Roman" w:hAnsi="Times New Roman"/>
          <w:color w:val="000000"/>
          <w:sz w:val="22"/>
        </w:rPr>
        <w:t>, that the assumed, substituted or replaced Award may provide for the right to receive, for each Fractional Share Interest subject to the Award, a payment in cash based on the Fair Market Value of the Shares underlying the Fractional Share Interest without regard to the form of consideration received in the transaction constituting a Change of Control by holders of Shares; and (B) provides for terms and conditions, including vesting conditions, similar to those that applied to the Award immediately prior to the Change of Control. For the avoidance of doubt, clause (B) in the foregoing sentence means that Awards that are assumed, substituted or replaced shall continue to vest on similar terms and conditions as applied to the Awards immediately prior to the Change of Control if a Participant’s employment with such successor company (or an affiliate thereof) continues without interruption following the Change of Control. The determination of such substantial equality of value of consideration and similarity of terms and conditions shall be made by the Committee in its sole discretion and its determination shall be conclusive and binding.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Unless otherwise provided in an Award Agreement, in the event of a Change of Control in which the successor company or an affiliate does not assume, substitute or otherwise replace an Award the following treatment shall apply: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Awards, the vesting of which is conditioned solely on the continued service with the Company, a Subsidiary or a Designated Associate Company: (A) those Share Options or SARs outstanding as of the date of the Change of Control shall immediately vest and become fully exercisable immediately prior to the Change of Control, (B) restrictions on Restricted Shares and Restricted Shares Units shall lapse and the Restricted Shares and Restricted Shares Units shall become free of all restrictions and limitations and become fully vested immediately prior to the Change of Control, subject to compliance with Section 409A of the Code, and (C) the restrictions and other conditions applicable to any other Share-Based Awards or any other Awards shall lapse, and such other Share-Based Awards or such other Awards, shall become free of all restrictions, limitations or conditions and become fully vested and transferable, subject to compliance with Section 409A of the Code;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Awards, the vesting of which is based, in whole or in part, on the attainment of Performance Goals, the restrictions shall lapse and the Award shall become free of all restrictions and limitations and, immediately prior to the Change of Control, shall vest with respect the target number of Shares and/or Fractional Share Interests subject to the Award.</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its absolute discretion, and on such terms and conditions as it deems appropriate coincident with or after the grant of an Award, the Committee may provide that, upon the occurrence of a Change of Control, each vested Option or SAR outstanding shall terminate within a specified number of days after notice to the Participant, and/or that each Participant shall receive, with respect to each Share and/or Fractional Share Interest subject to such vested Option or SAR an amount equal to the excess of the Fair Market Value of such Share and/or Fractional Share Interest immediately prior to the occurrence of such Change of Control over the Exercise Price per Share and/or Fractional Share Interest of such Option or SAR; such amount to be payable in cash, in one or more kinds of shares or property (including the shares or property, if any, payable in the transaction) or in a combination thereof, as the Committee, in its discretion, shall determine, subject to any notice period set forth in any sub-plan to the Plan to comply with local law.</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13.</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AMENDMENT AND TERMINATION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The Committee shall have the authority to amend or modify the terms and conditions of, or suspend or cancel, any outstanding Award consistent with the Plan. The Board or Committee may amend, suspend or terminate the Plan at any time, </w:t>
      </w:r>
      <w:r>
        <w:rPr>
          <w:rFonts w:ascii="Times New Roman" w:hAnsi="Times New Roman"/>
          <w:i/>
          <w:color w:val="000000"/>
          <w:sz w:val="22"/>
        </w:rPr>
        <w:t>provided, however</w:t>
      </w:r>
      <w:r>
        <w:rPr>
          <w:rFonts w:ascii="Times New Roman" w:hAnsi="Times New Roman"/>
          <w:color w:val="000000"/>
          <w:sz w:val="22"/>
        </w:rPr>
        <w:t>, that the Committee shall not, without the approval of the shareholders of the Company, amend the Plan in any manner that requires such shareholder approval under the Nasdaq Stock Market or other securities exchange listing requirements then applicable to the Company including, except in connection with an adjustment or Change of Control as set forth in Sections 11 and 12, amending an Option or SAR to reduce the Exercise Price to below the Fair Market Value of the Shares on the original date of grant or canceling, substituting, exchanging, replacing, buying out or surrendering Options or SARs at a time when the Fair Market Value of the Shares is less than the exercise Price of such Option or SARs in exchange for cash, or the grant of other Awards or for Options or SARs with an Exercise Price below the Fair Market Value of the Shares on the original date of grant. Notwithstanding anything to the contrary, the Committee shall not take any action to cause any Outstanding Qualified Performance-Based Award to lose its “grandfathered” status or to otherwise lose its qualified status under Section 162(m) of the Code.</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14.</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FOREIGN AWARDS AND RIGHTS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any provision of the Plan to the contrary, in order to comply with the laws in countries in which the WTW Group and its Designated Associate Companies operate or have Eligible Individuals, the Committee, in its sole discretion, shall have the power and authority to (i) modify the terms and conditions of any Award granted to Eligible Individuals to comply with applicable laws of jurisdictions where Eligible Individuals reside; (ii) establish sub-plans and determine the Exercise Price, exercise procedures and other terms and procedures and rules, to the extent such actions may be necessary or advisable, including adoption of rules, procedures or sub-plans applicable to particular Subsidiaries, Designated Associate Companies or Participants residing in particular locations; </w:t>
      </w:r>
      <w:r>
        <w:rPr>
          <w:rFonts w:ascii="Times New Roman" w:hAnsi="Times New Roman"/>
          <w:i/>
          <w:color w:val="000000"/>
          <w:sz w:val="22"/>
        </w:rPr>
        <w:t>provided, however</w:t>
      </w:r>
      <w:r>
        <w:rPr>
          <w:rFonts w:ascii="Times New Roman" w:hAnsi="Times New Roman"/>
          <w:color w:val="000000"/>
          <w:sz w:val="22"/>
        </w:rPr>
        <w:t>, that no such sub-plans and/or modifications shall increase the share limitations contained in Section 5 hereof or otherwise require shareholder approval; and (iii) take any action, before or after an Award is made, that it deems advisable to obtain approval or comply with any necessary local governmental regulatory exemptions or approvals. Without limiting the generality of the foregoing, the Committee is specifically authorized to adopt rules, procedures and sub-plans with provisions that limit or modify rights on eligibility to receive an Award under the Plan or on Termination of Service, available methods of exercise or settlement of an Award, payment of Tax-Related Items, the shifting of employer tax liability to the Participant, the withholding procedures and handling of any Share certificates or other indicia of ownership which may vary with local requirements. The Committee may also adopt sub-plans to the Plan intended to allow the Company to grant tax-qualified Awards in a particular jurisdiction and, as part of such sub-plan, may restrict the sale of Shares and/or modify the Change of Control and Adjustments provisions of the Plan to the extent necessary to comply the tax requirements of the jurisdiction. Notwithstanding the foregoing, the Committee may not take any actions hereunder, and no Awards shall be granted, that would violate the Securities Act, Exchange Act, the Code, any securities law.</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15.</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WITHHOLDING TAXES</w:t>
      </w:r>
    </w:p>
    <w:p>
      <w:pPr>
        <w:pStyle w:val="TextBody"/>
        <w:bidi w:val="0"/>
        <w:spacing w:before="0" w:after="240"/>
        <w:jc w:val="both"/>
        <w:rPr>
          <w:rFonts w:ascii="Times New Roman" w:hAnsi="Times New Roman"/>
          <w:sz w:val="20"/>
        </w:rPr>
      </w:pPr>
      <w:r>
        <w:rPr>
          <w:rFonts w:ascii="Times New Roman" w:hAnsi="Times New Roman"/>
          <w:color w:val="000000"/>
          <w:sz w:val="22"/>
        </w:rPr>
        <w:t>Any member of the WTW Group or a Designated Associate Company shall have the authority and right to deduct or withhold or require a Participant to remit to the Company, any member of the WTW Group or a Designated Associate Company, an amount sufficient to satisfy Tax-Related Items with respect to any taxable event concerning a Participant arising as a result of the Plan or to take such other action as may be necessary in the opinion of the Company, a Subsidiary or a Designated Associate Company, as appropriate, to satisfy withholding obligations for the payment of Tax-Related Items, including but not limited to (and as further modified pursuant to Section 6(n) hereof) (i) having the Participant pay an amount in cash (by check or wire transfer; (ii) the delivery of Shares (which are not subject to any pledge or other security interest) that have been both held by the Participant and vested for at least six (6) months (or such other period as established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time to time by the Committee to avoid adverse accounting treatment under applicable accounting standards); (iii) withholding from the Participant’s wages or other cash compensation; (iv) withholding from the proceeds for the sale of Shares underlying the Award either through a voluntary sale or a mandatory sale arranged by the Company on the Participant’s behalf; (v) in the Committee’s sole discretion and in satisfaction of the foregoing requirement withhold Shares otherwise issuable under an Award (or allow the return of Shares); (vi) any other method of withholding determined by the Committee that is permissible under applicable laws. No Shares shall be delivered hereunder to any Participant or other person until the Participant or such other person has made arrangements acceptable to the Company for the satisfaction of the Tax-Related Items withholdings obligations with respect to any taxable event concerning the Participant or such other person arising as a result of the Plan.</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16.</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COMPLIANCE WITH SECTION 409A OF THE CODE FOR U.S. TAXPAYERS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Plan and all Awards made hereunder shall be interpreted, construed and operated to reflect the intent of the Company that all aspects of the Plan and the Awards shall be interpreted either to be exempt from the provisions of Section 409A of the Code or, to the extent subject to Section 409A of the Code, comply with Section 409A of the Code and any regulations and other guidance thereunder. This Plan may be amended at any time, without the consent of any party, to avoid the application of Section 409A of the Code in a particular circumstance or that is necessary or desirable to satisfy any of the requirements under Section 409A of the Code, but the Company shall not be under any obligation to make any such amendment.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Anything in this Plan to the contrary notwithstanding, if an Award constitutes an item of deferred compensation under Section 409A of the Code and becomes payable upon, or by a date that is by reference to, a Participant’s Termination of Service, it shall not be made to the Participant unless the Participant’s Termination of Service constitutes a “separation from service” (within the meaning of Section 409A of the Code and any the regulations or other guidance thereunder). In addition, no such payment or distribution shall be made to the Participant prior to the earlier of (a) the expiration of the six-month period measured from the date of the Participant’s separation from service or (b) the date of the Participant’s death, if the Participant is deemed at the time of such separation from service to be a “specified employee” (within the meaning of Section 409A of the Code and any the regulations or other guidance thereunder) and to the extent such delayed commencement is otherwise required in order to avoid a prohibited distribution under Section 409A of the Code and any the regulations or other guidance thereunder. Except as provided in an Award Agreement, all payments which had been delayed pursuant to the immediately preceding sentence shall be paid to the Participant in a lump sum upon expiration of such six-month period (or, if earlier, upon the Participant’s death).</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17.</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GOVERNING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Plan shall be governed by the laws of Ireland, without regard to its conflicts of laws.</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18.</w:t>
      </w:r>
    </w:p>
    <w:p>
      <w:pPr>
        <w:pStyle w:val="TextBody"/>
        <w:bidi w:val="0"/>
        <w:spacing w:before="0" w:after="240"/>
        <w:jc w:val="left"/>
        <w:rPr>
          <w:rFonts w:ascii="Times New Roman" w:hAnsi="Times New Roman"/>
          <w:b/>
          <w:caps/>
          <w:color w:val="000000"/>
          <w:sz w:val="22"/>
        </w:rPr>
      </w:pPr>
      <w:r>
        <w:rPr>
          <w:rFonts w:ascii="Times New Roman" w:hAnsi="Times New Roman"/>
          <w:b/>
          <w:caps/>
          <w:color w:val="000000"/>
          <w:sz w:val="22"/>
        </w:rPr>
        <w:t>PLAN HISTORY AND EXPIRATION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u w:val="single"/>
        </w:rPr>
        <w:t>Plan History</w:t>
      </w:r>
      <w:r>
        <w:rPr>
          <w:rFonts w:ascii="Times New Roman" w:hAnsi="Times New Roman"/>
          <w:color w:val="000000"/>
          <w:sz w:val="22"/>
        </w:rPr>
        <w:t xml:space="preserve">. The Plan became effective as of the date of the original approval of the Plan by a majority of the shareholders of the Company (April 25, 2012). The Plan was subsequently amended and restated on July 23, 2014, June 10, 2016, June 8, 2022, February 25, 2025, January 27,2026 and again on the Effective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u w:val="single"/>
        </w:rPr>
        <w:t>Expiration Date</w:t>
      </w:r>
      <w:r>
        <w:rPr>
          <w:rFonts w:ascii="Times New Roman" w:hAnsi="Times New Roman"/>
          <w:color w:val="000000"/>
          <w:sz w:val="22"/>
        </w:rPr>
        <w:t>. The Plan shall continue in effect until terminated by the Board or the Committee pursuant to Section 13. No Awards shall be granted under the Plan after expiration of the Plan. Awards that are outstanding as of the expiration of the Plan shall remain in force according to the terms of the Plan and the applicable Award Agreement, except that no Incentive Stock Option may be granted under the Plan after February 23, 2032.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aps/>
          <w:color w:val="000000"/>
          <w:sz w:val="22"/>
        </w:rPr>
      </w:pPr>
      <w:bookmarkStart w:id="58" w:name="wtw-ex10_2.htm"/>
      <w:bookmarkStart w:id="59" w:name="kswtwex10_2"/>
      <w:bookmarkEnd w:id="58"/>
      <w:bookmarkEnd w:id="59"/>
      <w:r>
        <w:rPr>
          <w:rFonts w:ascii="Times New Roman" w:hAnsi="Times New Roman"/>
          <w:b/>
          <w:caps/>
          <w:color w:val="000000"/>
          <w:sz w:val="22"/>
        </w:rPr>
        <w:t>EXhibit 10.2</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2"/>
        </w:rPr>
        <w:t>Willis TOWERS WATSON Public Limited Company</w:t>
        <w:br/>
        <w:t>2012 Equity Incentive Plan, as amended and restated</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Time-Based Restricted SHARE Unit GRANT NOTICE</w:t>
      </w:r>
    </w:p>
    <w:p>
      <w:pPr>
        <w:pStyle w:val="TextBody"/>
        <w:bidi w:val="0"/>
        <w:jc w:val="both"/>
        <w:rPr>
          <w:rFonts w:ascii="Times New Roman" w:hAnsi="Times New Roman"/>
          <w:sz w:val="20"/>
        </w:rPr>
      </w:pPr>
      <w:r>
        <w:rPr>
          <w:rFonts w:ascii="Times New Roman" w:hAnsi="Times New Roman"/>
          <w:color w:val="000000"/>
          <w:sz w:val="22"/>
        </w:rPr>
        <w:t>Willis Towers Watson Public Limited Company, a corporation organized under the laws of Ireland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pursuant to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hereby grants to the individual listed below (the “</w:t>
      </w:r>
      <w:r>
        <w:rPr>
          <w:rFonts w:ascii="Times New Roman" w:hAnsi="Times New Roman"/>
          <w:color w:val="000000"/>
          <w:sz w:val="22"/>
          <w:u w:val="single"/>
        </w:rPr>
        <w:t>Colleague</w:t>
      </w:r>
      <w:r>
        <w:rPr>
          <w:rFonts w:ascii="Times New Roman" w:hAnsi="Times New Roman"/>
          <w:color w:val="000000"/>
          <w:sz w:val="20"/>
        </w:rPr>
        <w:t>”</w:t>
      </w:r>
      <w:r>
        <w:rPr>
          <w:rFonts w:ascii="Times New Roman" w:hAnsi="Times New Roman"/>
          <w:color w:val="000000"/>
          <w:sz w:val="22"/>
        </w:rPr>
        <w:t>) an award of Restricted Share Units (the “</w:t>
      </w:r>
      <w:r>
        <w:rPr>
          <w:rFonts w:ascii="Times New Roman" w:hAnsi="Times New Roman"/>
          <w:color w:val="000000"/>
          <w:sz w:val="22"/>
          <w:u w:val="single"/>
        </w:rPr>
        <w:t>RSUs</w:t>
      </w:r>
      <w:r>
        <w:rPr>
          <w:rFonts w:ascii="Times New Roman" w:hAnsi="Times New Roman"/>
          <w:color w:val="000000"/>
          <w:sz w:val="20"/>
        </w:rPr>
        <w:t>”</w:t>
      </w:r>
      <w:r>
        <w:rPr>
          <w:rFonts w:ascii="Times New Roman" w:hAnsi="Times New Roman"/>
          <w:color w:val="000000"/>
          <w:sz w:val="22"/>
        </w:rPr>
        <w:t>) as described in this Time-Based Restricted Share Unit Grant Notice (this “</w:t>
      </w:r>
      <w:r>
        <w:rPr>
          <w:rFonts w:ascii="Times New Roman" w:hAnsi="Times New Roman"/>
          <w:color w:val="000000"/>
          <w:sz w:val="22"/>
          <w:u w:val="single"/>
        </w:rPr>
        <w:t>Grant Notice</w:t>
      </w:r>
      <w:r>
        <w:rPr>
          <w:rFonts w:ascii="Times New Roman" w:hAnsi="Times New Roman"/>
          <w:color w:val="000000"/>
          <w:sz w:val="20"/>
        </w:rPr>
        <w:t>”</w:t>
      </w:r>
      <w:r>
        <w:rPr>
          <w:rFonts w:ascii="Times New Roman" w:hAnsi="Times New Roman"/>
          <w:color w:val="000000"/>
          <w:sz w:val="22"/>
        </w:rPr>
        <w:t>), subject to the terms and conditions of the Plan and the Restricted Share Unit Award Agreement attached hereto, including any additional terms and conditions set forth in any appendix applicable in the Colleague’s country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both of which are incorporated into this Grant Notice by reference. Capitalized terms not specifically defined in this Grant Notice or the Agreement have the meanings given to them in the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17"/>
        <w:gridCol w:w="146"/>
        <w:gridCol w:w="8542"/>
      </w:tblGrid>
      <w:tr>
        <w:trPr/>
        <w:tc>
          <w:tcPr>
            <w:tcW w:w="1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2" w:type="dxa"/>
            <w:tcBorders/>
            <w:vAlign w:val="center"/>
          </w:tcPr>
          <w:p>
            <w:pPr>
              <w:pStyle w:val="TableContents"/>
              <w:bidi w:val="0"/>
              <w:spacing w:before="0" w:after="283"/>
              <w:jc w:val="left"/>
              <w:rPr>
                <w:sz w:val="4"/>
                <w:szCs w:val="4"/>
              </w:rPr>
            </w:pPr>
            <w:r>
              <w:rPr>
                <w:sz w:val="4"/>
                <w:szCs w:val="4"/>
              </w:rPr>
            </w:r>
          </w:p>
        </w:tc>
      </w:tr>
      <w:tr>
        <w:trPr/>
        <w:tc>
          <w:tcPr>
            <w:tcW w:w="151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Colleague: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&lt;first_name&gt; &lt;last_name&gt;</w:t>
            </w:r>
          </w:p>
        </w:tc>
      </w:tr>
      <w:tr>
        <w:trPr/>
        <w:tc>
          <w:tcPr>
            <w:tcW w:w="1517"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Grant Date: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&lt;Grant Date&gt;</w:t>
            </w:r>
          </w:p>
        </w:tc>
      </w:tr>
      <w:tr>
        <w:trPr/>
        <w:tc>
          <w:tcPr>
            <w:tcW w:w="1517"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Acceptance Due Date: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&lt;Accept by Date&gt;</w:t>
            </w:r>
          </w:p>
        </w:tc>
      </w:tr>
      <w:tr>
        <w:trPr/>
        <w:tc>
          <w:tcPr>
            <w:tcW w:w="1517"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Number of RSUs:</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&lt;RSUs_awarded&gt;</w:t>
            </w:r>
          </w:p>
        </w:tc>
      </w:tr>
      <w:tr>
        <w:trPr/>
        <w:tc>
          <w:tcPr>
            <w:tcW w:w="1517"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0"/>
              </w:rPr>
            </w:pPr>
            <w:r>
              <w:rPr>
                <w:rFonts w:ascii="Times New Roman" w:hAnsi="Times New Roman"/>
                <w:b/>
                <w:color w:val="000000"/>
                <w:sz w:val="20"/>
              </w:rPr>
              <w:t>Vesting Schedule: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542"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sz w:val="22"/>
              </w:rPr>
            </w:pPr>
            <w:r>
              <w:rPr>
                <w:rFonts w:ascii="Times New Roman" w:hAnsi="Times New Roman"/>
                <w:color w:val="000000"/>
                <w:sz w:val="22"/>
              </w:rPr>
              <w:t>The RSUs shall vest in three (3) substantially equal annual installments on each of the first three (3) anniversaries of the Grant Date (each such date, a “</w:t>
            </w:r>
            <w:r>
              <w:rPr>
                <w:rFonts w:ascii="Times New Roman" w:hAnsi="Times New Roman"/>
                <w:color w:val="000000"/>
                <w:sz w:val="22"/>
                <w:u w:val="single"/>
              </w:rPr>
              <w:t>Vesting Date</w:t>
            </w:r>
            <w:r>
              <w:rPr>
                <w:rFonts w:ascii="Times New Roman" w:hAnsi="Times New Roman"/>
                <w:color w:val="000000"/>
                <w:sz w:val="22"/>
              </w:rPr>
              <w:t>”).</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By accepting (whether in writing, electronically or otherwise in the manner specified in the Colleague’s online account with the Company’s designated broker/stock plan administrator) the RSUs, the Colleague agrees to be bound by the terms of this Grant Notice, the Plan, and the Agreement (collectively, the “</w:t>
      </w:r>
      <w:r>
        <w:rPr>
          <w:rFonts w:ascii="Times New Roman" w:hAnsi="Times New Roman"/>
          <w:color w:val="000000"/>
          <w:sz w:val="22"/>
          <w:u w:val="single"/>
        </w:rPr>
        <w:t>Grant Documents</w:t>
      </w:r>
      <w:r>
        <w:rPr>
          <w:rFonts w:ascii="Times New Roman" w:hAnsi="Times New Roman"/>
          <w:color w:val="000000"/>
          <w:sz w:val="20"/>
        </w:rPr>
        <w:t>”</w:t>
      </w:r>
      <w:r>
        <w:rPr>
          <w:rFonts w:ascii="Times New Roman" w:hAnsi="Times New Roman"/>
          <w:color w:val="000000"/>
          <w:sz w:val="22"/>
        </w:rPr>
        <w:t>). The Colleague acknowledges that the Colleague (i) has reviewed the Grant Documents in their entirety, (ii) has had an opportunity to obtain the advice of counsel prior to executing this Grant Notice, and (iii) fully understands all provisions of the Grant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Colleague further agrees to execute and deliver or electronically accept this Grant Notice and the RCA (as defined in Section 1.14 of the Agreement) within 60 days of the Grant Date. Except as may otherwise be provided by the Committee, in its sole discretion, the RSUs shall be forfeited automatically on the last date of the acceptance period set forth in the foregoing sentence if the Colleague fails to execute and deliver or electronically accept the Grant Notice or the RCA by such date.</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hereto have duly executed this Grant Notice as of the last date written below.</w:t>
      </w:r>
    </w:p>
    <w:p>
      <w:pPr>
        <w:pStyle w:val="TextBody"/>
        <w:bidi w:val="0"/>
        <w:jc w:val="left"/>
        <w:rPr/>
      </w:pPr>
      <w:r>
        <w:rPr/>
        <w:t> </w:t>
      </w:r>
    </w:p>
    <w:tbl>
      <w:tblPr>
        <w:tblW w:w="7032" w:type="dxa"/>
        <w:jc w:val="left"/>
        <w:tblInd w:w="0" w:type="dxa"/>
        <w:tblLayout w:type="fixed"/>
        <w:tblCellMar>
          <w:top w:w="28" w:type="dxa"/>
          <w:left w:w="28" w:type="dxa"/>
          <w:bottom w:w="28" w:type="dxa"/>
          <w:right w:w="28" w:type="dxa"/>
        </w:tblCellMar>
      </w:tblPr>
      <w:tblGrid>
        <w:gridCol w:w="1281"/>
        <w:gridCol w:w="5004"/>
        <w:gridCol w:w="146"/>
        <w:gridCol w:w="601"/>
      </w:tblGrid>
      <w:tr>
        <w:trPr/>
        <w:tc>
          <w:tcPr>
            <w:tcW w:w="1281" w:type="dxa"/>
            <w:tcBorders/>
            <w:vAlign w:val="center"/>
          </w:tcPr>
          <w:p>
            <w:pPr>
              <w:pStyle w:val="TableContents"/>
              <w:bidi w:val="0"/>
              <w:spacing w:before="0" w:after="283"/>
              <w:jc w:val="left"/>
              <w:rPr>
                <w:sz w:val="4"/>
                <w:szCs w:val="4"/>
              </w:rPr>
            </w:pPr>
            <w:r>
              <w:rPr>
                <w:sz w:val="4"/>
                <w:szCs w:val="4"/>
              </w:rPr>
            </w:r>
          </w:p>
        </w:tc>
        <w:tc>
          <w:tcPr>
            <w:tcW w:w="5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6285" w:type="dxa"/>
            <w:gridSpan w:val="2"/>
            <w:tcBorders/>
            <w:tcMar>
              <w:top w:w="0" w:type="dxa"/>
              <w:left w:w="0" w:type="dxa"/>
              <w:bottom w:w="0" w:type="dxa"/>
              <w:right w:w="0" w:type="dxa"/>
            </w:tcMar>
            <w:vAlign w:val="center"/>
          </w:tcPr>
          <w:p>
            <w:pPr>
              <w:pStyle w:val="TableContents"/>
              <w:bidi w:val="0"/>
              <w:spacing w:before="0" w:after="220"/>
              <w:jc w:val="left"/>
              <w:rPr>
                <w:rFonts w:ascii="Times New Roman" w:hAnsi="Times New Roman"/>
                <w:b/>
                <w:smallCaps/>
                <w:color w:val="000000"/>
                <w:sz w:val="22"/>
              </w:rPr>
            </w:pPr>
            <w:r>
              <w:rPr>
                <w:rFonts w:ascii="Times New Roman" w:hAnsi="Times New Roman"/>
                <w:b/>
                <w:smallCaps/>
                <w:color w:val="000000"/>
                <w:sz w:val="22"/>
              </w:rPr>
              <w:t>WILLIS TOWERS WATSON PUBLIC LIMITED COMPANY</w:t>
            </w:r>
          </w:p>
          <w:p>
            <w:pPr>
              <w:pStyle w:val="TableContents"/>
              <w:bidi w:val="0"/>
              <w:spacing w:before="0" w:after="220"/>
              <w:jc w:val="left"/>
              <w:rPr/>
            </w:pPr>
            <w:r>
              <w:rPr/>
              <w:t> </w:t>
            </w:r>
          </w:p>
          <w:p>
            <w:pPr>
              <w:pStyle w:val="TableContents"/>
              <w:bidi w:val="0"/>
              <w:spacing w:before="0" w:after="220"/>
              <w:jc w:val="left"/>
              <w:rPr/>
            </w:pPr>
            <w:r>
              <w:rPr/>
              <w:t> </w:t>
            </w:r>
          </w:p>
        </w:tc>
        <w:tc>
          <w:tcPr>
            <w:tcW w:w="146" w:type="dxa"/>
            <w:tcBorders/>
            <w:tcMar>
              <w:top w:w="0" w:type="dxa"/>
              <w:left w:w="0" w:type="dxa"/>
              <w:bottom w:w="0" w:type="dxa"/>
              <w:right w:w="0" w:type="dxa"/>
            </w:tcMar>
            <w:vAlign w:val="center"/>
          </w:tcPr>
          <w:p>
            <w:pPr>
              <w:pStyle w:val="TableContents"/>
              <w:bidi w:val="0"/>
              <w:spacing w:before="0" w:after="220"/>
              <w:jc w:val="left"/>
              <w:rPr/>
            </w:pPr>
            <w:r>
              <w:rPr/>
              <w:t> </w:t>
            </w:r>
          </w:p>
        </w:tc>
        <w:tc>
          <w:tcPr>
            <w:tcW w:w="601" w:type="dxa"/>
            <w:tcBorders/>
            <w:tcMar>
              <w:top w:w="0" w:type="dxa"/>
              <w:left w:w="0" w:type="dxa"/>
              <w:bottom w:w="0" w:type="dxa"/>
              <w:right w:w="0" w:type="dxa"/>
            </w:tcMar>
            <w:vAlign w:val="center"/>
          </w:tcPr>
          <w:p>
            <w:pPr>
              <w:pStyle w:val="TableContents"/>
              <w:bidi w:val="0"/>
              <w:spacing w:before="0" w:after="220"/>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0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5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Kristy Banas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Human Resources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bottom w:val="single" w:sz="4" w:space="0" w:color="000000"/>
            </w:tcBorders>
            <w:tcMar>
              <w:top w:w="0" w:type="dxa"/>
              <w:left w:w="0" w:type="dxa"/>
              <w:right w:w="0" w:type="dxa"/>
            </w:tcMar>
            <w:vAlign w:val="center"/>
          </w:tcPr>
          <w:p>
            <w:pPr>
              <w:pStyle w:val="TableContents"/>
              <w:bidi w:val="0"/>
              <w:spacing w:before="0" w:after="220"/>
              <w:jc w:val="left"/>
              <w:rPr>
                <w:rFonts w:ascii="Times New Roman" w:hAnsi="Times New Roman"/>
                <w:b/>
                <w:smallCaps/>
                <w:color w:val="000000"/>
                <w:sz w:val="22"/>
              </w:rPr>
            </w:pPr>
            <w:r>
              <w:rPr>
                <w:rFonts w:ascii="Times New Roman" w:hAnsi="Times New Roman"/>
                <w:b/>
                <w:smallCaps/>
                <w:color w:val="000000"/>
                <w:sz w:val="22"/>
              </w:rPr>
              <w:t>COLLEAGUE</w:t>
            </w:r>
          </w:p>
          <w:p>
            <w:pPr>
              <w:pStyle w:val="TableContents"/>
              <w:bidi w:val="0"/>
              <w:spacing w:before="0" w:after="220"/>
              <w:jc w:val="left"/>
              <w:rPr/>
            </w:pPr>
            <w:r>
              <w:rPr/>
              <w:t> </w:t>
            </w:r>
          </w:p>
          <w:p>
            <w:pPr>
              <w:pStyle w:val="TableContents"/>
              <w:bidi w:val="0"/>
              <w:spacing w:before="0" w:after="22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&lt;first_name&gt; &lt;last_name&gt;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2"/>
        </w:rPr>
        <w:t>Willis TOWERS WATSON Public Limited Company</w:t>
      </w:r>
      <w:r>
        <w:rPr>
          <w:rFonts w:ascii="Times New Roman" w:hAnsi="Times New Roman"/>
          <w:caps/>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2"/>
        </w:rPr>
        <w:t>2012 Equity Incentive Plan, as amended and restated</w:t>
      </w:r>
      <w:r>
        <w:rPr>
          <w:rFonts w:ascii="Times New Roman" w:hAnsi="Times New Roman"/>
          <w:caps/>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TIME-BASED RESTRICTED SHARE UNIT AWARD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EXECUTIVE OFFICERS</w:t>
      </w:r>
    </w:p>
    <w:p>
      <w:pPr>
        <w:pStyle w:val="TextBody"/>
        <w:bidi w:val="0"/>
        <w:jc w:val="center"/>
        <w:rPr>
          <w:rFonts w:ascii="Times New Roman" w:hAnsi="Times New Roman"/>
          <w:color w:val="000000"/>
          <w:sz w:val="22"/>
        </w:rPr>
      </w:pPr>
      <w:r>
        <w:rPr>
          <w:rFonts w:ascii="Times New Roman" w:hAnsi="Times New Roman"/>
          <w:color w:val="000000"/>
          <w:sz w:val="22"/>
        </w:rPr>
        <w:t>ARTICLE I</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Unless otherwise defined in Article I of this Time-Based Restricted Share Unit Award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any capitalized terms used herein will have the same meanings ascribed to them in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or the Time-Based Restricted Share Unit Grant Notice (the “</w:t>
      </w:r>
      <w:r>
        <w:rPr>
          <w:rFonts w:ascii="Times New Roman" w:hAnsi="Times New Roman"/>
          <w:color w:val="000000"/>
          <w:sz w:val="22"/>
          <w:u w:val="single"/>
        </w:rPr>
        <w:t>Grant Notice</w:t>
      </w:r>
      <w:r>
        <w:rPr>
          <w:rFonts w:ascii="Times New Roman" w:hAnsi="Times New Roman"/>
          <w:color w:val="000000"/>
          <w:sz w:val="20"/>
        </w:rPr>
        <w:t xml:space="preserve">” </w:t>
      </w:r>
      <w:r>
        <w:rPr>
          <w:rFonts w:ascii="Times New Roman" w:hAnsi="Times New Roman"/>
          <w:color w:val="000000"/>
          <w:sz w:val="22"/>
        </w:rPr>
        <w:t>and collectively with the Plan and the Agreement, the “</w:t>
      </w:r>
      <w:r>
        <w:rPr>
          <w:rFonts w:ascii="Times New Roman" w:hAnsi="Times New Roman"/>
          <w:color w:val="000000"/>
          <w:sz w:val="22"/>
          <w:u w:val="single"/>
        </w:rPr>
        <w:t>Grant Documents</w:t>
      </w:r>
      <w:r>
        <w:rPr>
          <w:rFonts w:ascii="Times New Roman" w:hAnsi="Times New Roman"/>
          <w:color w:val="000000"/>
          <w:sz w:val="20"/>
        </w:rPr>
        <w:t>”</w:t>
      </w:r>
      <w:r>
        <w:rPr>
          <w:rFonts w:ascii="Times New Roman" w:hAnsi="Times New Roman"/>
          <w:color w:val="000000"/>
          <w:sz w:val="22"/>
        </w:rPr>
        <w:t>) to which this Agreement is attached. Further, for purposes of this Agreement, the plural pronoun shall include the singular, where the context so indicates.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w:t>
      </w:r>
      <w:r>
        <w:rPr>
          <w:rFonts w:ascii="Times New Roman" w:hAnsi="Times New Roman"/>
          <w:color w:val="000000"/>
          <w:sz w:val="20"/>
        </w:rPr>
        <w:t xml:space="preserve"> – “</w:t>
      </w:r>
      <w:r>
        <w:rPr>
          <w:rFonts w:ascii="Times New Roman" w:hAnsi="Times New Roman"/>
          <w:color w:val="000000"/>
          <w:sz w:val="22"/>
          <w:u w:val="single"/>
        </w:rPr>
        <w:t>409A CIC Event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2.6(b)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w:t>
      </w:r>
      <w:r>
        <w:rPr>
          <w:rFonts w:ascii="Times New Roman" w:hAnsi="Times New Roman"/>
          <w:color w:val="000000"/>
          <w:sz w:val="20"/>
        </w:rPr>
        <w:t xml:space="preserve"> – “</w:t>
      </w:r>
      <w:r>
        <w:rPr>
          <w:rFonts w:ascii="Times New Roman" w:hAnsi="Times New Roman"/>
          <w:color w:val="000000"/>
          <w:sz w:val="22"/>
          <w:u w:val="single"/>
        </w:rPr>
        <w:t>Cause</w:t>
      </w:r>
      <w:r>
        <w:rPr>
          <w:rFonts w:ascii="Times New Roman" w:hAnsi="Times New Roman"/>
          <w:color w:val="000000"/>
          <w:sz w:val="20"/>
        </w:rPr>
        <w:t xml:space="preserve">” </w:t>
      </w:r>
      <w:r>
        <w:rPr>
          <w:rFonts w:ascii="Times New Roman" w:hAnsi="Times New Roman"/>
          <w:color w:val="000000"/>
          <w:sz w:val="22"/>
        </w:rPr>
        <w:t>shall have the meaning ascribed to such term or similar term (</w:t>
      </w:r>
      <w:r>
        <w:rPr>
          <w:rFonts w:ascii="Times New Roman" w:hAnsi="Times New Roman"/>
          <w:i/>
          <w:color w:val="000000"/>
          <w:sz w:val="22"/>
        </w:rPr>
        <w:t>e.g.</w:t>
      </w:r>
      <w:r>
        <w:rPr>
          <w:rFonts w:ascii="Times New Roman" w:hAnsi="Times New Roman"/>
          <w:color w:val="000000"/>
          <w:sz w:val="22"/>
        </w:rPr>
        <w:t>, “</w:t>
      </w:r>
      <w:r>
        <w:rPr>
          <w:rFonts w:ascii="Times New Roman" w:hAnsi="Times New Roman"/>
          <w:color w:val="000000"/>
          <w:sz w:val="22"/>
          <w:u w:val="single"/>
        </w:rPr>
        <w:t>Good Caus</w:t>
      </w:r>
      <w:r>
        <w:rPr>
          <w:rFonts w:ascii="Times New Roman" w:hAnsi="Times New Roman"/>
          <w:color w:val="000000"/>
          <w:sz w:val="22"/>
        </w:rPr>
        <w:t>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or any other form of harassment, having been provided reasonable notice of such a violation (notice required only if curable as determined by the Board) and ten (10) days after the Colleague’s receipt of such notice to cure or correct such violation.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1.3</w:t>
      </w:r>
      <w:r>
        <w:rPr>
          <w:rFonts w:ascii="Times New Roman" w:hAnsi="Times New Roman"/>
          <w:color w:val="000000"/>
          <w:sz w:val="20"/>
        </w:rPr>
        <w:t xml:space="preserve"> – “</w:t>
      </w:r>
      <w:r>
        <w:rPr>
          <w:rFonts w:ascii="Times New Roman" w:hAnsi="Times New Roman"/>
          <w:color w:val="000000"/>
          <w:sz w:val="22"/>
          <w:u w:val="single"/>
        </w:rPr>
        <w:t>Dividend Equivalent Amount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2.3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1.4</w:t>
      </w:r>
      <w:r>
        <w:rPr>
          <w:rFonts w:ascii="Times New Roman" w:hAnsi="Times New Roman"/>
          <w:color w:val="000000"/>
          <w:sz w:val="20"/>
        </w:rPr>
        <w:t xml:space="preserve"> – “</w:t>
      </w:r>
      <w:r>
        <w:rPr>
          <w:rFonts w:ascii="Times New Roman" w:hAnsi="Times New Roman"/>
          <w:color w:val="000000"/>
          <w:sz w:val="22"/>
          <w:u w:val="single"/>
        </w:rPr>
        <w:t>Dividend Equivalent Units</w:t>
      </w:r>
      <w:r>
        <w:rPr>
          <w:rFonts w:ascii="Times New Roman" w:hAnsi="Times New Roman"/>
          <w:color w:val="000000"/>
          <w:sz w:val="20"/>
        </w:rPr>
        <w:t xml:space="preserve">” </w:t>
      </w:r>
      <w:r>
        <w:rPr>
          <w:rFonts w:ascii="Times New Roman" w:hAnsi="Times New Roman"/>
          <w:color w:val="000000"/>
          <w:sz w:val="22"/>
        </w:rPr>
        <w:t>shall have the meaning ascribed to such term in Section 2.3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1.5</w:t>
      </w:r>
      <w:r>
        <w:rPr>
          <w:rFonts w:ascii="Times New Roman" w:hAnsi="Times New Roman"/>
          <w:color w:val="000000"/>
          <w:sz w:val="20"/>
        </w:rPr>
        <w:t xml:space="preserve"> – “</w:t>
      </w:r>
      <w:r>
        <w:rPr>
          <w:rFonts w:ascii="Times New Roman" w:hAnsi="Times New Roman"/>
          <w:color w:val="000000"/>
          <w:sz w:val="22"/>
          <w:u w:val="single"/>
        </w:rPr>
        <w:t>Employer</w:t>
      </w:r>
      <w:r>
        <w:rPr>
          <w:rFonts w:ascii="Times New Roman" w:hAnsi="Times New Roman"/>
          <w:color w:val="000000"/>
          <w:sz w:val="20"/>
        </w:rPr>
        <w:t xml:space="preserve">” </w:t>
      </w:r>
      <w:r>
        <w:rPr>
          <w:rFonts w:ascii="Times New Roman" w:hAnsi="Times New Roman"/>
          <w:color w:val="000000"/>
          <w:sz w:val="22"/>
        </w:rPr>
        <w:t>shall mean the Company, or if different, the Subsidiary or Designated Associate Company that employs the Colleague.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1.6</w:t>
      </w:r>
      <w:r>
        <w:rPr>
          <w:rFonts w:ascii="Times New Roman" w:hAnsi="Times New Roman"/>
          <w:color w:val="000000"/>
          <w:sz w:val="20"/>
        </w:rPr>
        <w:t xml:space="preserve"> – “</w:t>
      </w:r>
      <w:r>
        <w:rPr>
          <w:rFonts w:ascii="Times New Roman" w:hAnsi="Times New Roman"/>
          <w:color w:val="000000"/>
          <w:sz w:val="22"/>
          <w:u w:val="single"/>
        </w:rPr>
        <w:t>Good Reason</w:t>
      </w:r>
      <w:r>
        <w:rPr>
          <w:rFonts w:ascii="Times New Roman" w:hAnsi="Times New Roman"/>
          <w:color w:val="000000"/>
          <w:sz w:val="20"/>
        </w:rPr>
        <w:t xml:space="preserve">” </w:t>
      </w:r>
      <w:r>
        <w:rPr>
          <w:rFonts w:ascii="Times New Roman" w:hAnsi="Times New Roman"/>
          <w:color w:val="000000"/>
          <w:sz w:val="22"/>
        </w:rPr>
        <w:t>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within 30 days of the Colleague’s written notice of such Good Reason, and the Colleague actually terminates employment within 90 days following the expiration of the Employer’s 30-day cure period described above.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1.7</w:t>
      </w:r>
      <w:r>
        <w:rPr>
          <w:rFonts w:ascii="Times New Roman" w:hAnsi="Times New Roman"/>
          <w:color w:val="000000"/>
          <w:sz w:val="20"/>
        </w:rPr>
        <w:t xml:space="preserve"> – “</w:t>
      </w:r>
      <w:r>
        <w:rPr>
          <w:rFonts w:ascii="Times New Roman" w:hAnsi="Times New Roman"/>
          <w:color w:val="000000"/>
          <w:sz w:val="22"/>
          <w:u w:val="single"/>
        </w:rPr>
        <w:t>Grant Date</w:t>
      </w:r>
      <w:r>
        <w:rPr>
          <w:rFonts w:ascii="Times New Roman" w:hAnsi="Times New Roman"/>
          <w:color w:val="000000"/>
          <w:sz w:val="20"/>
        </w:rPr>
        <w:t xml:space="preserve">” </w:t>
      </w:r>
      <w:r>
        <w:rPr>
          <w:rFonts w:ascii="Times New Roman" w:hAnsi="Times New Roman"/>
          <w:color w:val="000000"/>
          <w:sz w:val="22"/>
        </w:rPr>
        <w:t>shall have the meaning ascribed to such term in the Grant Notice.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1.8</w:t>
      </w:r>
      <w:r>
        <w:rPr>
          <w:rFonts w:ascii="Times New Roman" w:hAnsi="Times New Roman"/>
          <w:color w:val="000000"/>
          <w:sz w:val="20"/>
        </w:rPr>
        <w:t xml:space="preserve"> – “</w:t>
      </w:r>
      <w:r>
        <w:rPr>
          <w:rFonts w:ascii="Times New Roman" w:hAnsi="Times New Roman"/>
          <w:color w:val="000000"/>
          <w:sz w:val="22"/>
          <w:u w:val="single"/>
        </w:rPr>
        <w:t>Group Termination Event</w:t>
      </w:r>
      <w:r>
        <w:rPr>
          <w:rFonts w:ascii="Times New Roman" w:hAnsi="Times New Roman"/>
          <w:color w:val="000000"/>
          <w:sz w:val="20"/>
        </w:rPr>
        <w:t xml:space="preserve">” </w:t>
      </w:r>
      <w:r>
        <w:rPr>
          <w:rFonts w:ascii="Times New Roman" w:hAnsi="Times New Roman"/>
          <w:color w:val="000000"/>
          <w:sz w:val="22"/>
        </w:rPr>
        <w:t>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1.9</w:t>
      </w:r>
      <w:r>
        <w:rPr>
          <w:rFonts w:ascii="Times New Roman" w:hAnsi="Times New Roman"/>
          <w:color w:val="000000"/>
          <w:sz w:val="20"/>
        </w:rPr>
        <w:t xml:space="preserve"> – “</w:t>
      </w:r>
      <w:r>
        <w:rPr>
          <w:rFonts w:ascii="Times New Roman" w:hAnsi="Times New Roman"/>
          <w:color w:val="000000"/>
          <w:sz w:val="22"/>
        </w:rPr>
        <w:t>J</w:t>
      </w:r>
      <w:r>
        <w:rPr>
          <w:rFonts w:ascii="Times New Roman" w:hAnsi="Times New Roman"/>
          <w:color w:val="000000"/>
          <w:sz w:val="22"/>
          <w:u w:val="single"/>
        </w:rPr>
        <w:t>ob Elimination</w:t>
      </w:r>
      <w:r>
        <w:rPr>
          <w:rFonts w:ascii="Times New Roman" w:hAnsi="Times New Roman"/>
          <w:color w:val="000000"/>
          <w:sz w:val="20"/>
        </w:rPr>
        <w:t xml:space="preserve">” </w:t>
      </w:r>
      <w:r>
        <w:rPr>
          <w:rFonts w:ascii="Times New Roman" w:hAnsi="Times New Roman"/>
          <w:color w:val="000000"/>
          <w:sz w:val="22"/>
        </w:rPr>
        <w:t>shall mean an involuntary termination of employment by reason of job elimination, substantial change in the nature of Colleague’s position, or job relocation.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1.10</w:t>
      </w:r>
      <w:r>
        <w:rPr>
          <w:rFonts w:ascii="Times New Roman" w:hAnsi="Times New Roman"/>
          <w:color w:val="000000"/>
          <w:sz w:val="20"/>
        </w:rPr>
        <w:t xml:space="preserve"> – “</w:t>
      </w:r>
      <w:r>
        <w:rPr>
          <w:rFonts w:ascii="Times New Roman" w:hAnsi="Times New Roman"/>
          <w:color w:val="000000"/>
          <w:sz w:val="22"/>
          <w:u w:val="single"/>
        </w:rPr>
        <w:t>Legacy Company</w:t>
      </w:r>
      <w:r>
        <w:rPr>
          <w:rFonts w:ascii="Times New Roman" w:hAnsi="Times New Roman"/>
          <w:color w:val="000000"/>
          <w:sz w:val="20"/>
        </w:rPr>
        <w:t xml:space="preserve">” </w:t>
      </w:r>
      <w:r>
        <w:rPr>
          <w:rFonts w:ascii="Times New Roman" w:hAnsi="Times New Roman"/>
          <w:color w:val="000000"/>
          <w:sz w:val="22"/>
        </w:rPr>
        <w:t>shall mean Towers Watson &amp; Co. or Willis Group Holdings Public Limited Company and any predecessor companies or affiliates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1.11</w:t>
      </w:r>
      <w:r>
        <w:rPr>
          <w:rFonts w:ascii="Times New Roman" w:hAnsi="Times New Roman"/>
          <w:color w:val="000000"/>
          <w:sz w:val="20"/>
        </w:rPr>
        <w:t xml:space="preserve"> – “</w:t>
      </w:r>
      <w:r>
        <w:rPr>
          <w:rFonts w:ascii="Times New Roman" w:hAnsi="Times New Roman"/>
          <w:color w:val="000000"/>
          <w:sz w:val="22"/>
          <w:u w:val="single"/>
        </w:rPr>
        <w:t>Nominal Value</w:t>
      </w:r>
      <w:r>
        <w:rPr>
          <w:rFonts w:ascii="Times New Roman" w:hAnsi="Times New Roman"/>
          <w:color w:val="000000"/>
          <w:sz w:val="20"/>
        </w:rPr>
        <w:t xml:space="preserve">” </w:t>
      </w:r>
      <w:r>
        <w:rPr>
          <w:rFonts w:ascii="Times New Roman" w:hAnsi="Times New Roman"/>
          <w:color w:val="000000"/>
          <w:sz w:val="22"/>
        </w:rPr>
        <w:t>shall mean $0.000304635 per Share.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1.12</w:t>
      </w:r>
      <w:r>
        <w:rPr>
          <w:rFonts w:ascii="Times New Roman" w:hAnsi="Times New Roman"/>
          <w:color w:val="000000"/>
          <w:sz w:val="20"/>
        </w:rPr>
        <w:t xml:space="preserve"> – “</w:t>
      </w:r>
      <w:r>
        <w:rPr>
          <w:rFonts w:ascii="Times New Roman" w:hAnsi="Times New Roman"/>
          <w:color w:val="000000"/>
          <w:sz w:val="22"/>
          <w:u w:val="single"/>
        </w:rPr>
        <w:t>Qualifying Retiree</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1.13</w:t>
      </w:r>
      <w:r>
        <w:rPr>
          <w:rFonts w:ascii="Times New Roman" w:hAnsi="Times New Roman"/>
          <w:color w:val="000000"/>
          <w:sz w:val="20"/>
        </w:rPr>
        <w:t xml:space="preserve"> – “</w:t>
      </w:r>
      <w:r>
        <w:rPr>
          <w:rFonts w:ascii="Times New Roman" w:hAnsi="Times New Roman"/>
          <w:color w:val="000000"/>
          <w:sz w:val="22"/>
          <w:u w:val="single"/>
        </w:rPr>
        <w:t>Qualifying Retirement</w:t>
      </w:r>
      <w:r>
        <w:rPr>
          <w:rFonts w:ascii="Times New Roman" w:hAnsi="Times New Roman"/>
          <w:color w:val="000000"/>
          <w:sz w:val="20"/>
        </w:rPr>
        <w:t xml:space="preserve">” </w:t>
      </w:r>
      <w:r>
        <w:rPr>
          <w:rFonts w:ascii="Times New Roman" w:hAnsi="Times New Roman"/>
          <w:color w:val="000000"/>
          <w:sz w:val="22"/>
        </w:rPr>
        <w:t>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1.14</w:t>
      </w:r>
      <w:r>
        <w:rPr>
          <w:rFonts w:ascii="Times New Roman" w:hAnsi="Times New Roman"/>
          <w:color w:val="000000"/>
          <w:sz w:val="20"/>
        </w:rPr>
        <w:t xml:space="preserve"> – “</w:t>
      </w:r>
      <w:r>
        <w:rPr>
          <w:rFonts w:ascii="Times New Roman" w:hAnsi="Times New Roman"/>
          <w:color w:val="000000"/>
          <w:sz w:val="22"/>
          <w:u w:val="single"/>
        </w:rPr>
        <w:t>RCA</w:t>
      </w:r>
      <w:r>
        <w:rPr>
          <w:rFonts w:ascii="Times New Roman" w:hAnsi="Times New Roman"/>
          <w:color w:val="000000"/>
          <w:sz w:val="20"/>
        </w:rPr>
        <w:t xml:space="preserve">” </w:t>
      </w:r>
      <w:r>
        <w:rPr>
          <w:rFonts w:ascii="Times New Roman" w:hAnsi="Times New Roman"/>
          <w:color w:val="000000"/>
          <w:sz w:val="22"/>
        </w:rPr>
        <w:t>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1.15</w:t>
      </w:r>
      <w:r>
        <w:rPr>
          <w:rFonts w:ascii="Times New Roman" w:hAnsi="Times New Roman"/>
          <w:color w:val="000000"/>
          <w:sz w:val="20"/>
        </w:rPr>
        <w:t xml:space="preserve"> – “</w:t>
      </w:r>
      <w:r>
        <w:rPr>
          <w:rFonts w:ascii="Times New Roman" w:hAnsi="Times New Roman"/>
          <w:color w:val="000000"/>
          <w:sz w:val="22"/>
          <w:u w:val="single"/>
        </w:rPr>
        <w:t>Restricted Share Units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RSUs</w:t>
      </w:r>
      <w:r>
        <w:rPr>
          <w:rFonts w:ascii="Times New Roman" w:hAnsi="Times New Roman"/>
          <w:color w:val="000000"/>
          <w:sz w:val="20"/>
        </w:rPr>
        <w:t xml:space="preserve">” </w:t>
      </w:r>
      <w:r>
        <w:rPr>
          <w:rFonts w:ascii="Times New Roman" w:hAnsi="Times New Roman"/>
          <w:color w:val="000000"/>
          <w:sz w:val="22"/>
        </w:rPr>
        <w:t>shall mean a conditional right to receive Shares, including Fractional Share Interests, pursuant to the terms of the Grant Documents.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1.16</w:t>
      </w:r>
      <w:r>
        <w:rPr>
          <w:rFonts w:ascii="Times New Roman" w:hAnsi="Times New Roman"/>
          <w:color w:val="000000"/>
          <w:sz w:val="20"/>
        </w:rPr>
        <w:t xml:space="preserve"> – “</w:t>
      </w:r>
      <w:r>
        <w:rPr>
          <w:rFonts w:ascii="Times New Roman" w:hAnsi="Times New Roman"/>
          <w:color w:val="000000"/>
          <w:sz w:val="22"/>
          <w:u w:val="single"/>
        </w:rPr>
        <w:t>Retirement Compliance Officers</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1.17</w:t>
      </w:r>
      <w:r>
        <w:rPr>
          <w:rFonts w:ascii="Times New Roman" w:hAnsi="Times New Roman"/>
          <w:color w:val="000000"/>
          <w:sz w:val="20"/>
        </w:rPr>
        <w:t xml:space="preserve"> – “</w:t>
      </w:r>
      <w:r>
        <w:rPr>
          <w:rFonts w:ascii="Times New Roman" w:hAnsi="Times New Roman"/>
          <w:color w:val="000000"/>
          <w:sz w:val="22"/>
          <w:u w:val="single"/>
        </w:rPr>
        <w:t>Retirement Disclosure</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1.18</w:t>
      </w:r>
      <w:r>
        <w:rPr>
          <w:rFonts w:ascii="Times New Roman" w:hAnsi="Times New Roman"/>
          <w:color w:val="000000"/>
          <w:sz w:val="20"/>
        </w:rPr>
        <w:t xml:space="preserve"> – “</w:t>
      </w:r>
      <w:r>
        <w:rPr>
          <w:rFonts w:ascii="Times New Roman" w:hAnsi="Times New Roman"/>
          <w:color w:val="000000"/>
          <w:sz w:val="22"/>
          <w:u w:val="single"/>
        </w:rPr>
        <w:t>Retirement Noncompliance Event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1.19</w:t>
      </w:r>
      <w:r>
        <w:rPr>
          <w:rFonts w:ascii="Times New Roman" w:hAnsi="Times New Roman"/>
          <w:color w:val="000000"/>
          <w:sz w:val="20"/>
        </w:rPr>
        <w:t xml:space="preserve"> – “</w:t>
      </w:r>
      <w:r>
        <w:rPr>
          <w:rFonts w:ascii="Times New Roman" w:hAnsi="Times New Roman"/>
          <w:color w:val="000000"/>
          <w:sz w:val="22"/>
          <w:u w:val="single"/>
        </w:rPr>
        <w:t>Separation from Service</w:t>
      </w:r>
      <w:r>
        <w:rPr>
          <w:rFonts w:ascii="Times New Roman" w:hAnsi="Times New Roman"/>
          <w:color w:val="000000"/>
          <w:sz w:val="20"/>
        </w:rPr>
        <w:t xml:space="preserve">” </w:t>
      </w:r>
      <w:r>
        <w:rPr>
          <w:rFonts w:ascii="Times New Roman" w:hAnsi="Times New Roman"/>
          <w:color w:val="000000"/>
          <w:sz w:val="22"/>
        </w:rPr>
        <w:t>shall have the meaning ascribed to such term in Section 2.6(b) hereof.</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1.20</w:t>
      </w:r>
      <w:r>
        <w:rPr>
          <w:rFonts w:ascii="Times New Roman" w:hAnsi="Times New Roman"/>
          <w:color w:val="000000"/>
          <w:sz w:val="20"/>
        </w:rPr>
        <w:t xml:space="preserve"> – “</w:t>
      </w:r>
      <w:r>
        <w:rPr>
          <w:rFonts w:ascii="Times New Roman" w:hAnsi="Times New Roman"/>
          <w:color w:val="000000"/>
          <w:sz w:val="22"/>
          <w:u w:val="single"/>
        </w:rPr>
        <w:t>Service</w:t>
      </w:r>
      <w:r>
        <w:rPr>
          <w:rFonts w:ascii="Times New Roman" w:hAnsi="Times New Roman"/>
          <w:color w:val="000000"/>
          <w:sz w:val="20"/>
        </w:rPr>
        <w:t xml:space="preserve">” </w:t>
      </w:r>
      <w:r>
        <w:rPr>
          <w:rFonts w:ascii="Times New Roman" w:hAnsi="Times New Roman"/>
          <w:color w:val="000000"/>
          <w:sz w:val="22"/>
        </w:rPr>
        <w:t>shall mean service as an Employee with (or, subject to approval by the Committee, as a Consultant to) the Company, or a Subsidiary or Designated Associate Company thereof.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1.21</w:t>
      </w:r>
      <w:r>
        <w:rPr>
          <w:rFonts w:ascii="Times New Roman" w:hAnsi="Times New Roman"/>
          <w:color w:val="000000"/>
          <w:sz w:val="20"/>
        </w:rPr>
        <w:t xml:space="preserve"> – “</w:t>
      </w:r>
      <w:r>
        <w:rPr>
          <w:rFonts w:ascii="Times New Roman" w:hAnsi="Times New Roman"/>
          <w:color w:val="000000"/>
          <w:sz w:val="22"/>
          <w:u w:val="single"/>
        </w:rPr>
        <w:t>Shares</w:t>
      </w:r>
      <w:r>
        <w:rPr>
          <w:rFonts w:ascii="Times New Roman" w:hAnsi="Times New Roman"/>
          <w:color w:val="000000"/>
          <w:sz w:val="20"/>
        </w:rPr>
        <w:t xml:space="preserve">” </w:t>
      </w:r>
      <w:r>
        <w:rPr>
          <w:rFonts w:ascii="Times New Roman" w:hAnsi="Times New Roman"/>
          <w:color w:val="000000"/>
          <w:sz w:val="22"/>
        </w:rPr>
        <w:t>shall mean Ordinary Shares of the Company, Nominal Value per Share, which may be authorized but unissued. References in this Agreement to Shares shall also mean and include Fractional Share Interests when used in the context of references to Shares underlying the RSUs or issuable pursuant to RSUs unless the Agreement expressly provides otherwise or the context clearly suggests otherwise.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1.22</w:t>
      </w:r>
      <w:r>
        <w:rPr>
          <w:rFonts w:ascii="Times New Roman" w:hAnsi="Times New Roman"/>
          <w:color w:val="000000"/>
          <w:sz w:val="20"/>
        </w:rPr>
        <w:t xml:space="preserve"> – “</w:t>
      </w:r>
      <w:r>
        <w:rPr>
          <w:rFonts w:ascii="Times New Roman" w:hAnsi="Times New Roman"/>
          <w:color w:val="000000"/>
          <w:sz w:val="22"/>
          <w:u w:val="single"/>
        </w:rPr>
        <w:t>Termination Date</w:t>
      </w:r>
      <w:r>
        <w:rPr>
          <w:rFonts w:ascii="Times New Roman" w:hAnsi="Times New Roman"/>
          <w:color w:val="000000"/>
          <w:sz w:val="20"/>
        </w:rPr>
        <w:t xml:space="preserve">” </w:t>
      </w:r>
      <w:r>
        <w:rPr>
          <w:rFonts w:ascii="Times New Roman" w:hAnsi="Times New Roman"/>
          <w:color w:val="000000"/>
          <w:sz w:val="22"/>
        </w:rPr>
        <w:t>shall mean, unless otherwise determined by the Committee, in its sole discretion, the later of (i) the last day of the Colleague’s active Service or (ii) the last day of any notice period or garden leave, as provided for under the Colleague’s employment, retention or similar agreement, if any, or local law; provided, however, that in the case of United States taxpayers, the Termination Date shall mean a date that will allow the RSUs to comply with Section 409A of the Code.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1.23</w:t>
      </w:r>
      <w:r>
        <w:rPr>
          <w:rFonts w:ascii="Times New Roman" w:hAnsi="Times New Roman"/>
          <w:color w:val="000000"/>
          <w:sz w:val="20"/>
        </w:rPr>
        <w:t xml:space="preserve"> – “</w:t>
      </w:r>
      <w:r>
        <w:rPr>
          <w:rFonts w:ascii="Times New Roman" w:hAnsi="Times New Roman"/>
          <w:color w:val="000000"/>
          <w:sz w:val="22"/>
          <w:u w:val="single"/>
        </w:rPr>
        <w:t>Vesting Date</w:t>
      </w:r>
      <w:r>
        <w:rPr>
          <w:rFonts w:ascii="Times New Roman" w:hAnsi="Times New Roman"/>
          <w:color w:val="000000"/>
          <w:sz w:val="20"/>
        </w:rPr>
        <w:t xml:space="preserve">” </w:t>
      </w:r>
      <w:r>
        <w:rPr>
          <w:rFonts w:ascii="Times New Roman" w:hAnsi="Times New Roman"/>
          <w:color w:val="000000"/>
          <w:sz w:val="22"/>
        </w:rPr>
        <w:t>shall have the meaning ascribed to such term in the Grant Notice.</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1.24</w:t>
      </w:r>
      <w:r>
        <w:rPr>
          <w:rFonts w:ascii="Times New Roman" w:hAnsi="Times New Roman"/>
          <w:color w:val="000000"/>
          <w:sz w:val="20"/>
        </w:rPr>
        <w:t xml:space="preserve"> – “</w:t>
      </w:r>
      <w:r>
        <w:rPr>
          <w:rFonts w:ascii="Times New Roman" w:hAnsi="Times New Roman"/>
          <w:color w:val="000000"/>
          <w:sz w:val="22"/>
          <w:u w:val="single"/>
        </w:rPr>
        <w:t>Years of Service</w:t>
      </w:r>
      <w:r>
        <w:rPr>
          <w:rFonts w:ascii="Times New Roman" w:hAnsi="Times New Roman"/>
          <w:color w:val="000000"/>
          <w:sz w:val="20"/>
        </w:rPr>
        <w:t xml:space="preserve">” </w:t>
      </w:r>
      <w:r>
        <w:rPr>
          <w:rFonts w:ascii="Times New Roman" w:hAnsi="Times New Roman"/>
          <w:color w:val="000000"/>
          <w:sz w:val="22"/>
        </w:rPr>
        <w:t>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ARTICLE II</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GRANT OF TIME-BASED RESTRICTED SHARE UNITS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2.1</w:t>
      </w:r>
      <w:r>
        <w:rPr>
          <w:rFonts w:ascii="Times New Roman" w:hAnsi="Times New Roman"/>
          <w:color w:val="000000"/>
          <w:sz w:val="20"/>
        </w:rPr>
        <w:t xml:space="preserve"> – </w:t>
      </w:r>
      <w:r>
        <w:rPr>
          <w:rFonts w:ascii="Times New Roman" w:hAnsi="Times New Roman"/>
          <w:color w:val="000000"/>
          <w:sz w:val="22"/>
          <w:u w:val="single"/>
        </w:rPr>
        <w:t>Grant of the Time-Based Restricted Share Units</w:t>
      </w:r>
      <w:r>
        <w:rPr>
          <w:rFonts w:ascii="Times New Roman" w:hAnsi="Times New Roman"/>
          <w:color w:val="000000"/>
          <w:sz w:val="22"/>
        </w:rPr>
        <w:t>. The Company has awarded the Colleague the number of RSUs specified in the Grant Notice subject to the terms and conditions of the Grant Notice, the Plan, and the additional terms and conditions set forth in this Agreement and the restrictive covenants set forth in the RCA. The Colleague agrees that the grant of RSUs is sufficient consideration for the Colleague entering into the RCA.</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2.2</w:t>
      </w:r>
      <w:r>
        <w:rPr>
          <w:rFonts w:ascii="Times New Roman" w:hAnsi="Times New Roman"/>
          <w:color w:val="000000"/>
          <w:sz w:val="20"/>
        </w:rPr>
        <w:t xml:space="preserve"> – </w:t>
      </w:r>
      <w:r>
        <w:rPr>
          <w:rFonts w:ascii="Times New Roman" w:hAnsi="Times New Roman"/>
          <w:color w:val="000000"/>
          <w:sz w:val="22"/>
          <w:u w:val="single"/>
        </w:rPr>
        <w:t>RSU Payment</w:t>
      </w:r>
      <w:r>
        <w:rPr>
          <w:rFonts w:ascii="Times New Roman" w:hAnsi="Times New Roman"/>
          <w:color w:val="000000"/>
          <w:sz w:val="22"/>
        </w:rPr>
        <w:t>. In accordance with Section 7(d)(ii) of the Plan, the Shares to be issued upon vesting and settlement of the RSUs must be fully paid up prior to issuance of such Shares (including, in the interest of clarity, each issuance of Fractional Share Interests)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2.3</w:t>
      </w:r>
      <w:r>
        <w:rPr>
          <w:rFonts w:ascii="Times New Roman" w:hAnsi="Times New Roman"/>
          <w:color w:val="000000"/>
          <w:sz w:val="20"/>
        </w:rPr>
        <w:t xml:space="preserve"> – </w:t>
      </w:r>
      <w:r>
        <w:rPr>
          <w:rFonts w:ascii="Times New Roman" w:hAnsi="Times New Roman"/>
          <w:color w:val="000000"/>
          <w:sz w:val="22"/>
          <w:u w:val="single"/>
        </w:rPr>
        <w:t>Dividend Equivalents</w:t>
      </w:r>
      <w:r>
        <w:rPr>
          <w:rFonts w:ascii="Times New Roman" w:hAnsi="Times New Roman"/>
          <w:color w:val="000000"/>
          <w:sz w:val="22"/>
        </w:rPr>
        <w:t>. On each date that a cash dividend is paid to holders of Shares from the Grant Date through the date immediately prior to the date the RSUs are settled, an amount (the “</w:t>
      </w:r>
      <w:r>
        <w:rPr>
          <w:rFonts w:ascii="Times New Roman" w:hAnsi="Times New Roman"/>
          <w:color w:val="000000"/>
          <w:sz w:val="22"/>
          <w:u w:val="single"/>
        </w:rPr>
        <w:t>Dividend Equivalent Amount</w:t>
      </w:r>
      <w:r>
        <w:rPr>
          <w:rFonts w:ascii="Times New Roman" w:hAnsi="Times New Roman"/>
          <w:color w:val="000000"/>
          <w:sz w:val="20"/>
        </w:rPr>
        <w:t>”</w:t>
      </w:r>
      <w:r>
        <w:rPr>
          <w:rFonts w:ascii="Times New Roman" w:hAnsi="Times New Roman"/>
          <w:color w:val="000000"/>
          <w:sz w:val="22"/>
        </w:rPr>
        <w: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determined by dividing the Dividend Equivalent Amount by the Fair Market Value of a Share on the date of the dividend payment (“</w:t>
      </w:r>
      <w:r>
        <w:rPr>
          <w:rFonts w:ascii="Times New Roman" w:hAnsi="Times New Roman"/>
          <w:color w:val="000000"/>
          <w:sz w:val="22"/>
          <w:u w:val="single"/>
        </w:rPr>
        <w:t>Dividend Equivalent Units</w:t>
      </w:r>
      <w:r>
        <w:rPr>
          <w:rFonts w:ascii="Times New Roman" w:hAnsi="Times New Roman"/>
          <w:color w:val="000000"/>
          <w:sz w:val="20"/>
        </w:rPr>
        <w:t>”</w:t>
      </w:r>
      <w:r>
        <w:rPr>
          <w:rFonts w:ascii="Times New Roman" w:hAnsi="Times New Roman"/>
          <w:color w:val="000000"/>
          <w:sz w:val="22"/>
        </w:rPr>
        <w:t>). Dividend Equivalent Units will 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2.3.</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2.4</w:t>
      </w:r>
      <w:r>
        <w:rPr>
          <w:rFonts w:ascii="Times New Roman" w:hAnsi="Times New Roman"/>
          <w:color w:val="000000"/>
          <w:sz w:val="20"/>
        </w:rPr>
        <w:t xml:space="preserve"> – </w:t>
      </w:r>
      <w:r>
        <w:rPr>
          <w:rFonts w:ascii="Times New Roman" w:hAnsi="Times New Roman"/>
          <w:color w:val="000000"/>
          <w:sz w:val="22"/>
          <w:u w:val="single"/>
        </w:rPr>
        <w:t>Vesting</w:t>
      </w:r>
      <w:r>
        <w:rPr>
          <w:rFonts w:ascii="Times New Roman" w:hAnsi="Times New Roman"/>
          <w:color w:val="000000"/>
          <w:sz w:val="22"/>
        </w:rPr>
        <w:t>. The RSUs shall vest pursuant to the vesting schedule set forth in the Grant Notice, subject to the Colleague’s continued Service through the applicable Vesting Date, except as otherwise provided in Section 2.5 hereof.</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2.5</w:t>
      </w:r>
      <w:r>
        <w:rPr>
          <w:rFonts w:ascii="Times New Roman" w:hAnsi="Times New Roman"/>
          <w:color w:val="000000"/>
          <w:sz w:val="20"/>
        </w:rPr>
        <w:t xml:space="preserve"> – </w:t>
      </w:r>
      <w:r>
        <w:rPr>
          <w:rFonts w:ascii="Times New Roman" w:hAnsi="Times New Roman"/>
          <w:color w:val="000000"/>
          <w:sz w:val="22"/>
          <w:u w:val="single"/>
        </w:rPr>
        <w:t>Employment Termination; Change in Control</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Forfeiture upon Termination</w:t>
      </w:r>
      <w:r>
        <w:rPr>
          <w:rFonts w:ascii="Times New Roman" w:hAnsi="Times New Roman"/>
          <w:color w:val="000000"/>
          <w:sz w:val="22"/>
        </w:rPr>
        <w:t>. Except as otherwise provided in this Section 2.5 or the terms of the Colleague’s employment, retention or similar agreement, in the event of the Colleague’s termination of Service prior to a Vesting Date, any RSUs that are unvested as of the Termination Date shall be forfeited immediately as of the Termination Date by the Colleague.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Qualifying Retirement</w:t>
      </w:r>
      <w:r>
        <w:rPr>
          <w:rFonts w:ascii="Times New Roman" w:hAnsi="Times New Roman"/>
          <w:color w:val="000000"/>
          <w:sz w:val="22"/>
        </w:rPr>
        <w:t>. 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legally applicable to the Colleague and other obligations contemplated under Sections 3.1 and 3.2 hereof, as determined in the sole discretion of the Committee. If the Committee determines in its sole discretion that the Colleague has violated the restrictive covenants and other obligations under Sections 3.1 and 3.2 hereof, any RSUs that are unvested as of the date of the Committee’s determination shall be forfeited immediately. For the avoidance of any doubt, the provisions of this Section 2.5(b) shall prevail over the provisions of Section 2.5(d) hereof.</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Change in Control Involuntary Termination</w:t>
      </w:r>
      <w:r>
        <w:rPr>
          <w:rFonts w:ascii="Times New Roman" w:hAnsi="Times New Roman"/>
          <w:color w:val="000000"/>
          <w:sz w:val="22"/>
        </w:rPr>
        <w:t>. In the event the RSUs are assumed or otherwise substituted or replaced by the successor corporation or an affiliate thereof in connection with a Change of Control and the Colleague’s Service is terminated (i) by the successor corporation or an affiliate employing the Colleague without Cause or (ii) by the Colleague for Good Reason, in each case, within the 24-month period commencing on the effective date of a Change of Control, all unvested RSUs shall vest as of the Termination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i/>
          <w:color w:val="000000"/>
          <w:sz w:val="22"/>
        </w:rPr>
        <w:t>Non-Change in Control Involuntary Termination</w:t>
      </w:r>
      <w:r>
        <w:rPr>
          <w:rFonts w:ascii="Times New Roman" w:hAnsi="Times New Roman"/>
          <w:color w:val="000000"/>
          <w:sz w:val="22"/>
        </w:rPr>
        <w:t>. In the event of the Colleague’s (i) termination of Service without Cause by the Employer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2.5(d) shall be subject to the Colleague’s compliance with the restrictive covenants legally applicable to the Colleague and other obligations contemplated under Section 3.1 hereof, as determined in the sole discretion of the Committee. If no determination is made by the Committee as of the Termination Date, then the RSUs shall, to the extent not then vested, be immediately forfeited by the Colleague.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i/>
          <w:color w:val="000000"/>
          <w:sz w:val="22"/>
        </w:rPr>
        <w:t>Death/Disability</w:t>
      </w:r>
      <w:r>
        <w:rPr>
          <w:rFonts w:ascii="Times New Roman" w:hAnsi="Times New Roman"/>
          <w:color w:val="000000"/>
          <w:sz w:val="22"/>
        </w:rPr>
        <w:t>. In the event of the Colleague’s termination of Service as a result of the Colleague’s Permanent Disability or death, all unvested RSUs shall vest as of the Termination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i/>
          <w:color w:val="000000"/>
          <w:sz w:val="22"/>
        </w:rPr>
        <w:t>Change in Control</w:t>
      </w:r>
      <w:r>
        <w:rPr>
          <w:rFonts w:ascii="Times New Roman" w:hAnsi="Times New Roman"/>
          <w:color w:val="000000"/>
          <w:sz w:val="22"/>
        </w:rPr>
        <w:t>. Pursuant to Section 12 of the Plan, 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2.6</w:t>
      </w:r>
      <w:r>
        <w:rPr>
          <w:rFonts w:ascii="Times New Roman" w:hAnsi="Times New Roman"/>
          <w:color w:val="000000"/>
          <w:sz w:val="20"/>
        </w:rPr>
        <w:t xml:space="preserve"> – </w:t>
      </w:r>
      <w:r>
        <w:rPr>
          <w:rFonts w:ascii="Times New Roman" w:hAnsi="Times New Roman"/>
          <w:color w:val="000000"/>
          <w:sz w:val="22"/>
          <w:u w:val="single"/>
        </w:rPr>
        <w:t>Settlement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General Settlement Provisions</w:t>
      </w:r>
      <w:r>
        <w:rPr>
          <w:rFonts w:ascii="Times New Roman" w:hAnsi="Times New Roman"/>
          <w:color w:val="000000"/>
          <w:sz w:val="22"/>
        </w:rPr>
        <w:t>. Except as otherwise provided in Section 2.6(b) hereof, RSUs that become vested shall be settled in Shares (including, in the interest of clarity, Fractional Share Interests underlying the vested RSUs or that result from the withholding of less than a whole Share pursuant to Section 2.8) on the applicable Vesting Date or, if earlier, upon an accelerated vesting event pursuant to Sections 2.4(c), (e) or (f) hereof, or as soon as practicable, but not later than 31 days, thereafter. Notwithstanding the foregoing, a Fractional Share Interest may be paid in cash or rounded to the extent provided in Schedule A for the Colleague’s country or to the extent otherwise determined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Section 409A Settlement Timing Requirements</w:t>
      </w:r>
      <w:r>
        <w:rPr>
          <w:rFonts w:ascii="Times New Roman" w:hAnsi="Times New Roman"/>
          <w:color w:val="000000"/>
          <w:sz w:val="22"/>
        </w:rPr>
        <w:t>. 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w:t>
      </w:r>
      <w:r>
        <w:rPr>
          <w:rFonts w:ascii="Times New Roman" w:hAnsi="Times New Roman"/>
          <w:color w:val="000000"/>
          <w:sz w:val="22"/>
          <w:u w:val="single"/>
        </w:rPr>
        <w:t>409A CIC Event</w:t>
      </w:r>
      <w:r>
        <w:rPr>
          <w:color w:val="000000"/>
        </w:rPr>
        <w:t>”</w:t>
      </w:r>
      <w:r>
        <w:rPr>
          <w:rFonts w:ascii="Times New Roman" w:hAnsi="Times New Roman"/>
          <w:color w:val="000000"/>
          <w:sz w:val="22"/>
        </w:rPr>
        <w:t>), (iii) a “separation from service” within the meaning of Section 409A of the Code (a “</w:t>
      </w:r>
      <w:r>
        <w:rPr>
          <w:rFonts w:ascii="Times New Roman" w:hAnsi="Times New Roman"/>
          <w:color w:val="000000"/>
          <w:sz w:val="22"/>
          <w:u w:val="single"/>
        </w:rPr>
        <w:t>Separation from Service</w:t>
      </w:r>
      <w:r>
        <w:rPr>
          <w:color w:val="000000"/>
        </w:rPr>
        <w:t>”</w:t>
      </w:r>
      <w:r>
        <w:rPr>
          <w:rFonts w:ascii="Times New Roman" w:hAnsi="Times New Roman"/>
          <w:color w:val="000000"/>
          <w:sz w:val="22"/>
        </w:rPr>
        <w:t>)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 Separation from Service, to the extent such delayed payment is required in order to avoid a prohibited distribution under Section 409A of the Code, (iv) the Colleague’s death, and (v) the Colleague’s disability, within the meaning of Section 409A of the Code.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2.7</w:t>
      </w:r>
      <w:r>
        <w:rPr>
          <w:rFonts w:ascii="Times New Roman" w:hAnsi="Times New Roman"/>
          <w:color w:val="000000"/>
          <w:sz w:val="20"/>
        </w:rPr>
        <w:t xml:space="preserve"> – </w:t>
      </w:r>
      <w:r>
        <w:rPr>
          <w:rFonts w:ascii="Times New Roman" w:hAnsi="Times New Roman"/>
          <w:color w:val="000000"/>
          <w:sz w:val="22"/>
          <w:u w:val="single"/>
        </w:rPr>
        <w:t>Rights as Shareholder</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Whole Shares</w:t>
      </w:r>
      <w:r>
        <w:rPr>
          <w:rFonts w:ascii="Times New Roman" w:hAnsi="Times New Roman"/>
          <w:color w:val="000000"/>
          <w:sz w:val="22"/>
        </w:rPr>
        <w:t xml:space="preserve">. 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Fractional Share Interest</w:t>
      </w:r>
      <w:r>
        <w:rPr>
          <w:rFonts w:ascii="Times New Roman" w:hAnsi="Times New Roman"/>
          <w:color w:val="000000"/>
          <w:sz w:val="22"/>
        </w:rPr>
        <w:t>s. In the event a Fractional Share Interest is issued, the Colleague shall have with respect to such 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2.8</w:t>
      </w:r>
      <w:r>
        <w:rPr>
          <w:rFonts w:ascii="Times New Roman" w:hAnsi="Times New Roman"/>
          <w:color w:val="000000"/>
          <w:sz w:val="20"/>
        </w:rPr>
        <w:t xml:space="preserve"> – </w:t>
      </w:r>
      <w:r>
        <w:rPr>
          <w:rFonts w:ascii="Times New Roman" w:hAnsi="Times New Roman"/>
          <w:color w:val="000000"/>
          <w:sz w:val="22"/>
          <w:u w:val="single"/>
        </w:rPr>
        <w:t>Tax Withholding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w:t>
      </w:r>
      <w:r>
        <w:rPr>
          <w:rFonts w:ascii="Times New Roman" w:hAnsi="Times New Roman"/>
          <w:color w:val="000000"/>
          <w:sz w:val="20"/>
        </w:rPr>
        <w:t xml:space="preserve"> </w:t>
      </w:r>
      <w:r>
        <w:rPr>
          <w:rFonts w:ascii="Times New Roman" w:hAnsi="Times New Roman"/>
          <w:color w:val="000000"/>
          <w:sz w:val="22"/>
        </w:rPr>
        <w:t>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any relevant taxable or tax withholding event, as applicable, the Colleague agrees to make adequate arrangements satisfactory to the Company and/or the Employer to satisfy all Tax-Related Items.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2.9</w:t>
      </w:r>
      <w:r>
        <w:rPr>
          <w:rFonts w:ascii="Times New Roman" w:hAnsi="Times New Roman"/>
          <w:color w:val="000000"/>
          <w:sz w:val="20"/>
        </w:rPr>
        <w:t xml:space="preserve"> – </w:t>
      </w:r>
      <w:r>
        <w:rPr>
          <w:rFonts w:ascii="Times New Roman" w:hAnsi="Times New Roman"/>
          <w:color w:val="000000"/>
          <w:sz w:val="22"/>
          <w:u w:val="single"/>
        </w:rPr>
        <w:t>Conditions to Issuance of Shares</w:t>
      </w:r>
      <w:r>
        <w:rPr>
          <w:rFonts w:ascii="Times New Roman" w:hAnsi="Times New Roman"/>
          <w:color w:val="000000"/>
          <w:sz w:val="22"/>
        </w:rPr>
        <w:t>. The Shares underlying the RSUs to be issued hereunder shall be previously authorized but unissued Shares. Such Shares shall be fully paid. The Company shall not be required to issue Shares allotted upon the applicable date of the settlement of the RSUs prior to fulfillment of all of the following conditions: (a) the obtaining of approval or other clearance from any state, federal, local or foreign governmental agency which the Committee shall, in its absolute discretion, determine to be necessary or advisable; and (b) the Colleague has paid or made arrangements to pay the Tax-Related Items pursuant to Section 2.8 hereof. 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ARTICLE III</w:t>
      </w:r>
    </w:p>
    <w:p>
      <w:pPr>
        <w:pStyle w:val="TextBody"/>
        <w:bidi w:val="0"/>
        <w:spacing w:before="0" w:after="240"/>
        <w:jc w:val="center"/>
        <w:rPr>
          <w:rFonts w:ascii="Times New Roman" w:hAnsi="Times New Roman"/>
          <w:sz w:val="20"/>
        </w:rPr>
      </w:pPr>
      <w:r>
        <w:rPr>
          <w:rFonts w:ascii="Times New Roman" w:hAnsi="Times New Roman"/>
          <w:color w:val="000000"/>
          <w:sz w:val="22"/>
          <w:u w:val="single"/>
        </w:rPr>
        <w:t>ADDITIONAL TERMS AND CONDITIONS APPLICABLE TO RSUs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3.1</w:t>
      </w:r>
      <w:r>
        <w:rPr>
          <w:rFonts w:ascii="Times New Roman" w:hAnsi="Times New Roman"/>
          <w:color w:val="000000"/>
          <w:sz w:val="20"/>
        </w:rPr>
        <w:t xml:space="preserve"> – </w:t>
      </w:r>
      <w:r>
        <w:rPr>
          <w:rFonts w:ascii="Times New Roman" w:hAnsi="Times New Roman"/>
          <w:color w:val="000000"/>
          <w:sz w:val="22"/>
          <w:u w:val="single"/>
        </w:rPr>
        <w:t>Restrictive Covenants and Other Obligations</w:t>
      </w:r>
      <w:r>
        <w:rPr>
          <w:rFonts w:ascii="Times New Roman" w:hAnsi="Times New Roman"/>
          <w:color w:val="000000"/>
          <w:sz w:val="22"/>
        </w:rPr>
        <w:t>. In consideration of the grant of RSUs, the Colleague shall agree to the restrictive covenants and other obligations contained in the RCA. In the event the Colleague fails to execute and deliver or electronically accept the RCA in the manner and within the period specified in the Grant Notice, the Committee may, in its sole discretion, cancel the RSUs.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3.2</w:t>
      </w:r>
      <w:r>
        <w:rPr>
          <w:rFonts w:ascii="Times New Roman" w:hAnsi="Times New Roman"/>
          <w:color w:val="000000"/>
          <w:sz w:val="20"/>
        </w:rPr>
        <w:t xml:space="preserve"> – </w:t>
      </w:r>
      <w:r>
        <w:rPr>
          <w:rFonts w:ascii="Times New Roman" w:hAnsi="Times New Roman"/>
          <w:color w:val="000000"/>
          <w:sz w:val="22"/>
          <w:u w:val="single"/>
        </w:rPr>
        <w:t>Continued Vesting Requirements Applicable to Qualifying Retirees</w:t>
      </w:r>
      <w:r>
        <w:rPr>
          <w:rFonts w:ascii="Times New Roman" w:hAnsi="Times New Roman"/>
          <w:color w:val="000000"/>
          <w:sz w:val="22"/>
        </w:rPr>
        <w:t>. For any Colleague whose termination of Service with the Company constitutes a Qualifying Retirement (“</w:t>
      </w:r>
      <w:r>
        <w:rPr>
          <w:rFonts w:ascii="Times New Roman" w:hAnsi="Times New Roman"/>
          <w:color w:val="000000"/>
          <w:sz w:val="22"/>
          <w:u w:val="single"/>
        </w:rPr>
        <w:t>Qualifying Retiree</w:t>
      </w:r>
      <w:r>
        <w:rPr>
          <w:rFonts w:ascii="Times New Roman" w:hAnsi="Times New Roman"/>
          <w:color w:val="000000"/>
          <w:sz w:val="20"/>
        </w:rPr>
        <w:t>”</w:t>
      </w:r>
      <w:r>
        <w:rPr>
          <w:rFonts w:ascii="Times New Roman" w:hAnsi="Times New Roman"/>
          <w:color w:val="000000"/>
          <w:sz w:val="22"/>
        </w:rPr>
        <w:t>), in order for the Qualifying Retiree to continue to vest in the RSUs in accordance with the provisions of Section 2.5(b) hereof,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3.2(i), the “</w:t>
      </w:r>
      <w:r>
        <w:rPr>
          <w:rFonts w:ascii="Times New Roman" w:hAnsi="Times New Roman"/>
          <w:color w:val="000000"/>
          <w:sz w:val="22"/>
          <w:u w:val="single"/>
        </w:rPr>
        <w:t>Retirement Disclosure</w:t>
      </w:r>
      <w:r>
        <w:rPr>
          <w:rFonts w:ascii="Times New Roman" w:hAnsi="Times New Roman"/>
          <w:color w:val="000000"/>
          <w:sz w:val="20"/>
        </w:rPr>
        <w:t>”</w:t>
      </w:r>
      <w:r>
        <w:rPr>
          <w:rFonts w:ascii="Times New Roman" w:hAnsi="Times New Roman"/>
          <w:color w:val="000000"/>
          <w:sz w:val="22"/>
        </w:rPr>
        <w:t>). In the event that a Qualifying Retiree does not make the required Retirement Disclosure, or the Company’s Chief Executive Officer, Chief Human Resources Officer, and General Counsel (jointly), or the Committee Chair, in the case of the current or any former Chief Executive Officer of the Company (the “</w:t>
      </w:r>
      <w:r>
        <w:rPr>
          <w:rFonts w:ascii="Times New Roman" w:hAnsi="Times New Roman"/>
          <w:color w:val="000000"/>
          <w:sz w:val="22"/>
          <w:u w:val="single"/>
        </w:rPr>
        <w:t>Retirement Compliance Officers</w:t>
      </w:r>
      <w:r>
        <w:rPr>
          <w:rFonts w:ascii="Times New Roman" w:hAnsi="Times New Roman"/>
          <w:color w:val="000000"/>
          <w:sz w:val="20"/>
        </w:rPr>
        <w:t>”</w:t>
      </w:r>
      <w:r>
        <w:rPr>
          <w:rFonts w:ascii="Times New Roman" w:hAnsi="Times New Roman"/>
          <w:color w:val="000000"/>
          <w:sz w:val="22"/>
        </w:rPr>
        <w:t>)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w:t>
      </w:r>
      <w:r>
        <w:rPr>
          <w:rFonts w:ascii="Times New Roman" w:hAnsi="Times New Roman"/>
          <w:color w:val="000000"/>
          <w:sz w:val="22"/>
          <w:u w:val="single"/>
        </w:rPr>
        <w:t>Retirement Noncompliance Event</w:t>
      </w:r>
      <w:r>
        <w:rPr>
          <w:rFonts w:ascii="Times New Roman" w:hAnsi="Times New Roman"/>
          <w:color w:val="000000"/>
          <w:sz w:val="20"/>
        </w:rPr>
        <w:t>”</w:t>
      </w:r>
      <w:r>
        <w:rPr>
          <w:rFonts w:ascii="Times New Roman" w:hAnsi="Times New Roman"/>
          <w:color w:val="000000"/>
          <w:sz w:val="22"/>
        </w:rPr>
        <w:t>), the Retirement Compliance Officers may determine, in their sole and absolute discretion in accordance with applicable law in those states or jurisdictions where such a provision is lawful, that all vesting under Section 2.5(b)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2.5(b).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3.3</w:t>
      </w:r>
      <w:r>
        <w:rPr>
          <w:rFonts w:ascii="Times New Roman" w:hAnsi="Times New Roman"/>
          <w:color w:val="000000"/>
          <w:sz w:val="20"/>
        </w:rPr>
        <w:t xml:space="preserve"> – </w:t>
      </w:r>
      <w:r>
        <w:rPr>
          <w:rFonts w:ascii="Times New Roman" w:hAnsi="Times New Roman"/>
          <w:color w:val="000000"/>
          <w:sz w:val="22"/>
          <w:u w:val="single"/>
        </w:rPr>
        <w:t>Clawback / Repayment</w:t>
      </w:r>
      <w:r>
        <w:rPr>
          <w:rFonts w:ascii="Times New Roman" w:hAnsi="Times New Roman"/>
          <w:color w:val="000000"/>
          <w:sz w:val="22"/>
        </w:rPr>
        <w:t>. 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RSUs to re-convey, transfer, surrender or otherwise return such Shares and/or other amounts to the Company upon the Company’s enforcement of this Section 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ARTICLE IV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OTHER TERMS</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4.1</w:t>
      </w:r>
      <w:r>
        <w:rPr>
          <w:rFonts w:ascii="Times New Roman" w:hAnsi="Times New Roman"/>
          <w:color w:val="000000"/>
          <w:sz w:val="20"/>
        </w:rPr>
        <w:t xml:space="preserve"> – </w:t>
      </w:r>
      <w:r>
        <w:rPr>
          <w:rFonts w:ascii="Times New Roman" w:hAnsi="Times New Roman"/>
          <w:color w:val="000000"/>
          <w:sz w:val="22"/>
          <w:u w:val="single"/>
        </w:rPr>
        <w:t>Nature of RSU Award</w:t>
      </w:r>
      <w:r>
        <w:rPr>
          <w:rFonts w:ascii="Times New Roman" w:hAnsi="Times New Roman"/>
          <w:color w:val="000000"/>
          <w:sz w:val="22"/>
        </w:rPr>
        <w:t>.</w:t>
      </w:r>
    </w:p>
    <w:p>
      <w:pPr>
        <w:pStyle w:val="Heading2"/>
        <w:bidi w:val="0"/>
        <w:spacing w:before="0" w:after="240"/>
        <w:jc w:val="left"/>
        <w:rPr>
          <w:rFonts w:ascii="Times New Roman" w:hAnsi="Times New Roman"/>
          <w:b w:val="false"/>
          <w:color w:val="000000"/>
          <w:sz w:val="22"/>
        </w:rPr>
      </w:pPr>
      <w:r>
        <w:rPr>
          <w:rFonts w:ascii="Times New Roman" w:hAnsi="Times New Roman"/>
          <w:b w:val="false"/>
          <w:color w:val="000000"/>
          <w:sz w:val="22"/>
        </w:rPr>
        <w:t>In accepting the RSUs, the Colleague acknowledges, understands and agrees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Voluntary and Discretionary</w:t>
      </w:r>
      <w:r>
        <w:rPr>
          <w:rFonts w:ascii="Times New Roman" w:hAnsi="Times New Roman"/>
          <w:color w:val="000000"/>
          <w:sz w:val="22"/>
        </w:rPr>
        <w:t>. The Plan is established voluntarily by the Company, is discretionary in nature and may be amended, suspended or terminated by the Company at any time, to the extent permitted by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Administration of the Plan and Payment Obligations</w:t>
      </w:r>
      <w:r>
        <w:rPr>
          <w:rFonts w:ascii="Times New Roman" w:hAnsi="Times New Roman"/>
          <w:color w:val="000000"/>
          <w:sz w:val="22"/>
        </w:rPr>
        <w:t>. The Plan is operated and the RSUs are granted solely by the Company and only the Company is a party to this Agreement. Accordingly, any rights the Colleague may have under this Agreement, including related to the issuance of Shares pursuant to the RSUs, may be raised only against the Company. No Subsidiary nor Designated Associate Company (including, but not limited to, the Employer) has any obligation to make any payment of any kind under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No Acquired Rights</w:t>
      </w:r>
      <w:r>
        <w:rPr>
          <w:rFonts w:ascii="Times New Roman" w:hAnsi="Times New Roman"/>
          <w:color w:val="000000"/>
          <w:sz w:val="22"/>
        </w:rPr>
        <w:t>. The RSU award is exceptional, voluntary and occasional and does not create any contractual or other right to receive future RSU awards, or benefits in lieu of RSU awards, even if RSUs have been granted in the past. Further, all decisions with respect to future RSUs or other grants, if any, will be at the sole discretion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i/>
          <w:color w:val="000000"/>
          <w:sz w:val="22"/>
        </w:rPr>
        <w:t>Participation</w:t>
      </w:r>
      <w:r>
        <w:rPr>
          <w:rFonts w:ascii="Times New Roman" w:hAnsi="Times New Roman"/>
          <w:color w:val="000000"/>
          <w:sz w:val="22"/>
        </w:rPr>
        <w:t>. The Colleague’s participation in the Plan is voluntary.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i/>
          <w:color w:val="000000"/>
          <w:sz w:val="22"/>
        </w:rPr>
        <w:t>Not Part of Salary</w:t>
      </w:r>
      <w:r>
        <w:rPr>
          <w:rFonts w:ascii="Times New Roman" w:hAnsi="Times New Roman"/>
          <w:color w:val="000000"/>
          <w:sz w:val="22"/>
        </w:rPr>
        <w:t>. The RSUs and any Shares acquired under the Plan, and the income and the value of same, are (i) not intended to replace any pension rights or compensation under any pension arrangement, and (ii)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i/>
          <w:color w:val="000000"/>
          <w:sz w:val="22"/>
        </w:rPr>
        <w:t xml:space="preserve">Services as a Director. </w:t>
      </w:r>
      <w:r>
        <w:rPr>
          <w:rFonts w:ascii="Times New Roman" w:hAnsi="Times New Roman"/>
          <w:color w:val="000000"/>
          <w:sz w:val="22"/>
        </w:rPr>
        <w:t>Unless otherwise agreed with the Company, the RSUs and the Shares subject to the RSUs, and the income and value of same, are not granted as consideration for, or in connection with, services the Colleague may provide as a director of any Subsidiary or affiliate.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i/>
          <w:color w:val="000000"/>
          <w:sz w:val="22"/>
        </w:rPr>
        <w:t>Uncertain Value</w:t>
      </w:r>
      <w:r>
        <w:rPr>
          <w:rFonts w:ascii="Times New Roman" w:hAnsi="Times New Roman"/>
          <w:color w:val="000000"/>
          <w:sz w:val="22"/>
        </w:rPr>
        <w:t xml:space="preserve">. The future value of the Shares underlying the RSUs is unknown, indeterminable, and cannot be predicted with certainty.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i/>
          <w:color w:val="000000"/>
          <w:sz w:val="22"/>
        </w:rPr>
        <w:t>No Entitlements</w:t>
      </w:r>
      <w:r>
        <w:rPr>
          <w:rFonts w:ascii="Times New Roman" w:hAnsi="Times New Roman"/>
          <w:color w:val="000000"/>
          <w:sz w:val="22"/>
        </w:rPr>
        <w:t>. No claim or entitlement to compensation or damages shall arise from forfeiture of the RSUs or the underlying Shares resulting from (i) the application of the clawback provisions of Section 3.3 hereof, or (ii) the Colleague’s termination of Service (for any reason whatsoever, whether or not later found to be invalid or in breach of employment laws in the jurisdiction where the Colleague is employed or the terms of their employment agreement, if any). Further,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0"/>
          <w:u w:val="single"/>
        </w:rPr>
        <w:t xml:space="preserve"> </w:t>
      </w:r>
      <w:r>
        <w:rPr>
          <w:rFonts w:ascii="Times New Roman" w:hAnsi="Times New Roman"/>
          <w:color w:val="000000"/>
          <w:sz w:val="22"/>
          <w:u w:val="single"/>
        </w:rPr>
        <w:t>No Advice Regarding Grant</w:t>
      </w:r>
      <w:r>
        <w:rPr>
          <w:rFonts w:ascii="Times New Roman" w:hAnsi="Times New Roman"/>
          <w:color w:val="000000"/>
          <w:sz w:val="22"/>
        </w:rPr>
        <w:t>. 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4.3</w:t>
      </w:r>
      <w:r>
        <w:rPr>
          <w:rFonts w:ascii="Times New Roman" w:hAnsi="Times New Roman"/>
          <w:color w:val="000000"/>
          <w:sz w:val="20"/>
        </w:rPr>
        <w:t xml:space="preserve"> – </w:t>
      </w:r>
      <w:r>
        <w:rPr>
          <w:rFonts w:ascii="Times New Roman" w:hAnsi="Times New Roman"/>
          <w:color w:val="000000"/>
          <w:sz w:val="22"/>
          <w:u w:val="single"/>
        </w:rPr>
        <w:t>Limitation on Obligations</w:t>
      </w:r>
      <w:r>
        <w:rPr>
          <w:rFonts w:ascii="Times New Roman" w:hAnsi="Times New Roman"/>
          <w:color w:val="000000"/>
          <w:sz w:val="22"/>
        </w:rPr>
        <w:t>. 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4.4</w:t>
      </w:r>
      <w:r>
        <w:rPr>
          <w:rFonts w:ascii="Times New Roman" w:hAnsi="Times New Roman"/>
          <w:color w:val="000000"/>
          <w:sz w:val="20"/>
        </w:rPr>
        <w:t xml:space="preserve"> – </w:t>
      </w:r>
      <w:r>
        <w:rPr>
          <w:rFonts w:ascii="Times New Roman" w:hAnsi="Times New Roman"/>
          <w:color w:val="000000"/>
          <w:sz w:val="22"/>
          <w:u w:val="single"/>
        </w:rPr>
        <w:t>Data Privacy</w:t>
      </w:r>
      <w:r>
        <w:rPr>
          <w:rFonts w:ascii="Times New Roman" w:hAnsi="Times New Roman"/>
          <w:color w:val="000000"/>
          <w:sz w:val="22"/>
        </w:rPr>
        <w:t xml:space="preserve">. </w:t>
      </w:r>
      <w:r>
        <w:rPr>
          <w:rFonts w:ascii="Times New Roman" w:hAnsi="Times New Roman"/>
          <w:b/>
          <w:i/>
          <w:color w:val="000000"/>
          <w:sz w:val="22"/>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B to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4.5</w:t>
      </w:r>
      <w:r>
        <w:rPr>
          <w:rFonts w:ascii="Times New Roman" w:hAnsi="Times New Roman"/>
          <w:color w:val="000000"/>
          <w:sz w:val="20"/>
        </w:rPr>
        <w:t xml:space="preserve"> – </w:t>
      </w:r>
      <w:r>
        <w:rPr>
          <w:rFonts w:ascii="Times New Roman" w:hAnsi="Times New Roman"/>
          <w:color w:val="000000"/>
          <w:sz w:val="22"/>
          <w:u w:val="single"/>
        </w:rPr>
        <w:t>Administration</w:t>
      </w:r>
      <w:r>
        <w:rPr>
          <w:rFonts w:ascii="Times New Roman" w:hAnsi="Times New Roman"/>
          <w:color w:val="000000"/>
          <w:sz w:val="22"/>
        </w:rPr>
        <w:t>.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4.6</w:t>
      </w:r>
      <w:r>
        <w:rPr>
          <w:rFonts w:ascii="Times New Roman" w:hAnsi="Times New Roman"/>
          <w:color w:val="000000"/>
          <w:sz w:val="20"/>
        </w:rPr>
        <w:t xml:space="preserve"> – </w:t>
      </w:r>
      <w:r>
        <w:rPr>
          <w:rFonts w:ascii="Times New Roman" w:hAnsi="Times New Roman"/>
          <w:color w:val="000000"/>
          <w:sz w:val="22"/>
          <w:u w:val="single"/>
        </w:rPr>
        <w:t>RSUs Not Transferable; Fractional Share Interests Not Transferable to other Broker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4.7</w:t>
      </w:r>
      <w:r>
        <w:rPr>
          <w:rFonts w:ascii="Times New Roman" w:hAnsi="Times New Roman"/>
          <w:color w:val="000000"/>
          <w:sz w:val="20"/>
        </w:rPr>
        <w:t xml:space="preserve"> – </w:t>
      </w:r>
      <w:r>
        <w:rPr>
          <w:rFonts w:ascii="Times New Roman" w:hAnsi="Times New Roman"/>
          <w:color w:val="000000"/>
          <w:sz w:val="22"/>
          <w:u w:val="single"/>
        </w:rPr>
        <w:t>Binding Effect</w:t>
      </w:r>
      <w:r>
        <w:rPr>
          <w:rFonts w:ascii="Times New Roman" w:hAnsi="Times New Roman"/>
          <w:color w:val="000000"/>
          <w:sz w:val="22"/>
        </w:rPr>
        <w:t>. The provisions of this Agreement shall be binding upon and accrue to the benefit of the parties hereto and their respective heirs, legal representatives,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4.8</w:t>
      </w:r>
      <w:r>
        <w:rPr>
          <w:rFonts w:ascii="Times New Roman" w:hAnsi="Times New Roman"/>
          <w:color w:val="000000"/>
          <w:sz w:val="20"/>
        </w:rPr>
        <w:t xml:space="preserve"> – </w:t>
      </w:r>
      <w:r>
        <w:rPr>
          <w:rFonts w:ascii="Times New Roman" w:hAnsi="Times New Roman"/>
          <w:color w:val="000000"/>
          <w:sz w:val="22"/>
          <w:u w:val="single"/>
        </w:rPr>
        <w:t>Employment or Service Rights</w:t>
      </w:r>
      <w:r>
        <w:rPr>
          <w:rFonts w:ascii="Times New Roman" w:hAnsi="Times New Roman"/>
          <w:color w:val="000000"/>
          <w:sz w:val="22"/>
        </w:rPr>
        <w:t>. 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4.9</w:t>
      </w:r>
      <w:r>
        <w:rPr>
          <w:rFonts w:ascii="Times New Roman" w:hAnsi="Times New Roman"/>
          <w:color w:val="000000"/>
          <w:sz w:val="20"/>
        </w:rPr>
        <w:t xml:space="preserve"> – </w:t>
      </w: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General Counsel of the Company at the Company’s principal office, and any notice to be given to the Colleague shall be addressed to the Colleague at the Colleague’s last address reflected on the Company’s records. By a notice given pursuant to this Section 4.9,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comparable non-U.S. postal service.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4.10</w:t>
      </w:r>
      <w:r>
        <w:rPr>
          <w:rFonts w:ascii="Times New Roman" w:hAnsi="Times New Roman"/>
          <w:color w:val="000000"/>
          <w:sz w:val="20"/>
        </w:rPr>
        <w:t xml:space="preserve"> – </w:t>
      </w: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4.11</w:t>
      </w:r>
      <w:r>
        <w:rPr>
          <w:rFonts w:ascii="Times New Roman" w:hAnsi="Times New Roman"/>
          <w:color w:val="000000"/>
          <w:sz w:val="20"/>
        </w:rPr>
        <w:t xml:space="preserve"> – </w:t>
      </w:r>
      <w:r>
        <w:rPr>
          <w:rFonts w:ascii="Times New Roman" w:hAnsi="Times New Roman"/>
          <w:color w:val="000000"/>
          <w:sz w:val="22"/>
          <w:u w:val="single"/>
        </w:rPr>
        <w:t>Applicability of Plan</w:t>
      </w:r>
      <w:r>
        <w:rPr>
          <w:rFonts w:ascii="Times New Roman" w:hAnsi="Times New Roman"/>
          <w:color w:val="000000"/>
          <w:sz w:val="22"/>
        </w:rPr>
        <w:t>. 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4.12</w:t>
      </w:r>
      <w:r>
        <w:rPr>
          <w:rFonts w:ascii="Times New Roman" w:hAnsi="Times New Roman"/>
          <w:color w:val="000000"/>
          <w:sz w:val="20"/>
        </w:rPr>
        <w:t xml:space="preserve"> – </w:t>
      </w:r>
      <w:r>
        <w:rPr>
          <w:rFonts w:ascii="Times New Roman" w:hAnsi="Times New Roman"/>
          <w:color w:val="000000"/>
          <w:sz w:val="22"/>
          <w:u w:val="single"/>
        </w:rPr>
        <w:t>Amendment</w:t>
      </w:r>
      <w:r>
        <w:rPr>
          <w:rFonts w:ascii="Times New Roman" w:hAnsi="Times New Roman"/>
          <w:color w:val="000000"/>
          <w:sz w:val="22"/>
        </w:rPr>
        <w:t>. 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4.13</w:t>
      </w:r>
      <w:r>
        <w:rPr>
          <w:rFonts w:ascii="Times New Roman" w:hAnsi="Times New Roman"/>
          <w:color w:val="000000"/>
          <w:sz w:val="20"/>
        </w:rPr>
        <w:t xml:space="preserve"> – </w:t>
      </w:r>
      <w:r>
        <w:rPr>
          <w:rFonts w:ascii="Times New Roman" w:hAnsi="Times New Roman"/>
          <w:color w:val="000000"/>
          <w:sz w:val="22"/>
          <w:u w:val="single"/>
        </w:rPr>
        <w:t>Governing Law</w:t>
      </w:r>
      <w:r>
        <w:rPr>
          <w:rFonts w:ascii="Times New Roman" w:hAnsi="Times New Roman"/>
          <w:color w:val="000000"/>
          <w:sz w:val="22"/>
        </w:rPr>
        <w:t>. 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4.14</w:t>
      </w:r>
      <w:r>
        <w:rPr>
          <w:rFonts w:ascii="Times New Roman" w:hAnsi="Times New Roman"/>
          <w:color w:val="000000"/>
          <w:sz w:val="20"/>
        </w:rPr>
        <w:t xml:space="preserve"> – </w:t>
      </w:r>
      <w:r>
        <w:rPr>
          <w:rFonts w:ascii="Times New Roman" w:hAnsi="Times New Roman"/>
          <w:color w:val="000000"/>
          <w:sz w:val="22"/>
          <w:u w:val="single"/>
        </w:rPr>
        <w:t>Venue</w:t>
      </w:r>
      <w:r>
        <w:rPr>
          <w:rFonts w:ascii="Times New Roman" w:hAnsi="Times New Roman"/>
          <w:color w:val="000000"/>
          <w:sz w:val="22"/>
        </w:rPr>
        <w:t>. 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4.15</w:t>
      </w:r>
      <w:r>
        <w:rPr>
          <w:rFonts w:ascii="Times New Roman" w:hAnsi="Times New Roman"/>
          <w:color w:val="000000"/>
          <w:sz w:val="20"/>
        </w:rPr>
        <w:t xml:space="preserve"> – </w:t>
      </w: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4.16</w:t>
      </w:r>
      <w:r>
        <w:rPr>
          <w:rFonts w:ascii="Times New Roman" w:hAnsi="Times New Roman"/>
          <w:color w:val="000000"/>
          <w:sz w:val="20"/>
        </w:rPr>
        <w:t xml:space="preserve"> – </w:t>
      </w:r>
      <w:r>
        <w:rPr>
          <w:rFonts w:ascii="Times New Roman" w:hAnsi="Times New Roman"/>
          <w:color w:val="000000"/>
          <w:sz w:val="22"/>
          <w:u w:val="single"/>
        </w:rPr>
        <w:t>Choice of Language</w:t>
      </w:r>
      <w:r>
        <w:rPr>
          <w:rFonts w:ascii="Times New Roman" w:hAnsi="Times New Roman"/>
          <w:color w:val="000000"/>
          <w:sz w:val="22"/>
        </w:rPr>
        <w:t>. 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4.17</w:t>
      </w:r>
      <w:r>
        <w:rPr>
          <w:rFonts w:ascii="Times New Roman" w:hAnsi="Times New Roman"/>
          <w:color w:val="000000"/>
          <w:sz w:val="20"/>
        </w:rPr>
        <w:t xml:space="preserve"> – </w:t>
      </w: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4.19</w:t>
      </w:r>
      <w:r>
        <w:rPr>
          <w:rFonts w:ascii="Times New Roman" w:hAnsi="Times New Roman"/>
          <w:color w:val="000000"/>
          <w:sz w:val="20"/>
        </w:rPr>
        <w:t xml:space="preserve"> – </w:t>
      </w:r>
      <w:r>
        <w:rPr>
          <w:rFonts w:ascii="Times New Roman" w:hAnsi="Times New Roman"/>
          <w:color w:val="000000"/>
          <w:sz w:val="22"/>
          <w:u w:val="single"/>
        </w:rPr>
        <w:t>Schedule A</w:t>
      </w:r>
      <w:r>
        <w:rPr>
          <w:rFonts w:ascii="Times New Roman" w:hAnsi="Times New Roman"/>
          <w:color w:val="000000"/>
          <w:sz w:val="22"/>
        </w:rPr>
        <w:t>. 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4.20</w:t>
      </w:r>
      <w:r>
        <w:rPr>
          <w:rFonts w:ascii="Times New Roman" w:hAnsi="Times New Roman"/>
          <w:color w:val="000000"/>
          <w:sz w:val="20"/>
        </w:rPr>
        <w:t xml:space="preserve"> – </w:t>
      </w: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4.21</w:t>
      </w:r>
      <w:r>
        <w:rPr>
          <w:rFonts w:ascii="Times New Roman" w:hAnsi="Times New Roman"/>
          <w:color w:val="000000"/>
          <w:sz w:val="20"/>
        </w:rPr>
        <w:t xml:space="preserve"> – </w:t>
      </w:r>
      <w:r>
        <w:rPr>
          <w:rFonts w:ascii="Times New Roman" w:hAnsi="Times New Roman"/>
          <w:color w:val="000000"/>
          <w:sz w:val="22"/>
          <w:u w:val="single"/>
        </w:rPr>
        <w:t>Insider Trading / Market Abuse Laws</w:t>
      </w:r>
      <w:r>
        <w:rPr>
          <w:rFonts w:ascii="Times New Roman" w:hAnsi="Times New Roman"/>
          <w:color w:val="000000"/>
          <w:sz w:val="22"/>
        </w:rPr>
        <w:t>. 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hAnsi="Times New Roman"/>
          <w:i/>
          <w:color w:val="000000"/>
          <w:sz w:val="22"/>
        </w:rPr>
        <w:t>e.g.</w:t>
      </w:r>
      <w:r>
        <w:rPr>
          <w:rFonts w:ascii="Times New Roman" w:hAnsi="Times New Roman"/>
          <w:color w:val="000000"/>
          <w:sz w:val="22"/>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including, for the avoidance of doubt, the Company’s Insider Trading Policy, as may be in effect from time to time. The Colleague acknowledges they are responsible for complying with any applicable restrictions and is encouraged to speak to their personal legal advisor for further details regarding any applicable insider-trading and/or market-abuse laws in the Colleague’s country.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4.22</w:t>
      </w:r>
      <w:r>
        <w:rPr>
          <w:rFonts w:ascii="Times New Roman" w:hAnsi="Times New Roman"/>
          <w:color w:val="000000"/>
          <w:sz w:val="20"/>
        </w:rPr>
        <w:t xml:space="preserve"> – </w:t>
      </w:r>
      <w:r>
        <w:rPr>
          <w:rFonts w:ascii="Times New Roman" w:hAnsi="Times New Roman"/>
          <w:color w:val="000000"/>
          <w:sz w:val="22"/>
          <w:u w:val="single"/>
        </w:rPr>
        <w:t>Foreign Asset/Account Reporting Requirements and Exchange Controls</w:t>
      </w:r>
      <w:r>
        <w:rPr>
          <w:rFonts w:ascii="Times New Roman" w:hAnsi="Times New Roman"/>
          <w:color w:val="000000"/>
          <w:sz w:val="22"/>
        </w:rPr>
        <w:t>. 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4.23</w:t>
      </w:r>
      <w:r>
        <w:rPr>
          <w:rFonts w:ascii="Times New Roman" w:hAnsi="Times New Roman"/>
          <w:color w:val="000000"/>
          <w:sz w:val="20"/>
        </w:rPr>
        <w:t xml:space="preserve"> – </w:t>
      </w:r>
      <w:r>
        <w:rPr>
          <w:rFonts w:ascii="Times New Roman" w:hAnsi="Times New Roman"/>
          <w:color w:val="000000"/>
          <w:sz w:val="22"/>
          <w:u w:val="single"/>
        </w:rPr>
        <w:t>Currency Exchange Risk</w:t>
      </w:r>
      <w:r>
        <w:rPr>
          <w:rFonts w:ascii="Times New Roman" w:hAnsi="Times New Roman"/>
          <w:color w:val="000000"/>
          <w:sz w:val="22"/>
        </w:rPr>
        <w:t>.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4.24</w:t>
      </w:r>
      <w:r>
        <w:rPr>
          <w:rFonts w:ascii="Times New Roman" w:hAnsi="Times New Roman"/>
          <w:color w:val="000000"/>
          <w:sz w:val="20"/>
        </w:rPr>
        <w:t xml:space="preserve"> – </w:t>
      </w:r>
      <w:r>
        <w:rPr>
          <w:rFonts w:ascii="Times New Roman" w:hAnsi="Times New Roman"/>
          <w:color w:val="000000"/>
          <w:sz w:val="22"/>
          <w:u w:val="single"/>
        </w:rPr>
        <w:t>Waiver</w:t>
      </w:r>
      <w:r>
        <w:rPr>
          <w:rFonts w:ascii="Times New Roman" w:hAnsi="Times New Roman"/>
          <w:color w:val="000000"/>
          <w:sz w:val="22"/>
        </w:rPr>
        <w:t>. 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4.25</w:t>
      </w:r>
      <w:r>
        <w:rPr>
          <w:rFonts w:ascii="Times New Roman" w:hAnsi="Times New Roman"/>
          <w:color w:val="000000"/>
          <w:sz w:val="20"/>
        </w:rPr>
        <w:t xml:space="preserve"> – </w:t>
      </w: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each of which shall be deemed to be an original and all of which together shall constitute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4.26</w:t>
      </w:r>
      <w:r>
        <w:rPr>
          <w:rFonts w:ascii="Times New Roman" w:hAnsi="Times New Roman"/>
          <w:color w:val="000000"/>
          <w:sz w:val="20"/>
        </w:rPr>
        <w:t xml:space="preserve"> – </w:t>
      </w:r>
      <w:r>
        <w:rPr>
          <w:rFonts w:ascii="Times New Roman" w:hAnsi="Times New Roman"/>
          <w:color w:val="000000"/>
          <w:sz w:val="22"/>
          <w:u w:val="single"/>
        </w:rPr>
        <w:t>Code Section 409A</w:t>
      </w:r>
      <w:r>
        <w:rPr>
          <w:rFonts w:ascii="Times New Roman" w:hAnsi="Times New Roman"/>
          <w:color w:val="000000"/>
          <w:sz w:val="22"/>
        </w:rPr>
        <w:t>. For purposes of United States taxpayers, it is intended that the terms of the RSUs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pStyle w:val="Heading2"/>
        <w:bidi w:val="0"/>
        <w:spacing w:before="0" w:after="240"/>
        <w:jc w:val="center"/>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Remainder of page intentionally blank</w:t>
      </w:r>
      <w:r>
        <w:rPr>
          <w:rFonts w:ascii="Times New Roman" w:hAnsi="Times New Roman"/>
          <w:b w:val="false"/>
          <w:color w:val="000000"/>
          <w:sz w:val="22"/>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aps/>
          <w:color w:val="000000"/>
          <w:sz w:val="22"/>
          <w:u w:val="single"/>
        </w:rPr>
      </w:pPr>
      <w:r>
        <w:rPr>
          <w:rFonts w:ascii="Times New Roman" w:hAnsi="Times New Roman"/>
          <w:b/>
          <w:caps/>
          <w:color w:val="000000"/>
          <w:sz w:val="22"/>
          <w:u w:val="single"/>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COUNTRY-SPECIFIC APPENDIX TO RESTRICTED SHARE UNIT AWARD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(Time-Based Restricted Share Units)</w:t>
      </w:r>
    </w:p>
    <w:p>
      <w:pPr>
        <w:pStyle w:val="TextBody"/>
        <w:bidi w:val="0"/>
        <w:jc w:val="center"/>
        <w:rPr>
          <w:rFonts w:ascii="Times New Roman" w:hAnsi="Times New Roman"/>
          <w:sz w:val="20"/>
        </w:rPr>
      </w:pPr>
      <w:r>
        <w:rPr>
          <w:rFonts w:ascii="Times New Roman" w:hAnsi="Times New Roman"/>
          <w:b/>
          <w:caps/>
          <w:color w:val="000000"/>
          <w:sz w:val="22"/>
        </w:rPr>
        <w:t>WILLIS TOWERS WATSON PUBLIC LIMITED COMPANY</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2012 EQUITY INCENTIVE PLAN, AS AMENDED AND RESTATED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Capitalized terms used but not defined herein shall have the meanings ascribed to them in the Agreement or the Plan.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2"/>
        </w:rPr>
        <w:t>This Schedule A includes additional terms and conditions that govern the Time-Based Restricted Share Unit Award granted to the Colleague under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and the applicable time-based Restricted Share Unit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if the Colleague resides in one of the countries listed below. This Schedule A forms part of the Agreement. Capitalized terms used but not defined herein shall have the meanings ascribed to them in the Agreement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Section 1.13 and Section 2.5(b)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1.13 and Section 2.5(b) shall not apply and Section 2.5 shall apply to the Colleague without giving effect to Section 2.5(b).</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Schedule A also includes information based on the securities, exchange control and other laws in effect in the Colleague’s country as of March 2026.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hAnsi="Times New Roman"/>
          <w:i/>
          <w:color w:val="000000"/>
          <w:sz w:val="22"/>
        </w:rPr>
        <w:t>Accordingly, the Colleague should seek appropriate professional advice as to how the tax or other laws in the Colleague’s country apply to the Colleague’s situation.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pStyle w:val="TextBody"/>
        <w:bidi w:val="0"/>
        <w:spacing w:before="0" w:after="240"/>
        <w:jc w:val="left"/>
        <w:rPr>
          <w:rFonts w:ascii="Times New Roman" w:hAnsi="Times New Roman"/>
          <w:b/>
          <w:caps/>
          <w:color w:val="000000"/>
          <w:sz w:val="22"/>
          <w:u w:val="single"/>
        </w:rPr>
      </w:pPr>
      <w:r>
        <w:rPr>
          <w:rFonts w:ascii="Times New Roman" w:hAnsi="Times New Roman"/>
          <w:b/>
          <w:caps/>
          <w:color w:val="000000"/>
          <w:sz w:val="22"/>
          <w:u w:val="single"/>
        </w:rPr>
        <w:t>IRELAND</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Settlement</w:t>
      </w:r>
      <w:r>
        <w:rPr>
          <w:rFonts w:ascii="Times New Roman" w:hAnsi="Times New Roman"/>
          <w:color w:val="000000"/>
          <w:sz w:val="22"/>
        </w:rPr>
        <w:t>. This provision supplements Section 2.6(a) of 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discretion in the Plan or anything to the contrary in the Agreement, the RSUs do not provide any right for the Colleague to receive a cash payment and the RSUs will be settled in Shares only.</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Director Reporting Obligation</w:t>
      </w:r>
      <w:r>
        <w:rPr>
          <w:rFonts w:ascii="Times New Roman" w:hAnsi="Times New Roman"/>
          <w:color w:val="000000"/>
          <w:sz w:val="22"/>
        </w:rPr>
        <w:t>. If the Colleague is a director, shadow director (described below) or secretary of the Company or an Irish Subsidiary, they must notify the Company or the Irish Subsidiary in writing if the Colleague receives or disposes of an interest exceeding 1% of the Company (</w:t>
      </w:r>
      <w:r>
        <w:rPr>
          <w:rFonts w:ascii="Times New Roman" w:hAnsi="Times New Roman"/>
          <w:i/>
          <w:color w:val="000000"/>
          <w:sz w:val="22"/>
        </w:rPr>
        <w:t>e.g</w:t>
      </w:r>
      <w:r>
        <w:rPr>
          <w:rFonts w:ascii="Times New Roman" w:hAnsi="Times New Roman"/>
          <w:color w:val="000000"/>
          <w:sz w:val="22"/>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pStyle w:val="TextBody"/>
        <w:bidi w:val="0"/>
        <w:spacing w:before="0" w:after="240"/>
        <w:jc w:val="left"/>
        <w:rPr>
          <w:rFonts w:ascii="Times New Roman" w:hAnsi="Times New Roman"/>
          <w:b/>
          <w:caps/>
          <w:color w:val="000000"/>
          <w:sz w:val="22"/>
          <w:u w:val="single"/>
        </w:rPr>
      </w:pPr>
      <w:r>
        <w:rPr>
          <w:rFonts w:ascii="Times New Roman" w:hAnsi="Times New Roman"/>
          <w:b/>
          <w:caps/>
          <w:color w:val="000000"/>
          <w:sz w:val="22"/>
          <w:u w:val="single"/>
        </w:rPr>
        <w:t>United Kingdom</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RSU Payment</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Settlement</w:t>
      </w:r>
      <w:r>
        <w:rPr>
          <w:rFonts w:ascii="Times New Roman" w:hAnsi="Times New Roman"/>
          <w:color w:val="000000"/>
          <w:sz w:val="22"/>
        </w:rPr>
        <w:t>. This provision supplements Section 2.6(a) of the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 discretion in the Plan or anything to the contrary in the Agreement, the RSUs do not provide any right for the Colleague to receive a cash payment and the RSUs will be settled in Shares only.</w:t>
      </w:r>
    </w:p>
    <w:p>
      <w:pPr>
        <w:pStyle w:val="TextBody"/>
        <w:bidi w:val="0"/>
        <w:spacing w:before="0" w:after="240"/>
        <w:jc w:val="left"/>
        <w:rPr>
          <w:rFonts w:ascii="Times New Roman" w:hAnsi="Times New Roman"/>
          <w:sz w:val="20"/>
        </w:rPr>
      </w:pPr>
      <w:r>
        <w:rPr>
          <w:rFonts w:ascii="Times New Roman" w:hAnsi="Times New Roman"/>
          <w:color w:val="000000"/>
          <w:sz w:val="22"/>
          <w:u w:val="single"/>
        </w:rPr>
        <w:t>Tax Withholding</w:t>
      </w:r>
      <w:r>
        <w:rPr>
          <w:rFonts w:ascii="Times New Roman" w:hAnsi="Times New Roman"/>
          <w:color w:val="000000"/>
          <w:sz w:val="22"/>
        </w:rPr>
        <w:t>. The following provisions supplement Section 2.8 of the Agreement:</w:t>
      </w:r>
    </w:p>
    <w:p>
      <w:pPr>
        <w:pStyle w:val="TextBody"/>
        <w:bidi w:val="0"/>
        <w:spacing w:before="0" w:after="240"/>
        <w:jc w:val="both"/>
        <w:rPr>
          <w:rFonts w:ascii="Times New Roman" w:hAnsi="Times New Roman"/>
          <w:sz w:val="20"/>
        </w:rPr>
      </w:pPr>
      <w:r>
        <w:rPr>
          <w:rFonts w:ascii="Times New Roman" w:hAnsi="Times New Roman"/>
          <w:color w:val="000000"/>
          <w:sz w:val="22"/>
        </w:rPr>
        <w:t>Without limitation to Section 2.8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2.8 of the Agreement.</w:t>
      </w:r>
      <w:r>
        <w:rPr>
          <w:rFonts w:ascii="Times New Roman" w:hAnsi="Times New Roman"/>
          <w:color w:val="000000"/>
          <w:sz w:val="20"/>
        </w:rPr>
        <w:t xml:space="preserve"> </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UNITED STATES OF AMERICA</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Exchange Control Information</w:t>
      </w:r>
      <w:r>
        <w:rPr>
          <w:rFonts w:ascii="Times New Roman" w:hAnsi="Times New Roman"/>
          <w:color w:val="000000"/>
          <w:sz w:val="22"/>
        </w:rPr>
        <w:t>. Under the Foreign Account Tax Compliance Act (“</w:t>
      </w:r>
      <w:r>
        <w:rPr>
          <w:rFonts w:ascii="Times New Roman" w:hAnsi="Times New Roman"/>
          <w:color w:val="000000"/>
          <w:sz w:val="22"/>
          <w:u w:val="single"/>
        </w:rPr>
        <w:t>FATCA</w:t>
      </w:r>
      <w:r>
        <w:rPr>
          <w:rFonts w:ascii="Times New Roman" w:hAnsi="Times New Roman"/>
          <w:color w:val="000000"/>
          <w:sz w:val="20"/>
        </w:rPr>
        <w:t>”</w:t>
      </w:r>
      <w:r>
        <w:rPr>
          <w:rFonts w:ascii="Times New Roman" w:hAnsi="Times New Roman"/>
          <w:color w:val="000000"/>
          <w:sz w:val="22"/>
        </w:rPr>
        <w:t>), United States taxpayers who hold Shares or rights to acquire Shares (</w:t>
      </w:r>
      <w:r>
        <w:rPr>
          <w:rFonts w:ascii="Times New Roman" w:hAnsi="Times New Roman"/>
          <w:i/>
          <w:color w:val="000000"/>
          <w:sz w:val="22"/>
        </w:rPr>
        <w:t>i.e</w:t>
      </w:r>
      <w:r>
        <w:rPr>
          <w:rFonts w:ascii="Times New Roman" w:hAnsi="Times New Roman"/>
          <w:color w:val="000000"/>
          <w:sz w:val="22"/>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u w:val="single"/>
        </w:rPr>
      </w:pPr>
      <w:r>
        <w:rPr>
          <w:rFonts w:ascii="Times New Roman" w:hAnsi="Times New Roman"/>
          <w:b/>
          <w:color w:val="000000"/>
          <w:sz w:val="22"/>
          <w:u w:val="single"/>
        </w:rPr>
        <w:t>SCHEDULE B</w:t>
      </w:r>
    </w:p>
    <w:p>
      <w:pPr>
        <w:pStyle w:val="TextBody"/>
        <w:bidi w:val="0"/>
        <w:spacing w:before="240" w:after="283"/>
        <w:jc w:val="center"/>
        <w:rPr>
          <w:rFonts w:ascii="Times New Roman" w:hAnsi="Times New Roman"/>
          <w:b/>
          <w:color w:val="6F2F9F"/>
          <w:sz w:val="22"/>
        </w:rPr>
      </w:pPr>
      <w:r>
        <w:rPr>
          <w:rFonts w:ascii="Times New Roman" w:hAnsi="Times New Roman"/>
          <w:b/>
          <w:color w:val="6F2F9F"/>
          <w:sz w:val="22"/>
        </w:rPr>
        <w:t>Willis Towers Watson</w:t>
      </w:r>
    </w:p>
    <w:p>
      <w:pPr>
        <w:pStyle w:val="TextBody"/>
        <w:bidi w:val="0"/>
        <w:jc w:val="center"/>
        <w:rPr>
          <w:rFonts w:ascii="Times New Roman" w:hAnsi="Times New Roman"/>
          <w:b/>
          <w:color w:val="6F2F9F"/>
          <w:sz w:val="22"/>
        </w:rPr>
      </w:pPr>
      <w:r>
        <w:rPr>
          <w:rFonts w:ascii="Times New Roman" w:hAnsi="Times New Roman"/>
          <w:b/>
          <w:color w:val="6F2F9F"/>
          <w:sz w:val="22"/>
        </w:rPr>
        <w:t>Global Employee Personal Information Protection Notice</w:t>
      </w:r>
    </w:p>
    <w:p>
      <w:pPr>
        <w:pStyle w:val="TextBody"/>
        <w:bidi w:val="0"/>
        <w:spacing w:before="240" w:after="283"/>
        <w:jc w:val="right"/>
        <w:rPr>
          <w:rFonts w:ascii="Times New Roman" w:hAnsi="Times New Roman"/>
          <w:sz w:val="20"/>
        </w:rPr>
      </w:pPr>
      <w:r>
        <w:rPr>
          <w:rFonts w:ascii="Times New Roman" w:hAnsi="Times New Roman"/>
          <w:b/>
          <w:color w:val="000000"/>
          <w:sz w:val="22"/>
          <w:u w:val="single"/>
        </w:rPr>
        <w:t>Last Updated</w:t>
      </w:r>
      <w:r>
        <w:rPr>
          <w:rFonts w:ascii="Times New Roman" w:hAnsi="Times New Roman"/>
          <w:b/>
          <w:color w:val="000000"/>
          <w:sz w:val="22"/>
        </w:rPr>
        <w:t>: December 2025</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1.</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Introduction</w:t>
      </w:r>
    </w:p>
    <w:p>
      <w:pPr>
        <w:pStyle w:val="TextBody"/>
        <w:bidi w:val="0"/>
        <w:spacing w:before="240" w:after="283"/>
        <w:jc w:val="both"/>
        <w:rPr>
          <w:rFonts w:ascii="Times New Roman" w:hAnsi="Times New Roman"/>
          <w:sz w:val="20"/>
        </w:rPr>
      </w:pPr>
      <w:r>
        <w:rPr>
          <w:rFonts w:ascii="Times New Roman" w:hAnsi="Times New Roman"/>
          <w:color w:val="000000"/>
          <w:sz w:val="22"/>
        </w:rPr>
        <w:t>Willis Towers Watson operates as a global business through its affiliated entities (together “</w:t>
      </w:r>
      <w:r>
        <w:rPr>
          <w:rFonts w:ascii="Times New Roman" w:hAnsi="Times New Roman"/>
          <w:b/>
          <w:color w:val="000000"/>
          <w:sz w:val="22"/>
        </w:rPr>
        <w:t>the Willis Towers Watson Group</w:t>
      </w:r>
      <w:r>
        <w:rPr>
          <w:rFonts w:ascii="Times New Roman" w:hAnsi="Times New Roman"/>
          <w:color w:val="000000"/>
          <w:sz w:val="20"/>
        </w:rPr>
        <w:t>”</w:t>
      </w:r>
      <w:r>
        <w:rPr>
          <w:rFonts w:ascii="Times New Roman" w:hAnsi="Times New Roman"/>
          <w:color w:val="000000"/>
          <w:sz w:val="22"/>
        </w:rPr>
        <w:t>, “WTW”). The WTW values the trust of its employees worldwide and is committed to protecting their personal information.</w:t>
      </w:r>
    </w:p>
    <w:p>
      <w:pPr>
        <w:pStyle w:val="TextBody"/>
        <w:bidi w:val="0"/>
        <w:spacing w:before="240" w:after="283"/>
        <w:jc w:val="both"/>
        <w:rPr>
          <w:rFonts w:ascii="Times New Roman" w:hAnsi="Times New Roman"/>
          <w:sz w:val="20"/>
        </w:rPr>
      </w:pPr>
      <w:r>
        <w:rPr>
          <w:rFonts w:ascii="Times New Roman" w:hAnsi="Times New Roman"/>
          <w:color w:val="000000"/>
          <w:sz w:val="22"/>
        </w:rPr>
        <w:t>WTW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hAnsi="Times New Roman"/>
          <w:b/>
          <w:color w:val="000000"/>
          <w:sz w:val="22"/>
        </w:rPr>
        <w:t>Notice</w:t>
      </w:r>
      <w:r>
        <w:rPr>
          <w:rFonts w:ascii="Times New Roman" w:hAnsi="Times New Roman"/>
          <w:color w:val="000000"/>
          <w:sz w:val="20"/>
        </w:rPr>
        <w:t>”</w:t>
      </w:r>
      <w:r>
        <w:rPr>
          <w:rFonts w:ascii="Times New Roman" w:hAnsi="Times New Roman"/>
          <w:color w:val="000000"/>
          <w:sz w:val="22"/>
        </w:rPr>
        <w:t>) is to give you information about what personal information WTW collects, uses, transfers and discloses, and why.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WTW entity is responsible for collecting and processing your personal data is the entity that employs you. WTW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2.</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What Personal Information about you that we collect, and how we collect Your Personal Information</w:t>
      </w:r>
    </w:p>
    <w:p>
      <w:pPr>
        <w:pStyle w:val="TextBody"/>
        <w:bidi w:val="0"/>
        <w:spacing w:before="240" w:after="283"/>
        <w:jc w:val="both"/>
        <w:rPr>
          <w:rFonts w:ascii="Times New Roman" w:hAnsi="Times New Roman"/>
          <w:sz w:val="20"/>
        </w:rPr>
      </w:pPr>
      <w:r>
        <w:rPr>
          <w:rFonts w:ascii="Times New Roman" w:hAnsi="Times New Roman"/>
          <w:color w:val="000000"/>
          <w:sz w:val="22"/>
        </w:rPr>
        <w:t>In the course of your employment, we may have collected or will collect information about you and your working relationship with us, your spouse, domestic/civil partner and/or dependents (“</w:t>
      </w:r>
      <w:r>
        <w:rPr>
          <w:rFonts w:ascii="Times New Roman" w:hAnsi="Times New Roman"/>
          <w:b/>
          <w:color w:val="000000"/>
          <w:sz w:val="22"/>
        </w:rPr>
        <w:t>Dependents</w:t>
      </w:r>
      <w:r>
        <w:rPr>
          <w:rFonts w:ascii="Times New Roman" w:hAnsi="Times New Roman"/>
          <w:color w:val="000000"/>
          <w:sz w:val="20"/>
        </w:rPr>
        <w:t>”</w:t>
      </w:r>
      <w:r>
        <w:rPr>
          <w:rFonts w:ascii="Times New Roman" w:hAnsi="Times New Roman"/>
          <w:color w:val="000000"/>
          <w:sz w:val="22"/>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WTW intranet site may provide additional details or information.</w:t>
      </w:r>
    </w:p>
    <w:p>
      <w:pPr>
        <w:pStyle w:val="TextBody"/>
        <w:bidi w:val="0"/>
        <w:spacing w:before="240" w:after="283"/>
        <w:jc w:val="both"/>
        <w:rPr>
          <w:rFonts w:ascii="Times New Roman" w:hAnsi="Times New Roman"/>
          <w:sz w:val="20"/>
        </w:rPr>
      </w:pPr>
      <w:r>
        <w:rPr>
          <w:rFonts w:ascii="Times New Roman" w:hAnsi="Times New Roman"/>
          <w:color w:val="2E2C30"/>
          <w:sz w:val="22"/>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hAnsi="Times New Roman"/>
          <w:color w:val="000000"/>
          <w:sz w:val="22"/>
        </w:rPr>
        <w:t>General Data Protection Regulation (“</w:t>
      </w:r>
      <w:r>
        <w:rPr>
          <w:rFonts w:ascii="Times New Roman" w:hAnsi="Times New Roman"/>
          <w:b/>
          <w:color w:val="2E2C30"/>
          <w:sz w:val="22"/>
        </w:rPr>
        <w:t>GDPR</w:t>
      </w:r>
      <w:r>
        <w:rPr>
          <w:rFonts w:ascii="Times New Roman" w:hAnsi="Times New Roman"/>
          <w:color w:val="2E2C30"/>
          <w:sz w:val="20"/>
        </w:rPr>
        <w:t>”</w:t>
      </w:r>
      <w:r>
        <w:rPr>
          <w:rFonts w:ascii="Times New Roman" w:hAnsi="Times New Roman"/>
          <w:color w:val="2E2C30"/>
          <w:sz w:val="22"/>
        </w:rPr>
        <w:t>), “sensitive data” under t</w:t>
      </w:r>
      <w:r>
        <w:rPr>
          <w:rFonts w:ascii="Times New Roman" w:hAnsi="Times New Roman"/>
          <w:color w:val="000000"/>
          <w:sz w:val="22"/>
        </w:rPr>
        <w:t>he Saudi Arabian Personal Data Protection Law (“</w:t>
      </w:r>
      <w:r>
        <w:rPr>
          <w:rFonts w:ascii="Times New Roman" w:hAnsi="Times New Roman"/>
          <w:b/>
          <w:color w:val="000000"/>
          <w:sz w:val="22"/>
        </w:rPr>
        <w:t>PDPL</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2E2C30"/>
          <w:sz w:val="22"/>
        </w:rPr>
        <w:t>, “sensitive personal data” under the Cayman Islands Data Protection Law (“</w:t>
      </w:r>
      <w:r>
        <w:rPr>
          <w:rFonts w:ascii="Times New Roman" w:hAnsi="Times New Roman"/>
          <w:b/>
          <w:color w:val="2E2C30"/>
          <w:sz w:val="22"/>
        </w:rPr>
        <w:t>DPL</w:t>
      </w:r>
      <w:r>
        <w:rPr>
          <w:rFonts w:ascii="Times New Roman" w:hAnsi="Times New Roman"/>
          <w:color w:val="2E2C30"/>
          <w:sz w:val="20"/>
        </w:rPr>
        <w:t>”</w:t>
      </w:r>
      <w:r>
        <w:rPr>
          <w:rFonts w:ascii="Times New Roman" w:hAnsi="Times New Roman"/>
          <w:color w:val="2E2C30"/>
          <w:sz w:val="22"/>
        </w:rPr>
        <w:t>), or “sensitive personal information” under the California Consumer Privacy Act (“</w:t>
      </w:r>
      <w:r>
        <w:rPr>
          <w:rFonts w:ascii="Times New Roman" w:hAnsi="Times New Roman"/>
          <w:b/>
          <w:color w:val="2E2C30"/>
          <w:sz w:val="22"/>
        </w:rPr>
        <w:t>CCPA</w:t>
      </w:r>
      <w:r>
        <w:rPr>
          <w:rFonts w:ascii="Times New Roman" w:hAnsi="Times New Roman"/>
          <w:color w:val="2E2C30"/>
          <w:sz w:val="20"/>
        </w:rPr>
        <w:t>”</w:t>
      </w:r>
      <w:r>
        <w:rPr>
          <w:rFonts w:ascii="Times New Roman" w:hAnsi="Times New Roman"/>
          <w:color w:val="2E2C30"/>
          <w:sz w:val="22"/>
        </w:rPr>
        <w:t>) and Bermuda’s Personal Information Protection Act 2016 (“</w:t>
      </w:r>
      <w:r>
        <w:rPr>
          <w:rFonts w:ascii="Times New Roman" w:hAnsi="Times New Roman"/>
          <w:b/>
          <w:color w:val="2E2C30"/>
          <w:sz w:val="22"/>
        </w:rPr>
        <w:t>PIPA</w:t>
      </w:r>
      <w:r>
        <w:rPr>
          <w:rFonts w:ascii="Times New Roman" w:hAnsi="Times New Roman"/>
          <w:color w:val="2E2C30"/>
          <w:sz w:val="20"/>
        </w:rPr>
        <w:t>”</w:t>
      </w:r>
      <w:r>
        <w:rPr>
          <w:rFonts w:ascii="Times New Roman" w:hAnsi="Times New Roman"/>
          <w:color w:val="2E2C30"/>
          <w:sz w:val="22"/>
        </w:rPr>
        <w:t>)), the Brazilian General Data Protection Law (“</w:t>
      </w:r>
      <w:r>
        <w:rPr>
          <w:rFonts w:ascii="Times New Roman" w:hAnsi="Times New Roman"/>
          <w:b/>
          <w:color w:val="2E2C30"/>
          <w:sz w:val="22"/>
        </w:rPr>
        <w:t>LGPD</w:t>
      </w:r>
      <w:r>
        <w:rPr>
          <w:rFonts w:ascii="Times New Roman" w:hAnsi="Times New Roman"/>
          <w:color w:val="2E2C30"/>
          <w:sz w:val="20"/>
        </w:rPr>
        <w:t>”</w:t>
      </w:r>
      <w:r>
        <w:rPr>
          <w:rFonts w:ascii="Times New Roman" w:hAnsi="Times New Roman"/>
          <w:color w:val="2E2C30"/>
          <w:sz w:val="22"/>
        </w:rPr>
        <w:t>), and other data privacy laws as may be applicable,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pStyle w:val="TextBody"/>
        <w:bidi w:val="0"/>
        <w:spacing w:before="240" w:after="283"/>
        <w:jc w:val="both"/>
        <w:rPr>
          <w:rFonts w:ascii="Times New Roman" w:hAnsi="Times New Roman"/>
          <w:color w:val="2E2C30"/>
          <w:sz w:val="22"/>
        </w:rPr>
      </w:pPr>
      <w:r>
        <w:rPr>
          <w:rFonts w:ascii="Times New Roman" w:hAnsi="Times New Roman"/>
          <w:color w:val="2E2C30"/>
          <w:sz w:val="22"/>
        </w:rPr>
        <w:t>For the United Kingdom only:</w:t>
      </w:r>
    </w:p>
    <w:p>
      <w:pPr>
        <w:pStyle w:val="TextBody"/>
        <w:bidi w:val="0"/>
        <w:spacing w:before="240" w:after="283"/>
        <w:jc w:val="both"/>
        <w:rPr>
          <w:rFonts w:ascii="Times New Roman" w:hAnsi="Times New Roman"/>
          <w:color w:val="2E2C30"/>
          <w:sz w:val="22"/>
        </w:rPr>
      </w:pPr>
      <w:r>
        <w:rPr>
          <w:rFonts w:ascii="Times New Roman" w:hAnsi="Times New Roman"/>
          <w:color w:val="2E2C30"/>
          <w:sz w:val="22"/>
        </w:rPr>
        <w:t>Please see Annex 4 to this Notice for our Policy on the processing of Special Categories of Personal Information.</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6F2F9F"/>
          <w:sz w:val="22"/>
        </w:rPr>
      </w:pPr>
      <w:r>
        <w:rPr>
          <w:rFonts w:ascii="Times New Roman" w:hAnsi="Times New Roman"/>
          <w:b/>
          <w:color w:val="6F2F9F"/>
          <w:sz w:val="22"/>
        </w:rPr>
        <w:t>Sources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also collect certain Personal Information about you from other sources, including: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background check information from employment screening agencies or publicly available registers (as allowed by law), or references obtained during recruitment;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publicly available professional profiles on websites or social media (e.g. LinkedIn);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your performance or conduct from other employees, clients, or service providers you work with who may provide feedback about you or participate in performance evaluations or reviews.</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3.</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The Legal Bases and purposes for which we use, transfer, and disclose Your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UK and EU data protection laws and other laws around the world, for example the PDPL and the DPA and PIPA require that we only process Personal Information subject to one or more valid legal bases. In such cases our legal basis will be one of the following: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fulfil our contractual obligations to you in connection with your employment contract with 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comply with our legal obligations, for example obtaining proof of your identity to enable us to meet our anti-money laundering obligations, or obtaining proof of your right to work status to enable us to meet relevant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comply with our legal obligations to you, for example health and safety obligations that we must comply with as your employer or to a third party (e.g. the taxation authorities);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 a reasonable person would view that you would not reasonably be expected to request that we cease or not begin to use your personal information and that our use will not prejudice your individual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protect your or another person's vital interests, for example by providing your health information to a doctor in a medical emergency;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hAnsi="Times New Roman"/>
          <w:i/>
          <w:color w:val="000000"/>
          <w:sz w:val="22"/>
        </w:rPr>
        <w:t>see DPA</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rPr>
        <w:t xml:space="preserve">the Personal Information is publicly available information and will be used for a purpose that is consistent with the purpose of its public availability </w:t>
      </w:r>
      <w:r>
        <w:rPr>
          <w:rFonts w:ascii="Times New Roman" w:hAnsi="Times New Roman"/>
          <w:i/>
          <w:color w:val="000000"/>
          <w:sz w:val="22"/>
        </w:rPr>
        <w:t>(See PIPA);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use of the Personal Information is necessary in the context of an individual’s present, or past employment relationship with WTW; or</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privacy@wtwco.com.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purposes for which we use your Personal Information are explained in more detail in Annex 1 to this Notice.</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4.</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Monitoring tools, profiling and automated decision-making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privacy@wtwco.com.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Although we may use this type of technology to assist our decision-making, where required by law, we do not make important decisions about employees (e.g. as to their compensation, dismissal or promotion) without a member of management and/or the HR team assessing all the circumstances. Where biometric login is used by you on company devices such as laptops or mobile devices, your data is stored only on the device and cannot be accessed by WTW.</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5.</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Use of Artificial Intelligence (AI) Technologies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may deploy artificial intelligence (AI) tools within our internal systems to support various aspects of the employment lifecycle, including recruitment, talent management, performance analysis, and operational efficiency. These tools are used solely within our controlled environment and in accordance with applicable data protection laws and regulations, including the GDPR, the CCPA, and other relevant global privacy frameworks.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AI tools may assist in processing information to identify patterns, generate insights, or support processes. However, no personal data is used to train, fine-tune, or improve any AI models. Where personal data is processed by AI tools, it is done so in a manner that is consistent with the principles of the responsible and ethical use of AI and any applicable AI regulation.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Importantly, all decisions that may affect employees (such as hiring, promotion, or disciplinary actions) are subject to human review and oversight. Final decisions and determinations are made exclusively by authorized human personnel. We do not rely solely on automated decision-making processes that produce legal or similarly significant effects without meaningful human involvement.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maintain appropriate technical and organizational safeguards to ensure the responsible use of AI and compliance with applicable legal and ethical standards.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you have any questions regarding our use of AI technologies with respect to WTW applicants or employees, please submit a ServiceCentral ticket.</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6.</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Transfer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Due to the global nature of WTW operations, we may disclose Personal Information to personnel and departments in other entities which are part of WTW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 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Philippines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here),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WTW's Global Privacy Program by contacting privacy@wtwco.com.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Access to Personal Information within WTW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personnel within WTW will generally have access to your business contact information such as name, position, telephone number, postal address, email address and photograph.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From time to time, we and other entities within WTW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WTW, and in compliance with applicable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When we transfer or disclose your Personal Information, we will do so in accordance with applicable law.</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7.</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Security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WTW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8.</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Data Processing, Retention and Destruction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WTW uses various processing methods on the Personal Information it collects, including organization and structuring, storage, adaptation / alteration, consultation, use and disclosure.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there is any information that we are unable, for technical reasons, to delete entirely from our systems, we will put in place appropriate measures to prevent any further processing or use of the data.</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When we no longer require the use of your Personal Information, we may anonymize it as described in Annex 1, or we will securely destroy it.</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9.</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Access and correction requests, questions, and complaints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You have certain rights regarding your Personal Information, subject to local law, which may include the right to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access your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correct the information we hold about you;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erase your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restrict our use of your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object to our use of your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receive your Personal Information in a usable electronic format and transmit it to a third party (right to data portability);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withdraw your consent to any processing based on consent at any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lodge a complaint with your local data protection authority if you believe that we have not been able to assist with your complaint or concern (and the right to seek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right to be informed about the collection and use of Personal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right to stop direct marketing;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right to restrict automated decision making;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right to access medical records (Only PIPA)</w:t>
      </w:r>
    </w:p>
    <w:p>
      <w:pPr>
        <w:pStyle w:val="TextBody"/>
        <w:bidi w:val="0"/>
        <w:spacing w:before="240" w:after="283"/>
        <w:jc w:val="both"/>
        <w:rPr>
          <w:rFonts w:ascii="Times New Roman" w:hAnsi="Times New Roman"/>
          <w:sz w:val="20"/>
        </w:rPr>
      </w:pPr>
      <w:r>
        <w:rPr>
          <w:rFonts w:ascii="Times New Roman" w:hAnsi="Times New Roman"/>
          <w:color w:val="000000"/>
          <w:sz w:val="22"/>
        </w:rPr>
        <w:t>If you have any questions about this Notice or if you would like to discuss or exercise your rights, please contact Human Resources or email privacy@wtwco.com</w:t>
      </w:r>
      <w:r>
        <w:rPr>
          <w:rFonts w:ascii="Times New Roman" w:hAnsi="Times New Roman"/>
          <w:color w:val="0000FF"/>
          <w:sz w:val="20"/>
          <w:u w:val="single"/>
        </w:rPr>
        <w:t xml:space="preserve"> </w:t>
      </w:r>
      <w:r>
        <w:rPr>
          <w:rFonts w:ascii="Times New Roman" w:hAnsi="Times New Roman"/>
          <w:color w:val="000000"/>
          <w:sz w:val="22"/>
        </w:rPr>
        <w:t>who will make reasonable efforts to respond promptly.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Please note, information on how to exercise your rights under Canada’s Personal Information Protection and Electronic Documents Act (PIPEDA), PIPA, and other laws such as CCPA and the Personal Information Protection Law of the People’s Republic of China (PIPL), are noted below under the Annexures of this policy.</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10.</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Employee’s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11.</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Changes to the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may modify or update this Notice from time to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12.</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Privacy Officer and Contact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WTW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For questions or comments about this Notice, please contact Human Resources or email privacy@wtwco.com.</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some countries, there is a legal requirement to provide a named individual or privacy officer and their contact details. These 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1857"/>
        <w:gridCol w:w="7172"/>
      </w:tblGrid>
      <w:tr>
        <w:trPr/>
        <w:tc>
          <w:tcPr>
            <w:tcW w:w="117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7172" w:type="dxa"/>
            <w:tcBorders/>
            <w:vAlign w:val="center"/>
          </w:tcPr>
          <w:p>
            <w:pPr>
              <w:pStyle w:val="TableContents"/>
              <w:bidi w:val="0"/>
              <w:spacing w:before="0" w:after="283"/>
              <w:jc w:val="left"/>
              <w:rPr>
                <w:sz w:val="4"/>
                <w:szCs w:val="4"/>
              </w:rPr>
            </w:pPr>
            <w:r>
              <w:rPr>
                <w:sz w:val="4"/>
                <w:szCs w:val="4"/>
              </w:rPr>
            </w:r>
          </w:p>
        </w:tc>
      </w:tr>
      <w:tr>
        <w:trPr/>
        <w:tc>
          <w:tcPr>
            <w:tcW w:w="1176" w:type="dxa"/>
            <w:tcBorders>
              <w:top w:val="single" w:sz="4" w:space="0" w:color="000000"/>
              <w:left w:val="single" w:sz="4" w:space="0" w:color="000000"/>
              <w:bottom w:val="single" w:sz="4" w:space="0" w:color="000000"/>
              <w:right w:val="single" w:sz="4" w:space="0" w:color="000000"/>
            </w:tcBorders>
            <w:shd w:fill="D9ED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Country</w:t>
            </w:r>
          </w:p>
        </w:tc>
        <w:tc>
          <w:tcPr>
            <w:tcW w:w="1857" w:type="dxa"/>
            <w:tcBorders>
              <w:top w:val="single" w:sz="4" w:space="0" w:color="000000"/>
              <w:bottom w:val="single" w:sz="4" w:space="0" w:color="000000"/>
              <w:right w:val="single" w:sz="4" w:space="0" w:color="000000"/>
            </w:tcBorders>
            <w:shd w:fill="D9EDFF" w:val="clear"/>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Name</w:t>
            </w:r>
          </w:p>
        </w:tc>
        <w:tc>
          <w:tcPr>
            <w:tcW w:w="7172" w:type="dxa"/>
            <w:tcBorders>
              <w:top w:val="single" w:sz="4" w:space="0" w:color="000000"/>
              <w:bottom w:val="single" w:sz="4" w:space="0" w:color="000000"/>
              <w:right w:val="single" w:sz="4" w:space="0" w:color="000000"/>
            </w:tcBorders>
            <w:shd w:fill="D9EDFF" w:val="clear"/>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Contact details</w:t>
            </w:r>
          </w:p>
        </w:tc>
      </w:tr>
      <w:tr>
        <w:trPr/>
        <w:tc>
          <w:tcPr>
            <w:tcW w:w="1176"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Canada</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pPr>
            <w:r>
              <w:rPr/>
              <w:t> </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of the Privacy Officer:</w:t>
            </w:r>
          </w:p>
          <w:p>
            <w:pPr>
              <w:pStyle w:val="TableContents"/>
              <w:bidi w:val="0"/>
              <w:jc w:val="left"/>
              <w:rPr>
                <w:rFonts w:ascii="Times New Roman" w:hAnsi="Times New Roman"/>
                <w:color w:val="000000"/>
                <w:sz w:val="22"/>
              </w:rPr>
            </w:pPr>
            <w:r>
              <w:rPr>
                <w:rFonts w:ascii="Times New Roman" w:hAnsi="Times New Roman"/>
                <w:color w:val="000000"/>
                <w:sz w:val="22"/>
              </w:rPr>
              <w:t>130 King St W, Exchange Tower, Suite 1500</w:t>
            </w:r>
          </w:p>
          <w:p>
            <w:pPr>
              <w:pStyle w:val="TableContents"/>
              <w:bidi w:val="0"/>
              <w:jc w:val="left"/>
              <w:rPr>
                <w:rFonts w:ascii="Times New Roman" w:hAnsi="Times New Roman"/>
                <w:color w:val="000000"/>
                <w:sz w:val="22"/>
              </w:rPr>
            </w:pPr>
            <w:r>
              <w:rPr>
                <w:rFonts w:ascii="Times New Roman" w:hAnsi="Times New Roman"/>
                <w:color w:val="000000"/>
                <w:sz w:val="22"/>
              </w:rPr>
              <w:t>P.O. Box 424</w:t>
            </w:r>
          </w:p>
          <w:p>
            <w:pPr>
              <w:pStyle w:val="TableContents"/>
              <w:bidi w:val="0"/>
              <w:jc w:val="left"/>
              <w:rPr>
                <w:rFonts w:ascii="Times New Roman" w:hAnsi="Times New Roman"/>
                <w:color w:val="000000"/>
                <w:sz w:val="22"/>
              </w:rPr>
            </w:pPr>
            <w:r>
              <w:rPr>
                <w:rFonts w:ascii="Times New Roman" w:hAnsi="Times New Roman"/>
                <w:color w:val="000000"/>
                <w:sz w:val="22"/>
              </w:rPr>
              <w:t>Toronto, ON M5X 1E3</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Email: privacy@wtwco.com</w:t>
            </w:r>
          </w:p>
          <w:p>
            <w:pPr>
              <w:pStyle w:val="TableContents"/>
              <w:bidi w:val="0"/>
              <w:spacing w:before="0" w:after="283"/>
              <w:jc w:val="left"/>
              <w:rPr/>
            </w:pPr>
            <w:r>
              <w:rPr/>
              <w:t> </w:t>
            </w:r>
          </w:p>
        </w:tc>
      </w:tr>
      <w:tr>
        <w:trPr/>
        <w:tc>
          <w:tcPr>
            <w:tcW w:w="1176"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Nigeria</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Adewunmi Akinmodiro</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Adewunmi.Akinmodiro@willistowerswatson.com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Willis Towers Watson Nigeria Limited</w:t>
            </w:r>
          </w:p>
          <w:p>
            <w:pPr>
              <w:pStyle w:val="TableContents"/>
              <w:bidi w:val="0"/>
              <w:jc w:val="left"/>
              <w:rPr>
                <w:rFonts w:ascii="Times New Roman" w:hAnsi="Times New Roman"/>
                <w:color w:val="000000"/>
                <w:sz w:val="22"/>
              </w:rPr>
            </w:pPr>
            <w:r>
              <w:rPr>
                <w:rFonts w:ascii="Times New Roman" w:hAnsi="Times New Roman"/>
                <w:color w:val="000000"/>
                <w:sz w:val="22"/>
              </w:rPr>
              <w:t>6th Floor, Africa RE Building. Plot 1679 Karimu Kotun Street, Victoria Island Lagos, Nigeria.</w:t>
            </w:r>
          </w:p>
          <w:p>
            <w:pPr>
              <w:pStyle w:val="TableContents"/>
              <w:bidi w:val="0"/>
              <w:spacing w:before="0" w:after="283"/>
              <w:jc w:val="left"/>
              <w:rPr/>
            </w:pPr>
            <w:r>
              <w:rPr/>
              <w:t> </w:t>
            </w:r>
          </w:p>
        </w:tc>
      </w:tr>
      <w:tr>
        <w:trPr/>
        <w:tc>
          <w:tcPr>
            <w:tcW w:w="1176" w:type="dxa"/>
            <w:vMerge w:val="restart"/>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South Africa</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André Wild</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Andre.Wild@willistowerswatson.com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Towers Watson (Pty) Ltd</w:t>
            </w:r>
          </w:p>
          <w:p>
            <w:pPr>
              <w:pStyle w:val="TableContents"/>
              <w:bidi w:val="0"/>
              <w:jc w:val="left"/>
              <w:rPr>
                <w:rFonts w:ascii="Times New Roman" w:hAnsi="Times New Roman"/>
                <w:color w:val="000000"/>
                <w:sz w:val="22"/>
              </w:rPr>
            </w:pPr>
            <w:r>
              <w:rPr>
                <w:rFonts w:ascii="Times New Roman" w:hAnsi="Times New Roman"/>
                <w:color w:val="000000"/>
                <w:sz w:val="22"/>
              </w:rPr>
              <w:t>Level 4, MontClare Place, 23 Main Road, Claremont, Cape Town, 7708</w:t>
            </w:r>
          </w:p>
          <w:p>
            <w:pPr>
              <w:pStyle w:val="TableContents"/>
              <w:bidi w:val="0"/>
              <w:jc w:val="left"/>
              <w:rPr>
                <w:rFonts w:ascii="Times New Roman" w:hAnsi="Times New Roman"/>
                <w:color w:val="000000"/>
                <w:sz w:val="22"/>
              </w:rPr>
            </w:pPr>
            <w:r>
              <w:rPr>
                <w:rFonts w:ascii="Times New Roman" w:hAnsi="Times New Roman"/>
                <w:color w:val="000000"/>
                <w:sz w:val="22"/>
              </w:rPr>
              <w:t>Private Bag X30, Rondebosch, 7701</w:t>
            </w:r>
          </w:p>
          <w:p>
            <w:pPr>
              <w:pStyle w:val="TableContents"/>
              <w:bidi w:val="0"/>
              <w:spacing w:before="0" w:after="283"/>
              <w:jc w:val="left"/>
              <w:rPr/>
            </w:pPr>
            <w:r>
              <w:rPr/>
              <w:t> </w:t>
            </w:r>
          </w:p>
        </w:tc>
      </w:tr>
      <w:tr>
        <w:trPr/>
        <w:tc>
          <w:tcPr>
            <w:tcW w:w="1176" w:type="dxa"/>
            <w:vMerge w:val="continue"/>
            <w:tcBorders>
              <w:left w:val="single" w:sz="4" w:space="0" w:color="000000"/>
              <w:bottom w:val="single" w:sz="4" w:space="0" w:color="000000"/>
              <w:right w:val="single" w:sz="4" w:space="0" w:color="000000"/>
            </w:tcBorders>
            <w:shd w:fill="D9EDFF" w:val="clear"/>
            <w:tcMar>
              <w:top w:w="0" w:type="dxa"/>
            </w:tcMar>
            <w:vAlign w:val="center"/>
          </w:tcPr>
          <w:p>
            <w:pPr>
              <w:pStyle w:val="Normal"/>
              <w:bidi w:val="0"/>
              <w:jc w:val="left"/>
              <w:rPr/>
            </w:pPr>
            <w:r>
              <w:rPr/>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Pasha Karodia</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Pasha.Karodia@willistowerswatson.com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Willis South Africa (Pty) Ltd</w:t>
            </w:r>
          </w:p>
          <w:p>
            <w:pPr>
              <w:pStyle w:val="TableContents"/>
              <w:bidi w:val="0"/>
              <w:jc w:val="left"/>
              <w:rPr>
                <w:rFonts w:ascii="Times New Roman" w:hAnsi="Times New Roman"/>
                <w:color w:val="000000"/>
                <w:sz w:val="22"/>
              </w:rPr>
            </w:pPr>
            <w:r>
              <w:rPr>
                <w:rFonts w:ascii="Times New Roman" w:hAnsi="Times New Roman"/>
                <w:color w:val="000000"/>
                <w:sz w:val="22"/>
              </w:rPr>
              <w:t>Illovo Edge, 1 Harries Road, Illovo, Johannesburg 2196</w:t>
            </w:r>
          </w:p>
          <w:p>
            <w:pPr>
              <w:pStyle w:val="TableContents"/>
              <w:bidi w:val="0"/>
              <w:spacing w:before="0" w:after="283"/>
              <w:jc w:val="left"/>
              <w:rPr/>
            </w:pPr>
            <w:r>
              <w:rPr/>
              <w:t> </w:t>
            </w:r>
          </w:p>
        </w:tc>
      </w:tr>
      <w:tr>
        <w:trPr/>
        <w:tc>
          <w:tcPr>
            <w:tcW w:w="1176"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Saudi Arabia</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Paul Green</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privacy@wtwco.com</w:t>
            </w:r>
          </w:p>
          <w:p>
            <w:pPr>
              <w:pStyle w:val="TableContents"/>
              <w:bidi w:val="0"/>
              <w:jc w:val="left"/>
              <w:rPr>
                <w:rFonts w:ascii="Times New Roman" w:hAnsi="Times New Roman"/>
                <w:color w:val="000000"/>
                <w:sz w:val="22"/>
              </w:rPr>
            </w:pPr>
            <w:r>
              <w:rPr>
                <w:rFonts w:ascii="Times New Roman" w:hAnsi="Times New Roman"/>
                <w:color w:val="000000"/>
                <w:sz w:val="22"/>
              </w:rPr>
              <w:t>AE Dubai - Business Central Tower</w:t>
            </w:r>
          </w:p>
          <w:p>
            <w:pPr>
              <w:pStyle w:val="TableContents"/>
              <w:bidi w:val="0"/>
              <w:jc w:val="left"/>
              <w:rPr>
                <w:rFonts w:ascii="Times New Roman" w:hAnsi="Times New Roman"/>
                <w:color w:val="000000"/>
                <w:sz w:val="22"/>
              </w:rPr>
            </w:pPr>
            <w:r>
              <w:rPr>
                <w:rFonts w:ascii="Times New Roman" w:hAnsi="Times New Roman"/>
                <w:color w:val="000000"/>
                <w:sz w:val="22"/>
              </w:rPr>
              <w:t>Tower A Floor 37, Dubai Media City, PO Box 500082, Dubai, United Arab Emirates</w:t>
            </w:r>
          </w:p>
          <w:p>
            <w:pPr>
              <w:pStyle w:val="TableContents"/>
              <w:bidi w:val="0"/>
              <w:jc w:val="left"/>
              <w:rPr>
                <w:rFonts w:ascii="Times New Roman" w:hAnsi="Times New Roman"/>
                <w:color w:val="000000"/>
                <w:sz w:val="22"/>
              </w:rPr>
            </w:pPr>
            <w:r>
              <w:rPr>
                <w:rFonts w:ascii="Times New Roman" w:hAnsi="Times New Roman"/>
                <w:color w:val="000000"/>
                <w:sz w:val="22"/>
              </w:rPr>
              <w:t>+971 4 455 1700</w:t>
            </w:r>
          </w:p>
          <w:p>
            <w:pPr>
              <w:pStyle w:val="TableContents"/>
              <w:bidi w:val="0"/>
              <w:spacing w:before="0" w:after="283"/>
              <w:jc w:val="left"/>
              <w:rPr/>
            </w:pPr>
            <w:r>
              <w:rPr/>
              <w:t> </w:t>
            </w:r>
          </w:p>
        </w:tc>
      </w:tr>
      <w:tr>
        <w:trPr/>
        <w:tc>
          <w:tcPr>
            <w:tcW w:w="1176"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Bermuda</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pPr>
            <w:r>
              <w:rPr/>
              <w:t> </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of the Privacy Officer:</w:t>
            </w:r>
          </w:p>
          <w:p>
            <w:pPr>
              <w:pStyle w:val="TableContents"/>
              <w:bidi w:val="0"/>
              <w:jc w:val="left"/>
              <w:rPr>
                <w:rFonts w:ascii="Times New Roman" w:hAnsi="Times New Roman"/>
                <w:sz w:val="22"/>
              </w:rPr>
            </w:pPr>
            <w:r>
              <w:rPr>
                <w:rFonts w:ascii="Times New Roman" w:hAnsi="Times New Roman"/>
                <w:color w:val="000000"/>
                <w:sz w:val="22"/>
              </w:rPr>
              <w:t xml:space="preserve">90 Pitts Bay Road Wellesley House, Floor 2 Hamilton HM 08 </w:t>
            </w:r>
            <w:r>
              <w:rPr>
                <w:rFonts w:ascii="Times New Roman" w:hAnsi="Times New Roman"/>
                <w:b/>
                <w:color w:val="000000"/>
                <w:sz w:val="22"/>
              </w:rPr>
              <w:t>privacy@wtwco.com</w:t>
            </w:r>
          </w:p>
          <w:p>
            <w:pPr>
              <w:pStyle w:val="TableContents"/>
              <w:bidi w:val="0"/>
              <w:spacing w:before="0" w:after="283"/>
              <w:jc w:val="left"/>
              <w:rPr/>
            </w:pPr>
            <w:r>
              <w:rPr/>
              <w:t> </w:t>
            </w:r>
          </w:p>
        </w:tc>
      </w:tr>
      <w:tr>
        <w:trPr/>
        <w:tc>
          <w:tcPr>
            <w:tcW w:w="1176"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Brazil</w:t>
            </w:r>
          </w:p>
        </w:tc>
        <w:tc>
          <w:tcPr>
            <w:tcW w:w="1857"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Lucas Paglia</w:t>
            </w:r>
          </w:p>
        </w:tc>
        <w:tc>
          <w:tcPr>
            <w:tcW w:w="7172"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lucas.paglia@wtwco.com</w:t>
            </w:r>
            <w:r>
              <w:rPr>
                <w:rFonts w:ascii="Times New Roman" w:hAnsi="Times New Roman"/>
                <w:color w:val="0000FF"/>
                <w:sz w:val="22"/>
              </w:rPr>
              <w:t xml:space="preserve"> </w:t>
            </w:r>
            <w:r>
              <w:rPr>
                <w:rFonts w:ascii="Times New Roman" w:hAnsi="Times New Roman"/>
                <w:color w:val="000000"/>
                <w:sz w:val="22"/>
              </w:rPr>
              <w:t>or</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privacy.brasil@wtwco.com</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1</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Categories of Personal Information Collected About Employees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Generally, we may collect the below categories of Personal Information about Employees:</w:t>
      </w:r>
    </w:p>
    <w:p>
      <w:pPr>
        <w:pStyle w:val="TextBody"/>
        <w:bidi w:val="0"/>
        <w:spacing w:before="240" w:after="283"/>
        <w:jc w:val="left"/>
        <w:rPr>
          <w:rFonts w:ascii="Times New Roman" w:hAnsi="Times New Roman"/>
          <w:sz w:val="20"/>
        </w:rPr>
      </w:pPr>
      <w:r>
        <w:rPr>
          <w:rFonts w:ascii="Times New Roman" w:hAnsi="Times New Roman"/>
          <w:b/>
          <w:color w:val="6F2F9F"/>
          <w:sz w:val="22"/>
        </w:rPr>
        <w:t>Name, Contact Info and other Identifiers</w:t>
      </w:r>
      <w:r>
        <w:rPr>
          <w:rFonts w:ascii="Times New Roman" w:hAnsi="Times New Roman"/>
          <w:color w:val="000000"/>
          <w:sz w:val="22"/>
        </w:rPr>
        <w:t>: identifiers including, but not limited to</w:t>
      </w:r>
      <w:r>
        <w:rPr>
          <w:rFonts w:ascii="Times New Roman" w:hAnsi="Times New Roman"/>
          <w:i/>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Documentation Required under Immigration Laws: Citizenship, passport data, details of residency or work permit.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pStyle w:val="TextBody"/>
        <w:bidi w:val="0"/>
        <w:spacing w:before="240" w:after="283"/>
        <w:jc w:val="both"/>
        <w:rPr>
          <w:rFonts w:ascii="Times New Roman" w:hAnsi="Times New Roman"/>
          <w:sz w:val="20"/>
        </w:rPr>
      </w:pPr>
      <w:r>
        <w:rPr>
          <w:rFonts w:ascii="Times New Roman" w:hAnsi="Times New Roman"/>
          <w:b/>
          <w:color w:val="6F2F9F"/>
          <w:sz w:val="22"/>
        </w:rPr>
        <w:t>Protected Classifications</w:t>
      </w:r>
      <w:r>
        <w:rPr>
          <w:rFonts w:ascii="Times New Roman" w:hAnsi="Times New Roman"/>
          <w:color w:val="000000"/>
          <w:sz w:val="22"/>
        </w:rPr>
        <w:t>: characteristics of protected classifications (including those under California or federal law)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Citizenship information, as well as residency and work permit details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Medical information and disability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pStyle w:val="TextBody"/>
        <w:bidi w:val="0"/>
        <w:spacing w:before="240" w:after="283"/>
        <w:jc w:val="both"/>
        <w:rPr>
          <w:rFonts w:ascii="Times New Roman" w:hAnsi="Times New Roman"/>
          <w:sz w:val="20"/>
        </w:rPr>
      </w:pPr>
      <w:r>
        <w:rPr>
          <w:rFonts w:ascii="Times New Roman" w:hAnsi="Times New Roman"/>
          <w:b/>
          <w:color w:val="6F2F9F"/>
          <w:sz w:val="22"/>
        </w:rPr>
        <w:t>Usage Data</w:t>
      </w:r>
      <w:r>
        <w:rPr>
          <w:rFonts w:ascii="Times New Roman" w:hAnsi="Times New Roman"/>
          <w:color w:val="000000"/>
          <w:sz w:val="22"/>
        </w:rPr>
        <w:t xml:space="preserve">: internet or other electronic network activity information including, but not limited to, browsing history, search history, email activity, and information regarding a user’s interaction with a system, website, or application. </w:t>
      </w:r>
      <w:r>
        <w:rPr>
          <w:rFonts w:ascii="Times New Roman" w:hAnsi="Times New Roman"/>
          <w:i/>
          <w:color w:val="000000"/>
          <w:sz w:val="22"/>
        </w:rPr>
        <w:t>This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Access logs and usage details regarding activities at WTW locations and on WTW networks, systems and devices, including but not limited to website and browsing history.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Physical access logs and call logs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Electronic content produced using WTW systems</w:t>
      </w:r>
    </w:p>
    <w:p>
      <w:pPr>
        <w:pStyle w:val="TextBody"/>
        <w:bidi w:val="0"/>
        <w:spacing w:before="240" w:after="283"/>
        <w:jc w:val="both"/>
        <w:rPr>
          <w:rFonts w:ascii="Times New Roman" w:hAnsi="Times New Roman"/>
          <w:sz w:val="20"/>
        </w:rPr>
      </w:pPr>
      <w:r>
        <w:rPr>
          <w:rFonts w:ascii="Times New Roman" w:hAnsi="Times New Roman"/>
          <w:b/>
          <w:color w:val="6F2F9F"/>
          <w:sz w:val="22"/>
        </w:rPr>
        <w:t xml:space="preserve">Biometric information: </w:t>
      </w:r>
      <w:r>
        <w:rPr>
          <w:rFonts w:ascii="Times New Roman" w:hAnsi="Times New Roman"/>
          <w:color w:val="000000"/>
          <w:sz w:val="22"/>
        </w:rPr>
        <w:t>an individual’s physiological, biological or behavioral characteristics including information pertaining to an 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pStyle w:val="TextBody"/>
        <w:bidi w:val="0"/>
        <w:spacing w:before="240" w:after="283"/>
        <w:jc w:val="both"/>
        <w:rPr>
          <w:rFonts w:ascii="Times New Roman" w:hAnsi="Times New Roman"/>
          <w:sz w:val="20"/>
        </w:rPr>
      </w:pPr>
      <w:r>
        <w:rPr>
          <w:rFonts w:ascii="Times New Roman" w:hAnsi="Times New Roman"/>
          <w:b/>
          <w:color w:val="6F2F9F"/>
          <w:sz w:val="22"/>
        </w:rPr>
        <w:t>Geolocation Data</w:t>
      </w:r>
      <w:r>
        <w:rPr>
          <w:rFonts w:ascii="Times New Roman" w:hAnsi="Times New Roman"/>
          <w:color w:val="000000"/>
          <w:sz w:val="22"/>
        </w:rPr>
        <w:t>: precise geographic location information about a particular WTW device.</w:t>
      </w:r>
    </w:p>
    <w:p>
      <w:pPr>
        <w:pStyle w:val="TextBody"/>
        <w:bidi w:val="0"/>
        <w:spacing w:before="240" w:after="283"/>
        <w:jc w:val="both"/>
        <w:rPr>
          <w:rFonts w:ascii="Times New Roman" w:hAnsi="Times New Roman"/>
          <w:sz w:val="20"/>
        </w:rPr>
      </w:pPr>
      <w:r>
        <w:rPr>
          <w:rFonts w:ascii="Times New Roman" w:hAnsi="Times New Roman"/>
          <w:b/>
          <w:color w:val="6F2F9F"/>
          <w:sz w:val="22"/>
        </w:rPr>
        <w:t>Audio, Video and other Electronic Data</w:t>
      </w:r>
      <w:r>
        <w:rPr>
          <w:rFonts w:ascii="Times New Roman" w:hAnsi="Times New Roman"/>
          <w:color w:val="000000"/>
          <w:sz w:val="22"/>
        </w:rPr>
        <w:t xml:space="preserve">: audio, electronic, visual, thermal, olfactory, or similar information. </w:t>
      </w:r>
      <w:r>
        <w:rPr>
          <w:rFonts w:ascii="Times New Roman" w:hAnsi="Times New Roman"/>
          <w:i/>
          <w:color w:val="000000"/>
          <w:sz w:val="22"/>
        </w:rPr>
        <w:t>This includes: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CCTV footage and photographs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Call recordings and other audio recording (e.g., recorded meetings and webinars)</w:t>
      </w:r>
    </w:p>
    <w:p>
      <w:pPr>
        <w:pStyle w:val="TextBody"/>
        <w:bidi w:val="0"/>
        <w:spacing w:before="240" w:after="283"/>
        <w:jc w:val="both"/>
        <w:rPr>
          <w:rFonts w:ascii="Times New Roman" w:hAnsi="Times New Roman"/>
          <w:sz w:val="20"/>
        </w:rPr>
      </w:pPr>
      <w:r>
        <w:rPr>
          <w:rFonts w:ascii="Times New Roman" w:hAnsi="Times New Roman"/>
          <w:b/>
          <w:color w:val="6F2F9F"/>
          <w:sz w:val="22"/>
        </w:rPr>
        <w:t>Employment History</w:t>
      </w:r>
      <w:r>
        <w:rPr>
          <w:rFonts w:ascii="Times New Roman" w:hAnsi="Times New Roman"/>
          <w:color w:val="000000"/>
          <w:sz w:val="22"/>
        </w:rPr>
        <w:t xml:space="preserve">: professional or employment-related information. </w:t>
      </w:r>
      <w:r>
        <w:rPr>
          <w:rFonts w:ascii="Times New Roman" w:hAnsi="Times New Roman"/>
          <w:i/>
          <w:color w:val="000000"/>
          <w:sz w:val="22"/>
        </w:rPr>
        <w:t>This includes, but is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Compensation and Payroll: Base salary, bonus, benefits, compensation type, salary step within assigned grade, details on stock options, stock grants and other awards, currency, pay frequency, effective date of current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compensation, salary reviews, banking details, working time records (including vacation and other absence records, leave status, hours worked and department standard hours), pay data and termination 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Management Records: Details of any shares of common stock or directorships.</w:t>
      </w:r>
    </w:p>
    <w:p>
      <w:pPr>
        <w:pStyle w:val="TextBody"/>
        <w:bidi w:val="0"/>
        <w:spacing w:before="240" w:after="283"/>
        <w:jc w:val="both"/>
        <w:rPr>
          <w:rFonts w:ascii="Times New Roman" w:hAnsi="Times New Roman"/>
          <w:sz w:val="20"/>
        </w:rPr>
      </w:pPr>
      <w:r>
        <w:rPr>
          <w:rFonts w:ascii="Times New Roman" w:hAnsi="Times New Roman"/>
          <w:b/>
          <w:color w:val="6F2F9F"/>
          <w:sz w:val="22"/>
        </w:rPr>
        <w:t>Education Information</w:t>
      </w:r>
      <w:r>
        <w:rPr>
          <w:rFonts w:ascii="Times New Roman" w:hAnsi="Times New Roman"/>
          <w:color w:val="000000"/>
          <w:sz w:val="22"/>
        </w:rPr>
        <w:t xml:space="preserve">: information about education history or background, including such information that is not publicly available personally identifiable information as defined in the federal Family Educational Rights and Privacy Act (20 U.S.C. section 1232g, 34 C.F.R. Part 99). </w:t>
      </w:r>
      <w:r>
        <w:rPr>
          <w:rFonts w:ascii="Times New Roman" w:hAnsi="Times New Roman"/>
          <w:i/>
          <w:color w:val="000000"/>
          <w:sz w:val="22"/>
        </w:rPr>
        <w:t>This includes, but is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Degrees, certificates or other training completed, schools attended and relevant 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Details contained in letters of application and resume/CV, previous employment background.</w:t>
      </w:r>
    </w:p>
    <w:p>
      <w:pPr>
        <w:pStyle w:val="TextBody"/>
        <w:bidi w:val="0"/>
        <w:spacing w:before="240" w:after="283"/>
        <w:jc w:val="both"/>
        <w:rPr>
          <w:rFonts w:ascii="Times New Roman" w:hAnsi="Times New Roman"/>
          <w:sz w:val="20"/>
        </w:rPr>
      </w:pPr>
      <w:r>
        <w:rPr>
          <w:rFonts w:ascii="Times New Roman" w:hAnsi="Times New Roman"/>
          <w:b/>
          <w:color w:val="6F2F9F"/>
          <w:sz w:val="22"/>
        </w:rPr>
        <w:t>Profiles and Inferences</w:t>
      </w:r>
      <w:r>
        <w:rPr>
          <w:rFonts w:ascii="Times New Roman" w:hAnsi="Times New Roman"/>
          <w:color w:val="000000"/>
          <w:sz w:val="22"/>
        </w:rPr>
        <w:t>: inferences drawn from any of the information identified above to create a profile about an employee reflecting their preferences, characteristics, psychological trends, predispositions, behaviour, attitudes, intelligence, abilities, and aptitudes.</w:t>
      </w:r>
    </w:p>
    <w:p>
      <w:pPr>
        <w:pStyle w:val="TextBody"/>
        <w:bidi w:val="0"/>
        <w:spacing w:before="240" w:after="283"/>
        <w:jc w:val="both"/>
        <w:rPr>
          <w:rFonts w:ascii="Times New Roman" w:hAnsi="Times New Roman"/>
          <w:sz w:val="20"/>
        </w:rPr>
      </w:pPr>
      <w:r>
        <w:rPr>
          <w:rFonts w:ascii="Times New Roman" w:hAnsi="Times New Roman"/>
          <w:b/>
          <w:color w:val="6F2F9F"/>
          <w:sz w:val="22"/>
        </w:rPr>
        <w:t>Logins and Account Access Information</w:t>
      </w:r>
      <w:r>
        <w:rPr>
          <w:rFonts w:ascii="Times New Roman" w:hAnsi="Times New Roman"/>
          <w:color w:val="000000"/>
          <w:sz w:val="22"/>
        </w:rPr>
        <w:t>: information which reveals account login, financial account, debit or credit card in combination with any required security or access code, password or credential allowing access.</w:t>
      </w:r>
    </w:p>
    <w:p>
      <w:pPr>
        <w:pStyle w:val="TextBody"/>
        <w:bidi w:val="0"/>
        <w:spacing w:before="240" w:after="283"/>
        <w:jc w:val="both"/>
        <w:rPr>
          <w:rFonts w:ascii="Times New Roman" w:hAnsi="Times New Roman"/>
          <w:b/>
          <w:color w:val="6F2F9F"/>
          <w:sz w:val="22"/>
        </w:rPr>
      </w:pPr>
      <w:r>
        <w:rPr>
          <w:rFonts w:ascii="Times New Roman" w:hAnsi="Times New Roman"/>
          <w:b/>
          <w:color w:val="6F2F9F"/>
          <w:sz w:val="22"/>
        </w:rPr>
        <w:t>What About Sensitive Information?</w:t>
      </w:r>
    </w:p>
    <w:p>
      <w:pPr>
        <w:pStyle w:val="TextBody"/>
        <w:bidi w:val="0"/>
        <w:jc w:val="both"/>
        <w:rPr>
          <w:rFonts w:ascii="Times New Roman" w:hAnsi="Times New Roman"/>
          <w:color w:val="000000"/>
          <w:sz w:val="22"/>
        </w:rPr>
      </w:pPr>
      <w:r>
        <w:rPr>
          <w:rFonts w:ascii="Times New Roman" w:hAnsi="Times New Roman"/>
          <w:color w:val="000000"/>
          <w:sz w:val="22"/>
        </w:rPr>
        <w:t>We may also collect certain types of information that is considered sensitive data or sensitive personal information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Please be assured that, as explained in the following section, we will only use such sensitive information for the following purposes and as provided by law.</w:t>
      </w:r>
    </w:p>
    <w:p>
      <w:pPr>
        <w:pStyle w:val="TextBody"/>
        <w:bidi w:val="0"/>
        <w:spacing w:before="240" w:after="283"/>
        <w:jc w:val="both"/>
        <w:rPr>
          <w:rFonts w:ascii="Times New Roman" w:hAnsi="Times New Roman"/>
          <w:sz w:val="20"/>
        </w:rPr>
      </w:pPr>
      <w:r>
        <w:rPr>
          <w:rFonts w:ascii="Times New Roman" w:hAnsi="Times New Roman"/>
          <w:b/>
          <w:color w:val="6F2F9F"/>
          <w:sz w:val="22"/>
        </w:rPr>
        <w:t>The Purposes for which we may collect, use, transfer and disclose Personal Information</w:t>
      </w:r>
      <w:r>
        <w:rPr>
          <w:rFonts w:ascii="Times New Roman" w:hAnsi="Times New Roman"/>
          <w:b/>
          <w:color w:val="000000"/>
          <w:sz w:val="22"/>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Managing Workforce</w:t>
      </w:r>
      <w:r>
        <w:rPr>
          <w:rFonts w:ascii="Times New Roman" w:hAnsi="Times New Roman"/>
          <w:color w:val="000000"/>
          <w:sz w:val="22"/>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Communications and Emergencies</w:t>
      </w:r>
      <w:r>
        <w:rPr>
          <w:rFonts w:ascii="Times New Roman" w:hAnsi="Times New Roman"/>
          <w:color w:val="000000"/>
          <w:sz w:val="22"/>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Business Operations</w:t>
      </w:r>
      <w:r>
        <w:rPr>
          <w:rFonts w:ascii="Times New Roman" w:hAnsi="Times New Roman"/>
          <w:color w:val="000000"/>
          <w:sz w:val="22"/>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Compliance</w:t>
      </w:r>
      <w:r>
        <w:rPr>
          <w:rFonts w:ascii="Times New Roman" w:hAnsi="Times New Roman"/>
          <w:color w:val="000000"/>
          <w:sz w:val="22"/>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Monitoring</w:t>
      </w:r>
      <w:r>
        <w:rPr>
          <w:rFonts w:ascii="Times New Roman" w:hAnsi="Times New Roman"/>
          <w:color w:val="000000"/>
          <w:sz w:val="22"/>
        </w:rPr>
        <w:t>: Monitoring use of Company assets,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Complying with record keeping requirements</w:t>
      </w:r>
      <w:r>
        <w:rPr>
          <w:rFonts w:ascii="Times New Roman" w:hAnsi="Times New Roman"/>
          <w:color w:val="000000"/>
          <w:sz w:val="22"/>
        </w:rPr>
        <w:t>: Complying with record keeping requirements, including retention requirements mandated by statute or governmental regulatory agencies in the geographies where we do business, as defined in our agreements, or per client instructions.</w:t>
      </w:r>
    </w:p>
    <w:p>
      <w:pPr>
        <w:pStyle w:val="TextBody"/>
        <w:bidi w:val="0"/>
        <w:spacing w:before="240" w:after="283"/>
        <w:jc w:val="both"/>
        <w:rPr>
          <w:rFonts w:ascii="Times New Roman" w:hAnsi="Times New Roman"/>
          <w:sz w:val="20"/>
        </w:rPr>
      </w:pPr>
      <w:r>
        <w:rPr>
          <w:rFonts w:ascii="Times New Roman" w:hAnsi="Times New Roman"/>
          <w:b/>
          <w:color w:val="6F2F9F"/>
          <w:sz w:val="22"/>
        </w:rPr>
        <w:t>Aggregate and de-identified information</w:t>
      </w:r>
      <w:r>
        <w:rPr>
          <w:rFonts w:ascii="Times New Roman" w:hAnsi="Times New Roman"/>
          <w:color w:val="000000"/>
          <w:sz w:val="22"/>
        </w:rPr>
        <w:t>. To the extent permitted by law, we may de-identify Personal Information and 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 identified data cannot be associated with any individual or client. We will only maintain and use such data in a de-identified manner and do not attempt to re-identify the data, except as permitted by law.</w:t>
      </w:r>
    </w:p>
    <w:p>
      <w:pPr>
        <w:pStyle w:val="TextBody"/>
        <w:bidi w:val="0"/>
        <w:spacing w:before="240" w:after="283"/>
        <w:jc w:val="left"/>
        <w:rPr>
          <w:rFonts w:ascii="Times New Roman" w:hAnsi="Times New Roman"/>
          <w:b/>
          <w:color w:val="6F2F9F"/>
          <w:sz w:val="22"/>
        </w:rPr>
      </w:pPr>
      <w:r>
        <w:rPr>
          <w:rFonts w:ascii="Times New Roman" w:hAnsi="Times New Roman"/>
          <w:b/>
          <w:color w:val="6F2F9F"/>
          <w:sz w:val="22"/>
        </w:rPr>
        <w:t>The categories of unaffiliated third parties with whom WTW may share Personal Information: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Professional Advisors</w:t>
      </w:r>
      <w:r>
        <w:rPr>
          <w:rFonts w:ascii="Times New Roman" w:hAnsi="Times New Roman"/>
          <w:color w:val="000000"/>
          <w:sz w:val="22"/>
        </w:rPr>
        <w:t>: Accountants, auditors, lawyers, insurers, bankers, and other outside professional advisors in all of the countries in which the WTW operates.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Service Providers</w:t>
      </w:r>
      <w:r>
        <w:rPr>
          <w:rFonts w:ascii="Times New Roman" w:hAnsi="Times New Roman"/>
          <w:color w:val="000000"/>
          <w:sz w:val="22"/>
        </w:rPr>
        <w:t>: Companies that provide products and services to WTW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Public and Governmental Authorities</w:t>
      </w:r>
      <w:r>
        <w:rPr>
          <w:rFonts w:ascii="Times New Roman" w:hAnsi="Times New Roman"/>
          <w:color w:val="000000"/>
          <w:sz w:val="22"/>
        </w:rPr>
        <w:t>: Entities that regulate or have jurisdiction over companies in WTW such as regulatory authorities, law enforcement, public bodies, and judicial bodies (who may be located in other countries around the world).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u w:val="single"/>
        </w:rPr>
        <w:t>Corporate Transaction</w:t>
      </w:r>
      <w:r>
        <w:rPr>
          <w:rFonts w:ascii="Times New Roman" w:hAnsi="Times New Roman"/>
          <w:color w:val="000000"/>
          <w:sz w:val="22"/>
        </w:rPr>
        <w:t>: A third party in connection with any proposed or actual reorganization, merger, amalgamation, sale, joint venture, assignment, transfer or other disposition of all or any portion of WTW's business, assets or stock (including in connection with any bankruptcy or similar proceedings).</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2– Processing of Personal Information Related to Internal Investigations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internal investigation may arise for a variety of reasons, such as when the Legal or Compliance teams receive a report related to colleague actions or omissions that could constitute abuse, harassment, discrimination, wrongdoing, or violations of law or WTW policy. During an internal investigation, WTW may collect, use and process your Personal Information in accordance with the Global Employee Personal Information Protection Notice generally and also the provisions of this Annex 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an internal investigation, your Personal Information will be processed for the purposes of conducting the investigation. In addition, it may be processed for purposes of WTW ensuring compliance with its ethical and legal responsibilities, and for WTW to act based on the findings of the investigation. The lawful basis for this processing is the legitimate interest of WTW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Personal Information obtained during an internal investigation will be accessible only to those authorized WTW colleagues involved with the investigation. It may also be shared with third parties engaged by WTW who are assisting with the investigation such as legal counsel. Under appropriate circumstances, Personal Information obtained during an investigation may also be shared with legal authorities, regulators and/or the courts.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WTW Records Management Policy.</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3 – Information for California Residents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publicly available information made lawfully available by state or federal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personal information we collect about job applicants or independent contractors at WTW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pStyle w:val="TextBody"/>
        <w:bidi w:val="0"/>
        <w:spacing w:before="240" w:after="283"/>
        <w:jc w:val="both"/>
        <w:rPr>
          <w:rFonts w:ascii="Times New Roman" w:hAnsi="Times New Roman"/>
          <w:sz w:val="20"/>
        </w:rPr>
      </w:pPr>
      <w:r>
        <w:rPr>
          <w:rFonts w:ascii="Times New Roman" w:hAnsi="Times New Roman"/>
          <w:b/>
          <w:color w:val="6F2F9F"/>
          <w:sz w:val="22"/>
        </w:rPr>
        <w:t>Categories of personal information we collect, disclose, sell, or share</w:t>
      </w:r>
      <w:r>
        <w:rPr>
          <w:rFonts w:ascii="Times New Roman" w:hAnsi="Times New Roman"/>
          <w:color w:val="000000"/>
          <w:sz w:val="22"/>
        </w:rPr>
        <w:t>. Our collection, use and disclosure of personal information 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pStyle w:val="TextBody"/>
        <w:bidi w:val="0"/>
        <w:spacing w:before="240" w:after="283"/>
        <w:jc w:val="both"/>
        <w:rPr>
          <w:rFonts w:ascii="Times New Roman" w:hAnsi="Times New Roman"/>
          <w:sz w:val="20"/>
        </w:rPr>
      </w:pPr>
      <w:r>
        <w:rPr>
          <w:rFonts w:ascii="Times New Roman" w:hAnsi="Times New Roman"/>
          <w:b/>
          <w:color w:val="6F2F9F"/>
          <w:sz w:val="22"/>
        </w:rPr>
        <w:t>Rights of California residents</w:t>
      </w:r>
      <w:r>
        <w:rPr>
          <w:rFonts w:ascii="Times New Roman" w:hAnsi="Times New Roman"/>
          <w:b/>
          <w:color w:val="000000"/>
          <w:sz w:val="22"/>
        </w:rPr>
        <w:t xml:space="preserve">. </w:t>
      </w:r>
      <w:r>
        <w:rPr>
          <w:rFonts w:ascii="Times New Roman" w:hAnsi="Times New Roman"/>
          <w:color w:val="000000"/>
          <w:sz w:val="22"/>
        </w:rPr>
        <w:t>California law grants California residents certain rights and imposes restrictions on particular business practices as set forth below.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Do-Not-Sell</w:t>
      </w:r>
      <w:r>
        <w:rPr>
          <w:rFonts w:ascii="Times New Roman" w:hAnsi="Times New Roman"/>
          <w:color w:val="000000"/>
          <w:sz w:val="22"/>
        </w:rPr>
        <w:t>: California residents have the right to opt-out of our sale of their personal information. We do not “sell” personal information subject to this Notice.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Initial Notice</w:t>
      </w:r>
      <w:r>
        <w:rPr>
          <w:rFonts w:ascii="Times New Roman" w:hAnsi="Times New Roman"/>
          <w:color w:val="000000"/>
          <w:sz w:val="22"/>
        </w:rPr>
        <w:t>: We are required to notify California residents, at or before the point of collection of their personal information, the categories of personal information collected and the purposes for which such information is used.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Request to Delete</w:t>
      </w:r>
      <w:r>
        <w:rPr>
          <w:rFonts w:ascii="Times New Roman" w:hAnsi="Times New Roman"/>
          <w:i/>
          <w:color w:val="000000"/>
          <w:sz w:val="22"/>
        </w:rPr>
        <w:t xml:space="preserve">: </w:t>
      </w:r>
      <w:r>
        <w:rPr>
          <w:rFonts w:ascii="Times New Roman" w:hAnsi="Times New Roman"/>
          <w:color w:val="000000"/>
          <w:sz w:val="22"/>
        </w:rPr>
        <w:t>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 xml:space="preserve">Limit the Use of Sensitive Personal Information: </w:t>
      </w:r>
      <w:r>
        <w:rPr>
          <w:rFonts w:ascii="Times New Roman" w:hAnsi="Times New Roman"/>
          <w:color w:val="000000"/>
          <w:sz w:val="22"/>
        </w:rPr>
        <w:t>California residents have the right in certain instances to request that we limit the 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Request to Know</w:t>
      </w:r>
      <w:r>
        <w:rPr>
          <w:rFonts w:ascii="Times New Roman" w:hAnsi="Times New Roman"/>
          <w:color w:val="000000"/>
          <w:sz w:val="22"/>
        </w:rPr>
        <w:t xml:space="preserve">: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hindrance. California residents also have the right to request that we provide them certain information about how we have handled their personal information, including the:</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categories of personal information collected;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categories of sources of personal information;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business and/or commercial purposes for collecting and selling their personal information;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categories of third parties with whom we have shared their personal information;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categories of personal information that we have sold in the preceding 12 months, and for each category identified, the categories of third parties to which we sold that particular category of information;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jc w:val="both"/>
        <w:rPr>
          <w:rFonts w:ascii="Times New Roman" w:hAnsi="Times New Roman"/>
          <w:color w:val="000000"/>
          <w:sz w:val="22"/>
        </w:rPr>
      </w:pPr>
      <w:r>
        <w:rPr>
          <w:rFonts w:ascii="Times New Roman" w:hAnsi="Times New Roman"/>
          <w:color w:val="000000"/>
          <w:sz w:val="22"/>
        </w:rPr>
        <w:t>categories of personal information disclosed for a business purpose in the preceding 12 months, and for each category identified, the categories of third parties to which we disclosed that particular category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Request to Correct</w:t>
      </w:r>
      <w:r>
        <w:rPr>
          <w:rFonts w:ascii="Times New Roman" w:hAnsi="Times New Roman"/>
          <w:color w:val="000000"/>
          <w:sz w:val="22"/>
        </w:rPr>
        <w:t>: California residents have the right to request that we correct inaccurate personal information that we maintain.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Right to Non-Discrimination</w:t>
      </w:r>
      <w:r>
        <w:rPr>
          <w:rFonts w:ascii="Times New Roman" w:hAnsi="Times New Roman"/>
          <w:color w:val="000000"/>
          <w:sz w:val="22"/>
        </w:rPr>
        <w:t>: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Financial Incentives</w:t>
      </w:r>
      <w:r>
        <w:rPr>
          <w:rFonts w:ascii="Times New Roman" w:hAnsi="Times New Roman"/>
          <w:color w:val="000000"/>
          <w:sz w:val="22"/>
        </w:rPr>
        <w:t>: A business may offer financial incentives for the collection, sale or 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2"/>
        </w:rPr>
        <w:t>Submitting Requests</w:t>
      </w:r>
      <w:r>
        <w:rPr>
          <w:rFonts w:ascii="Times New Roman" w:hAnsi="Times New Roman"/>
          <w:color w:val="000000"/>
          <w:sz w:val="22"/>
        </w:rPr>
        <w:t>. Do-Not-Sell (Opt-out) Requests, Requests to Know, Requests to Delete, Requests to Limit, and Requests to Correct may be submitted:</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By contacting us at 1-800-889-9288 (toll free)</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Times New Roman" w:hAnsi="Times New Roman"/>
          <w:color w:val="000000"/>
          <w:sz w:val="22"/>
        </w:rPr>
      </w:pPr>
      <w:r>
        <w:rPr>
          <w:rFonts w:ascii="Times New Roman" w:hAnsi="Times New Roman"/>
          <w:color w:val="000000"/>
          <w:sz w:val="22"/>
        </w:rPr>
        <w:t>By submitting a Consumer Request through this link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will respond to verifiable requests received from California residents as required by law. For more information about our privacy practices, you may contact us as set forth above.</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b/>
          <w:color w:val="000000"/>
          <w:sz w:val="22"/>
        </w:rPr>
        <w:t>Consumer Requests Received</w:t>
      </w:r>
      <w:r>
        <w:rPr>
          <w:rFonts w:ascii="Times New Roman" w:hAnsi="Times New Roman"/>
          <w:color w:val="000000"/>
          <w:sz w:val="22"/>
        </w:rPr>
        <w:t>. For information about the consumer requests we have received, please see this page.</w:t>
      </w:r>
    </w:p>
    <w:p>
      <w:pPr>
        <w:pStyle w:val="TextBody"/>
        <w:bidi w:val="0"/>
        <w:spacing w:before="240" w:after="283"/>
        <w:jc w:val="both"/>
        <w:rPr>
          <w:rFonts w:ascii="Times New Roman" w:hAnsi="Times New Roman"/>
          <w:b/>
          <w:color w:val="6F2F9F"/>
          <w:sz w:val="22"/>
        </w:rPr>
      </w:pPr>
      <w:r>
        <w:rPr>
          <w:rFonts w:ascii="Times New Roman" w:hAnsi="Times New Roman"/>
          <w:b/>
          <w:color w:val="6F2F9F"/>
          <w:sz w:val="22"/>
        </w:rPr>
        <w:t>Opt-Out Preference Signals and “Do-Not-Track” Signals.</w:t>
      </w:r>
    </w:p>
    <w:p>
      <w:pPr>
        <w:pStyle w:val="TextBody"/>
        <w:bidi w:val="0"/>
        <w:jc w:val="both"/>
        <w:rPr>
          <w:rFonts w:ascii="Times New Roman" w:hAnsi="Times New Roman"/>
          <w:color w:val="000000"/>
          <w:sz w:val="22"/>
        </w:rPr>
      </w:pPr>
      <w:r>
        <w:rPr>
          <w:rFonts w:ascii="Times New Roman" w:hAnsi="Times New Roman"/>
          <w:color w:val="000000"/>
          <w:sz w:val="22"/>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4 – Information for Residents of the Kingdom of Saudi Arabia</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What do we do? </w:t>
      </w:r>
      <w:r>
        <w:rPr>
          <w:rFonts w:ascii="Times New Roman" w:hAnsi="Times New Roman"/>
          <w:color w:val="000000"/>
          <w:sz w:val="22"/>
        </w:rPr>
        <w:t>At WTW we provide data-driven, insight-led solutions in the areas of people, risk and capital.</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Additional legal basis. </w:t>
      </w:r>
      <w:r>
        <w:rPr>
          <w:rFonts w:ascii="Times New Roman" w:hAnsi="Times New Roman"/>
          <w:color w:val="000000"/>
          <w:sz w:val="22"/>
        </w:rPr>
        <w:t>The PDPL provides for several sets of legal bases for processing personal information. In addition to those listed 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pStyle w:val="TextBody"/>
        <w:bidi w:val="0"/>
        <w:spacing w:before="240" w:after="283"/>
        <w:jc w:val="both"/>
        <w:rPr>
          <w:rFonts w:ascii="Times New Roman" w:hAnsi="Times New Roman"/>
          <w:sz w:val="20"/>
        </w:rPr>
      </w:pPr>
      <w:r>
        <w:rPr>
          <w:rFonts w:ascii="Times New Roman" w:hAnsi="Times New Roman"/>
          <w:b/>
          <w:color w:val="000000"/>
          <w:sz w:val="22"/>
        </w:rPr>
        <w:t xml:space="preserve">Additional rights. </w:t>
      </w:r>
      <w:r>
        <w:rPr>
          <w:rFonts w:ascii="Times New Roman" w:hAnsi="Times New Roman"/>
          <w:color w:val="000000"/>
          <w:sz w:val="22"/>
        </w:rPr>
        <w:t>You may have the right to claim compensation for material or moral damage if you are harmed as a result of our violation of the PDPL or its implementing regulations.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As outlined in the section entitled "Access and correction requests, questions, and complaints" you can complain to us and if you are not satisfied with how we handle your complaint, you can file a complaint to the Saudi Data and Artificial Intelligence Authority at this link: https://sdaia.gov.sa/en/Contact/Pages/ContactUs.aspx</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5 - Information for Residents of Bermuda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following information applies to any individual’s personal information used in Bermuda in accordance with PIPA:</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Individual Rights under PIPA:</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to Access</w:t>
      </w:r>
      <w:r>
        <w:rPr>
          <w:rFonts w:ascii="Times New Roman" w:hAnsi="Times New Roman"/>
          <w:color w:val="000000"/>
          <w:sz w:val="22"/>
        </w:rPr>
        <w:t>: You have the right to request access: (i) your personal information in the custody or under the control of the Willis Towers Watson; (ii) the purposes for which your personal information has been and is being used by us; and (iii) the names of the persons or types of persons to whom and circumstances in which your personal information has been and is being disclosed.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to Access Medical Records</w:t>
      </w:r>
      <w:r>
        <w:rPr>
          <w:rFonts w:ascii="Times New Roman" w:hAnsi="Times New Roman"/>
          <w:color w:val="000000"/>
          <w:sz w:val="22"/>
        </w:rPr>
        <w:t>: You have the right to request access to personal information (i) of a medical or psychiatric nature; or (ii) kept for the purposes of, or obtained in the course of, the carrying out of social work in relation to the individual.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of Correction</w:t>
      </w:r>
      <w:r>
        <w:rPr>
          <w:rFonts w:ascii="Times New Roman" w:hAnsi="Times New Roman"/>
          <w:color w:val="000000"/>
          <w:sz w:val="22"/>
        </w:rPr>
        <w:t>: You have the right to request us to correct an error or omission in your personal information which is under the control of Willis Towers Watson.</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of Erasure or Destruction</w:t>
      </w:r>
      <w:r>
        <w:rPr>
          <w:rFonts w:ascii="Times New Roman" w:hAnsi="Times New Roman"/>
          <w:color w:val="000000"/>
          <w:sz w:val="22"/>
        </w:rPr>
        <w:t>: You have the right to request us to erase or destroy personal information about you where that personal information is no longer relevant for the purposes of its use.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of Blocking</w:t>
      </w:r>
      <w:r>
        <w:rPr>
          <w:rFonts w:ascii="Times New Roman" w:hAnsi="Times New Roman"/>
          <w:color w:val="000000"/>
          <w:sz w:val="22"/>
        </w:rPr>
        <w:t>: You have the right to request us to cease, or not to begin, using your personal information for the purposes of advertising, marketing or public relations, or where the use of that personal information is causing or is likely to cause substantial damage or substantial distress to you or to another individual.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2"/>
        </w:rPr>
        <w:t>Right to Review or Initiate a Complaint</w:t>
      </w:r>
      <w:r>
        <w:rPr>
          <w:rFonts w:ascii="Times New Roman" w:hAnsi="Times New Roman"/>
          <w:color w:val="000000"/>
          <w:sz w:val="22"/>
        </w:rPr>
        <w:t>: Where an individual has made a request of us in respect of their personal information they may ask the Privacy Commissioner for Bermuda to review our decision, action or failure to act.</w:t>
      </w:r>
    </w:p>
    <w:p>
      <w:pPr>
        <w:pStyle w:val="TextBody"/>
        <w:bidi w:val="0"/>
        <w:spacing w:before="240" w:after="283"/>
        <w:jc w:val="left"/>
        <w:rPr>
          <w:rFonts w:ascii="Times New Roman" w:hAnsi="Times New Roman"/>
          <w:sz w:val="20"/>
        </w:rPr>
      </w:pPr>
      <w:r>
        <w:rPr>
          <w:rFonts w:ascii="Times New Roman" w:hAnsi="Times New Roman"/>
          <w:b/>
          <w:color w:val="000000"/>
          <w:sz w:val="22"/>
        </w:rPr>
        <w:t>Submitting Requests</w:t>
      </w:r>
      <w:r>
        <w:rPr>
          <w:rFonts w:ascii="Times New Roman" w:hAnsi="Times New Roman"/>
          <w:color w:val="000000"/>
          <w:sz w:val="22"/>
        </w:rPr>
        <w:t>: You can exercise your rights by submitting a written request setting out sufficient detail to enable us to reasonably identify the personal information in the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By emailing us at dataaccessrequest@wtwco.com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By submitting a request through this link.</w:t>
      </w:r>
    </w:p>
    <w:p>
      <w:pPr>
        <w:pStyle w:val="TextBody"/>
        <w:bidi w:val="0"/>
        <w:spacing w:before="240" w:after="283"/>
        <w:jc w:val="both"/>
        <w:rPr>
          <w:rFonts w:ascii="Times New Roman" w:hAnsi="Times New Roman"/>
          <w:sz w:val="20"/>
        </w:rPr>
      </w:pPr>
      <w:r>
        <w:rPr>
          <w:rFonts w:ascii="Times New Roman" w:hAnsi="Times New Roman"/>
          <w:b/>
          <w:color w:val="000000"/>
          <w:sz w:val="22"/>
        </w:rPr>
        <w:t>Compensation for financial loss or distress</w:t>
      </w:r>
      <w:r>
        <w:rPr>
          <w:rFonts w:ascii="Times New Roman" w:hAnsi="Times New Roman"/>
          <w:color w:val="000000"/>
          <w:sz w:val="22"/>
        </w:rPr>
        <w:t>: An individual who suffers financial loss or emotional distress by reason of failure to comply with any of the requirements of PIPA by WTW is entitled to compensation from Willis Towers Watson.</w:t>
      </w:r>
    </w:p>
    <w:p>
      <w:pPr>
        <w:pStyle w:val="TextBody"/>
        <w:bidi w:val="0"/>
        <w:spacing w:before="240" w:after="283"/>
        <w:jc w:val="both"/>
        <w:rPr>
          <w:rFonts w:ascii="Times New Roman" w:hAnsi="Times New Roman"/>
          <w:sz w:val="20"/>
        </w:rPr>
      </w:pPr>
      <w:r>
        <w:rPr>
          <w:rFonts w:ascii="Times New Roman" w:hAnsi="Times New Roman"/>
          <w:b/>
          <w:color w:val="000000"/>
          <w:sz w:val="22"/>
        </w:rPr>
        <w:t>How to contact us in Bermuda</w:t>
      </w:r>
      <w:r>
        <w:rPr>
          <w:rFonts w:ascii="Times New Roman" w:hAnsi="Times New Roman"/>
          <w:color w:val="000000"/>
          <w:sz w:val="22"/>
        </w:rPr>
        <w:t>: If you have any questions or comments about this privacy notice regarding PIPA or our uses of personal information, please contact our Privacy Officer by writing to privacy@wtwco.com.</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6 – Special categories of personal Information</w:t>
      </w:r>
    </w:p>
    <w:p>
      <w:pPr>
        <w:pStyle w:val="TextBody"/>
        <w:bidi w:val="0"/>
        <w:spacing w:before="240" w:after="283"/>
        <w:jc w:val="center"/>
        <w:rPr>
          <w:rFonts w:ascii="Times New Roman" w:hAnsi="Times New Roman"/>
          <w:b/>
          <w:color w:val="4A116E"/>
          <w:sz w:val="22"/>
          <w:u w:val="single"/>
        </w:rPr>
      </w:pPr>
      <w:r>
        <w:rPr>
          <w:rFonts w:ascii="Times New Roman" w:hAnsi="Times New Roman"/>
          <w:b/>
          <w:color w:val="4A116E"/>
          <w:sz w:val="22"/>
          <w:u w:val="single"/>
        </w:rPr>
        <w:t>Policy Document Related to the United Kingdom</w:t>
      </w:r>
    </w:p>
    <w:p>
      <w:pPr>
        <w:pStyle w:val="TextBody"/>
        <w:bidi w:val="0"/>
        <w:spacing w:before="240" w:after="283"/>
        <w:jc w:val="right"/>
        <w:rPr>
          <w:rFonts w:ascii="Times New Roman" w:hAnsi="Times New Roman"/>
          <w:sz w:val="20"/>
        </w:rPr>
      </w:pPr>
      <w:r>
        <w:rPr>
          <w:rFonts w:ascii="Times New Roman" w:hAnsi="Times New Roman"/>
          <w:b/>
          <w:smallCaps/>
          <w:color w:val="000000"/>
          <w:sz w:val="22"/>
          <w:u w:val="single"/>
        </w:rPr>
        <w:t>Last updated</w:t>
      </w:r>
      <w:r>
        <w:rPr>
          <w:rFonts w:ascii="Times New Roman" w:hAnsi="Times New Roman"/>
          <w:b/>
          <w:smallCaps/>
          <w:color w:val="000000"/>
          <w:sz w:val="22"/>
        </w:rPr>
        <w:t>: June 2024</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objective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0" w:after="283"/>
        <w:jc w:val="both"/>
        <w:rPr/>
      </w:pPr>
      <w:r>
        <w:rPr>
          <w:rFonts w:ascii="Times New Roman" w:hAnsi="Times New Roman"/>
          <w:color w:val="000000"/>
          <w:sz w:val="22"/>
        </w:rPr>
        <w:t>This Special categories of personal information Policy Document (the "</w:t>
      </w:r>
      <w:r>
        <w:rPr>
          <w:rFonts w:ascii="Times New Roman" w:hAnsi="Times New Roman"/>
          <w:b/>
          <w:color w:val="000000"/>
          <w:sz w:val="22"/>
        </w:rPr>
        <w:t>Policy</w:t>
      </w:r>
      <w:r>
        <w:rPr>
          <w:rFonts w:ascii="Times New Roman" w:hAnsi="Times New Roman"/>
          <w:color w:val="000000"/>
          <w:sz w:val="22"/>
        </w:rPr>
        <w:t>") has been established to ensure that WTW processes special categories of personal information in a way which complies with the UK Data Protection Act 2018 (the "</w:t>
      </w:r>
      <w:r>
        <w:rPr>
          <w:rFonts w:ascii="Times New Roman" w:hAnsi="Times New Roman"/>
          <w:b/>
          <w:color w:val="000000"/>
          <w:sz w:val="22"/>
        </w:rPr>
        <w:t>Act</w:t>
      </w:r>
      <w:r>
        <w:rPr>
          <w:rFonts w:ascii="Times New Roman" w:hAnsi="Times New Roman"/>
          <w:color w:val="000000"/>
          <w:sz w:val="22"/>
        </w:rPr>
        <w:t>"), where it applies.</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Scope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0" w:after="283"/>
        <w:jc w:val="both"/>
        <w:rPr/>
      </w:pPr>
      <w:r>
        <w:rPr>
          <w:rFonts w:ascii="Times New Roman" w:hAnsi="Times New Roman"/>
          <w:color w:val="000000"/>
          <w:sz w:val="22"/>
        </w:rPr>
        <w:t xml:space="preserve">This Policy applies to all subsidiary companies of WTW PLC based in the </w:t>
      </w:r>
      <w:r>
        <w:rPr>
          <w:rFonts w:ascii="Times New Roman" w:hAnsi="Times New Roman"/>
          <w:b/>
          <w:color w:val="000000"/>
          <w:sz w:val="22"/>
        </w:rPr>
        <w:t xml:space="preserve">United Kingdom </w:t>
      </w:r>
      <w:r>
        <w:rPr>
          <w:rFonts w:ascii="Times New Roman" w:hAnsi="Times New Roman"/>
          <w:color w:val="000000"/>
          <w:sz w:val="22"/>
        </w:rPr>
        <w:t>(collectively, the "</w:t>
      </w:r>
      <w:r>
        <w:rPr>
          <w:rFonts w:ascii="Times New Roman" w:hAnsi="Times New Roman"/>
          <w:b/>
          <w:color w:val="000000"/>
          <w:sz w:val="22"/>
        </w:rPr>
        <w:t>Company</w:t>
      </w:r>
      <w:r>
        <w:rPr>
          <w:rFonts w:ascii="Times New Roman" w:hAnsi="Times New Roman"/>
          <w:color w:val="000000"/>
          <w:sz w:val="22"/>
        </w:rPr>
        <w:t>" or "</w:t>
      </w:r>
      <w:r>
        <w:rPr>
          <w:rFonts w:ascii="Times New Roman" w:hAnsi="Times New Roman"/>
          <w:b/>
          <w:color w:val="000000"/>
          <w:sz w:val="22"/>
        </w:rPr>
        <w:t>Willis Towers Watson</w:t>
      </w:r>
      <w:r>
        <w:rPr>
          <w:rFonts w:ascii="Times New Roman" w:hAnsi="Times New Roman"/>
          <w:color w:val="000000"/>
          <w:sz w:val="22"/>
        </w:rPr>
        <w:t>"). All permanent and temporary employees, officers and directors (collectively, "</w:t>
      </w:r>
      <w:r>
        <w:rPr>
          <w:rFonts w:ascii="Times New Roman" w:hAnsi="Times New Roman"/>
          <w:b/>
          <w:color w:val="000000"/>
          <w:sz w:val="22"/>
        </w:rPr>
        <w:t>Employees</w:t>
      </w:r>
      <w:r>
        <w:rPr>
          <w:rFonts w:ascii="Times New Roman" w:hAnsi="Times New Roman"/>
          <w:color w:val="000000"/>
          <w:sz w:val="22"/>
        </w:rPr>
        <w:t>") of WTW operations in the United Kingdom are expected to comply with this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Outside the United Kingdom, some jurisdictions may have laws that impose additional requirements as to the way in which WTW processes special categories of personal information. It is the responsibility of WTW entities to ensure compliance with all relevant country, regional and/or state laws, governmental regulations, professional practice obligations and regulatory guidance which relate to data privacy compliance.</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Governance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Owners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Owner is the Chief Privacy Officer. The Chief Privacy Officer will be responsible for liaising with the local supervisory authority in connection with any questions arising in relation to this Policy.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Approval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WTW Chief Privacy Officer is responsible for approval of this Policy.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review/material changes to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Policy will be reviewed at least annually, and the Policy Owner will be required to attest to policy adherence with material changes advised to the Privacy Team, for their approval. Global Privacy Office shall agree if such changes require escalation.</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Background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w:t>
      </w:r>
    </w:p>
    <w:p>
      <w:pPr>
        <w:pStyle w:val="TextBody"/>
        <w:bidi w:val="0"/>
        <w:spacing w:before="240" w:after="283"/>
        <w:jc w:val="both"/>
        <w:rPr/>
      </w:pPr>
      <w:r>
        <w:rPr>
          <w:rFonts w:ascii="Times New Roman" w:hAnsi="Times New Roman"/>
          <w:color w:val="000000"/>
          <w:sz w:val="22"/>
        </w:rPr>
        <w:t>"</w:t>
      </w:r>
      <w:r>
        <w:rPr>
          <w:rFonts w:ascii="Times New Roman" w:hAnsi="Times New Roman"/>
          <w:b/>
          <w:color w:val="000000"/>
          <w:sz w:val="22"/>
        </w:rPr>
        <w:t>Special categories of personal information</w:t>
      </w:r>
      <w:r>
        <w:rPr>
          <w:rFonts w:ascii="Times New Roman" w:hAnsi="Times New Roman"/>
          <w:color w:val="000000"/>
          <w:sz w:val="22"/>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WTW also treats information relating to criminal convictions and offences as falling within the definition of special categories of personal information.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WTW collects the following types of special categories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and criminal convictions and offences for insurance purposes and claims handling in relation to insured individuals, claimants and related third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for actuarial, pension scheme, and other benefits consultancy services.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and criminal convictions and offences for human resources management purposes in relation to employees, contractors and agents.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racial or ethnic origin, religion and sexual orientation for diversity monitoring purposes in relation to job applicants, employees, contractors and agents.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4.4</w:t>
      </w:r>
    </w:p>
    <w:p>
      <w:pPr>
        <w:pStyle w:val="TextBody"/>
        <w:bidi w:val="0"/>
        <w:spacing w:before="240" w:after="283"/>
        <w:jc w:val="both"/>
        <w:rPr/>
      </w:pPr>
      <w:r>
        <w:rPr>
          <w:rFonts w:ascii="Times New Roman" w:hAnsi="Times New Roman"/>
          <w:color w:val="000000"/>
          <w:sz w:val="22"/>
        </w:rPr>
        <w:t xml:space="preserve">This Policy is a key element of Willis Towers Watson's Global Privacy Framework and as such it applies in conjunction with all other policies and procedures established by WTW at group, regional and local country level which address the legal requirements and business needs applicable to the processing of data. </w:t>
      </w:r>
      <w:r>
        <w:rPr>
          <w:rFonts w:ascii="Times New Roman" w:hAnsi="Times New Roman"/>
          <w:b/>
          <w:color w:val="000000"/>
          <w:sz w:val="22"/>
        </w:rPr>
        <w:t>In particular, the principles in this document must be applied in accordance with the WTW Global Privacy Policy, the Information Security Policy and the Global Records Management Policy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policies and procedures that comprise the WTW Global Privacy Framework, including the WTW Global Privacy Policy are available from the Chief Privacy Officer.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Further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you require more information about data privacy and how the rules set out in this Policy affect WTW companies, you, or third parties, please contact the Chief Privacy Officer.</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5.</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Rules on processing special categories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WTW Global Privacy Policy must be followed when processing special categories of personal information. This contains the following rules and sets out the practical steps that apply in relation to each rule: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10205" w:type="dxa"/>
            <w:tcBorders/>
            <w:shd w:fill="C3F3FF" w:val="clear"/>
            <w:tcMar>
              <w:top w:w="0" w:type="dxa"/>
              <w:left w:w="0" w:type="dxa"/>
              <w:bottom w:w="0" w:type="dxa"/>
              <w:right w:w="0" w:type="dxa"/>
            </w:tcMar>
            <w:vAlign w:val="center"/>
          </w:tcPr>
          <w:p>
            <w:pPr>
              <w:pStyle w:val="TableContents"/>
              <w:bidi w:val="0"/>
              <w:spacing w:before="120" w:after="283"/>
              <w:ind w:left="0" w:right="0" w:firstLine="90"/>
              <w:jc w:val="left"/>
              <w:rPr>
                <w:rFonts w:ascii="Times New Roman" w:hAnsi="Times New Roman"/>
                <w:b/>
                <w:color w:val="000000"/>
                <w:sz w:val="22"/>
              </w:rPr>
            </w:pPr>
            <w:r>
              <w:rPr>
                <w:rFonts w:ascii="Times New Roman" w:hAnsi="Times New Roman"/>
                <w:b/>
                <w:color w:val="000000"/>
                <w:sz w:val="22"/>
              </w:rPr>
              <w:t>The Rules</w:t>
            </w:r>
          </w:p>
          <w:p>
            <w:pPr>
              <w:pStyle w:val="TableContents"/>
              <w:bidi w:val="0"/>
              <w:spacing w:before="120" w:after="283"/>
              <w:ind w:left="0" w:right="0" w:firstLine="90"/>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Transparency: </w:t>
            </w:r>
            <w:r>
              <w:rPr>
                <w:rFonts w:ascii="Times New Roman" w:hAnsi="Times New Roman"/>
                <w:color w:val="000000"/>
                <w:sz w:val="22"/>
              </w:rPr>
              <w:t>We must be transparent about the way in which we use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Collecting and using personal data for a lawful purpose only: </w:t>
            </w:r>
            <w:r>
              <w:rPr>
                <w:rFonts w:ascii="Times New Roman" w:hAnsi="Times New Roman"/>
                <w:color w:val="000000"/>
                <w:sz w:val="22"/>
              </w:rPr>
              <w:t>We must only collect and use the minimum amount of personal data which is necessary for one or more legitimate business purposes, which must be lawful and justifiable.</w:t>
            </w:r>
          </w:p>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b/>
                <w:color w:val="000000"/>
                <w:sz w:val="22"/>
              </w:rPr>
              <w:t xml:space="preserve">Safeguarding special categories of data: </w:t>
            </w:r>
            <w:r>
              <w:rPr>
                <w:rFonts w:ascii="Times New Roman" w:hAnsi="Times New Roman"/>
                <w:color w:val="000000"/>
                <w:sz w:val="22"/>
              </w:rPr>
              <w:t>We must only process special categories of data when it is necessary to do so, and we have explicit consent from individuals or another legal basis to legitimise the processing.</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Data protection impact assessments: </w:t>
            </w:r>
            <w:r>
              <w:rPr>
                <w:rFonts w:ascii="Times New Roman" w:hAnsi="Times New Roman"/>
                <w:color w:val="000000"/>
                <w:sz w:val="22"/>
              </w:rPr>
              <w:t>Where the collection and use of personal data is likely to result in significant risks to the rights and freedoms of individuals, we must carry out an assessment into the impact of the proposed collection and use on individuals.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Ensuring data quality: </w:t>
            </w:r>
            <w:r>
              <w:rPr>
                <w:rFonts w:ascii="Times New Roman" w:hAnsi="Times New Roman"/>
                <w:color w:val="000000"/>
                <w:sz w:val="22"/>
              </w:rPr>
              <w:t>We must keep personal data accurate and up to date.</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Retaining and disposing of data: </w:t>
            </w:r>
            <w:r>
              <w:rPr>
                <w:rFonts w:ascii="Times New Roman" w:hAnsi="Times New Roman"/>
                <w:color w:val="000000"/>
                <w:sz w:val="22"/>
              </w:rPr>
              <w:t>We must keep personal data only for as long as is necessary for a specific business purpose and ensure that it is disposed of securely.</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Respecting individuals' rights: </w:t>
            </w:r>
            <w:r>
              <w:rPr>
                <w:rFonts w:ascii="Times New Roman" w:hAnsi="Times New Roman"/>
                <w:color w:val="000000"/>
                <w:sz w:val="22"/>
              </w:rPr>
              <w:t>We must be receptive to any queries, requests or complaints made by individuals in connection with their personal data in accordance with applicable law.</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Taking appropriate security measures: </w:t>
            </w:r>
            <w:r>
              <w:rPr>
                <w:rFonts w:ascii="Times New Roman" w:hAnsi="Times New Roman"/>
                <w:color w:val="000000"/>
                <w:sz w:val="22"/>
              </w:rPr>
              <w:t>We must implement appropriate technical and organisational security measures to protect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Adopting privacy by design: </w:t>
            </w:r>
            <w:r>
              <w:rPr>
                <w:rFonts w:ascii="Times New Roman" w:hAnsi="Times New Roman"/>
                <w:color w:val="000000"/>
                <w:sz w:val="22"/>
              </w:rPr>
              <w:t>We must adopt privacy by design and privacy by default in systems, databases, tools and features that process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Using subcontractors/vendors: </w:t>
            </w:r>
            <w:r>
              <w:rPr>
                <w:rFonts w:ascii="Times New Roman" w:hAnsi="Times New Roman"/>
                <w:color w:val="000000"/>
                <w:sz w:val="22"/>
              </w:rPr>
              <w:t>We must ensure that providers of services to us also adopt appropriate and equivalent security measures.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Disclosing to third parties: </w:t>
            </w:r>
            <w:r>
              <w:rPr>
                <w:rFonts w:ascii="Times New Roman" w:hAnsi="Times New Roman"/>
                <w:color w:val="000000"/>
                <w:sz w:val="22"/>
              </w:rPr>
              <w:t>We must only comply with requests for disclosure of personal data to third parties where we have a legal basis on which to do so, or with the consent of affected individuals.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Ensuring adequate protection for international transfers: </w:t>
            </w:r>
            <w:r>
              <w:rPr>
                <w:rFonts w:ascii="Times New Roman" w:hAnsi="Times New Roman"/>
                <w:color w:val="000000"/>
                <w:sz w:val="22"/>
              </w:rPr>
              <w:t>We must ensure that adequate protection is put in place when making transfers of personal data from one country to another country.</w:t>
            </w:r>
          </w:p>
          <w:p>
            <w:pPr>
              <w:pStyle w:val="TableContents"/>
              <w:bidi w:val="0"/>
              <w:spacing w:before="0" w:after="283"/>
              <w:ind w:left="0" w:right="0" w:firstLine="90"/>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When relying on explicit consent, we must ensure that suitable and explicit wording expressing the individual’s consent is provided in any consent forms. Where consent is not relied upon, we must be able to demonstrate that there is another lawful basis under applicable law for the collection and use of such information and make a record of the basis on which such processing is undertaken.</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5.4</w:t>
      </w:r>
    </w:p>
    <w:p>
      <w:pPr>
        <w:pStyle w:val="TextBody"/>
        <w:bidi w:val="0"/>
        <w:spacing w:before="240" w:after="283"/>
        <w:jc w:val="both"/>
        <w:rPr/>
      </w:pPr>
      <w:r>
        <w:rPr>
          <w:rFonts w:ascii="Times New Roman" w:hAnsi="Times New Roman"/>
          <w:color w:val="000000"/>
          <w:sz w:val="22"/>
        </w:rPr>
        <w:t xml:space="preserve">We may process special categories of personal information </w:t>
      </w:r>
      <w:r>
        <w:rPr>
          <w:rFonts w:ascii="Times New Roman" w:hAnsi="Times New Roman"/>
          <w:color w:val="000000"/>
          <w:sz w:val="22"/>
          <w:u w:val="single"/>
        </w:rPr>
        <w:t xml:space="preserve">without </w:t>
      </w:r>
      <w:r>
        <w:rPr>
          <w:rFonts w:ascii="Times New Roman" w:hAnsi="Times New Roman"/>
          <w:color w:val="000000"/>
          <w:sz w:val="22"/>
        </w:rPr>
        <w:t>the explicit consent of the individual affected if the processing is for one of the following purposes: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3165"/>
        <w:gridCol w:w="5863"/>
      </w:tblGrid>
      <w:tr>
        <w:trPr/>
        <w:tc>
          <w:tcPr>
            <w:tcW w:w="1177"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5863" w:type="dxa"/>
            <w:tcBorders/>
            <w:vAlign w:val="center"/>
          </w:tcPr>
          <w:p>
            <w:pPr>
              <w:pStyle w:val="TableContents"/>
              <w:bidi w:val="0"/>
              <w:spacing w:before="0" w:after="283"/>
              <w:jc w:val="left"/>
              <w:rPr>
                <w:sz w:val="4"/>
                <w:szCs w:val="4"/>
              </w:rPr>
            </w:pPr>
            <w:r>
              <w:rPr>
                <w:sz w:val="4"/>
                <w:szCs w:val="4"/>
              </w:rPr>
            </w:r>
          </w:p>
        </w:tc>
      </w:tr>
      <w:tr>
        <w:trPr/>
        <w:tc>
          <w:tcPr>
            <w:tcW w:w="1177" w:type="dxa"/>
            <w:tcBorders>
              <w:top w:val="single" w:sz="4" w:space="0" w:color="000000"/>
              <w:left w:val="single" w:sz="4" w:space="0" w:color="000000"/>
              <w:bottom w:val="single" w:sz="4" w:space="0" w:color="000000"/>
              <w:right w:val="single" w:sz="4" w:space="0" w:color="000000"/>
            </w:tcBorders>
            <w:shd w:fill="6BC8FF" w:val="cle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Act Ref in</w:t>
            </w:r>
          </w:p>
          <w:p>
            <w:pPr>
              <w:pStyle w:val="TableContents"/>
              <w:bidi w:val="0"/>
              <w:jc w:val="left"/>
              <w:rPr>
                <w:rFonts w:ascii="Times New Roman" w:hAnsi="Times New Roman"/>
                <w:b/>
                <w:color w:val="000000"/>
                <w:sz w:val="22"/>
              </w:rPr>
            </w:pPr>
            <w:r>
              <w:rPr>
                <w:rFonts w:ascii="Times New Roman" w:hAnsi="Times New Roman"/>
                <w:b/>
                <w:color w:val="000000"/>
                <w:sz w:val="22"/>
              </w:rPr>
              <w:t>Schedule 1</w:t>
            </w:r>
          </w:p>
          <w:p>
            <w:pPr>
              <w:pStyle w:val="TableContents"/>
              <w:bidi w:val="0"/>
              <w:spacing w:before="0" w:after="283"/>
              <w:jc w:val="left"/>
              <w:rPr/>
            </w:pPr>
            <w:r>
              <w:rPr/>
              <w:t> </w:t>
            </w:r>
          </w:p>
        </w:tc>
        <w:tc>
          <w:tcPr>
            <w:tcW w:w="3165" w:type="dxa"/>
            <w:tcBorders>
              <w:top w:val="single" w:sz="4" w:space="0" w:color="000000"/>
              <w:bottom w:val="single" w:sz="4" w:space="0" w:color="000000"/>
              <w:right w:val="single" w:sz="4" w:space="0" w:color="000000"/>
            </w:tcBorders>
            <w:shd w:fill="6BC8FF" w:val="clear"/>
            <w:tcMar>
              <w:left w:w="0" w:type="dxa"/>
            </w:tcMar>
            <w:vAlign w:val="center"/>
          </w:tcPr>
          <w:p>
            <w:pPr>
              <w:pStyle w:val="TableContents"/>
              <w:bidi w:val="0"/>
              <w:spacing w:before="3" w:after="120"/>
              <w:jc w:val="left"/>
              <w:rPr>
                <w:rFonts w:ascii="Times New Roman" w:hAnsi="Times New Roman"/>
                <w:b/>
                <w:color w:val="000000"/>
                <w:sz w:val="22"/>
              </w:rPr>
            </w:pPr>
            <w:r>
              <w:rPr>
                <w:rFonts w:ascii="Times New Roman" w:hAnsi="Times New Roman"/>
                <w:b/>
                <w:color w:val="000000"/>
                <w:sz w:val="22"/>
              </w:rPr>
              <w:t>Purpose</w:t>
            </w:r>
          </w:p>
        </w:tc>
        <w:tc>
          <w:tcPr>
            <w:tcW w:w="5863" w:type="dxa"/>
            <w:tcBorders>
              <w:top w:val="single" w:sz="4" w:space="0" w:color="000000"/>
              <w:bottom w:val="single" w:sz="4" w:space="0" w:color="000000"/>
              <w:right w:val="single" w:sz="4" w:space="0" w:color="000000"/>
            </w:tcBorders>
            <w:shd w:fill="6BC8FF" w:val="clear"/>
            <w:tcMar>
              <w:left w:w="0" w:type="dxa"/>
            </w:tcMar>
            <w:vAlign w:val="center"/>
          </w:tcPr>
          <w:p>
            <w:pPr>
              <w:pStyle w:val="TableContents"/>
              <w:bidi w:val="0"/>
              <w:spacing w:before="3" w:after="120"/>
              <w:jc w:val="left"/>
              <w:rPr>
                <w:rFonts w:ascii="Times New Roman" w:hAnsi="Times New Roman"/>
                <w:b/>
                <w:color w:val="000000"/>
                <w:sz w:val="22"/>
              </w:rPr>
            </w:pPr>
            <w:r>
              <w:rPr>
                <w:rFonts w:ascii="Times New Roman" w:hAnsi="Times New Roman"/>
                <w:b/>
                <w:color w:val="000000"/>
                <w:sz w:val="22"/>
              </w:rPr>
              <w:t>Examples</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Employment, social security and social protection</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health information for managing employee sick leave and pay</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2</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Health or social care purposes</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disability information for assessing the working capability of employees</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8</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Equality of opportunity or treatment</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Processing information about racial and ethnic origin, religion, health and sexual orientation for diversity monitoring</w:t>
            </w:r>
          </w:p>
          <w:p>
            <w:pPr>
              <w:pStyle w:val="TableContents"/>
              <w:bidi w:val="0"/>
              <w:spacing w:before="0" w:after="283"/>
              <w:jc w:val="both"/>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9</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Racial and ethnic diversity at senior levels of organisations</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information about racial and ethnic origin to identify individuals suitable to hold senior positions to promote racial/ethnic diversity</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10</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Preventing or detecting unlawful acts</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health information to detect insurance fraud</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12</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requirements relating to unlawful acts and dishonesty</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crime-related information to control insider risk</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14</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Preventing fraud</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crime-related information to prevent fraud</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15</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Suspicion of terrorist financing or money laundering</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crime-related information to identify potential terrorist financing or money laundering</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19</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Safeguarding of economic well- being of certain individuals</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health information about vulnerable customers to protect the economic well-being of the customers</w:t>
            </w:r>
          </w:p>
          <w:p>
            <w:pPr>
              <w:pStyle w:val="TableContents"/>
              <w:bidi w:val="0"/>
              <w:spacing w:before="0" w:after="283"/>
              <w:jc w:val="left"/>
              <w:rPr/>
            </w:pPr>
            <w:r>
              <w:rPr/>
              <w:t> </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20</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Insurance</w:t>
            </w:r>
          </w:p>
        </w:tc>
        <w:tc>
          <w:tcPr>
            <w:tcW w:w="5863" w:type="dxa"/>
            <w:tcBorders>
              <w:bottom w:val="single" w:sz="4" w:space="0" w:color="000000"/>
              <w:right w:val="single" w:sz="4" w:space="0" w:color="000000"/>
            </w:tcBorders>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Processing health information or crime- related information for an insurance purpose</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Access to special categories of personal information must be limited to appropriate persons on 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5.7</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6.</w:t>
      </w:r>
    </w:p>
    <w:p>
      <w:pPr>
        <w:pStyle w:val="TextBody"/>
        <w:bidi w:val="0"/>
        <w:spacing w:before="240" w:after="283"/>
        <w:jc w:val="left"/>
        <w:rPr>
          <w:rFonts w:ascii="Times New Roman" w:hAnsi="Times New Roman"/>
          <w:smallCaps/>
          <w:color w:val="000000"/>
          <w:sz w:val="22"/>
        </w:rPr>
      </w:pPr>
      <w:r>
        <w:rPr>
          <w:rFonts w:ascii="Times New Roman" w:hAnsi="Times New Roman"/>
          <w:smallCaps/>
          <w:color w:val="000000"/>
          <w:sz w:val="22"/>
        </w:rPr>
        <w:t>Verifying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Local Data Protection Officer will undertake periodic compliance reviews in relation to processing of special category personal data and communicate the results to the Chief Privacy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Internal Audit team may also conduct periodic audits to ensure compliance with this Policy. All employees must cooperate with such audits and any outcomes, including remediation plans.</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7.</w:t>
      </w:r>
    </w:p>
    <w:p>
      <w:pPr>
        <w:pStyle w:val="TextBody"/>
        <w:bidi w:val="0"/>
        <w:spacing w:before="240" w:after="283"/>
        <w:jc w:val="left"/>
        <w:rPr>
          <w:rFonts w:ascii="Times New Roman" w:hAnsi="Times New Roman"/>
          <w:smallCaps/>
          <w:color w:val="000000"/>
          <w:sz w:val="22"/>
        </w:rPr>
      </w:pPr>
      <w:r>
        <w:rPr>
          <w:rFonts w:ascii="Times New Roman" w:hAnsi="Times New Roman"/>
          <w:smallCaps/>
          <w:color w:val="000000"/>
          <w:sz w:val="22"/>
        </w:rPr>
        <w:t>Training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8.</w:t>
      </w:r>
    </w:p>
    <w:p>
      <w:pPr>
        <w:pStyle w:val="TextBody"/>
        <w:bidi w:val="0"/>
        <w:spacing w:before="240" w:after="283"/>
        <w:jc w:val="left"/>
        <w:rPr>
          <w:rFonts w:ascii="Times New Roman" w:hAnsi="Times New Roman"/>
          <w:smallCaps/>
          <w:color w:val="000000"/>
          <w:sz w:val="22"/>
        </w:rPr>
      </w:pPr>
      <w:r>
        <w:rPr>
          <w:rFonts w:ascii="Times New Roman" w:hAnsi="Times New Roman"/>
          <w:smallCaps/>
          <w:color w:val="000000"/>
          <w:sz w:val="22"/>
        </w:rPr>
        <w:t>Maintenance and Contact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review and maintenance of this Policy is the responsibility of the Chief Privacy Officer. Queries and feedback should be directed to the Chief Privacy Officer.</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7 – Information for Residents of Canada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You may have certain rights under applicable Canadian data privacy laws, PIPEDA”), and other similar laws provincial or local laws in relation to personal data. Subject to applicable law, you may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Access to your personal information, in a reasonably portable format.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Correction or deletion of your personal information (unless we are required to retain it in accordance with applicable law).</w:t>
      </w:r>
    </w:p>
    <w:p>
      <w:pPr>
        <w:pStyle w:val="TextBody"/>
        <w:bidi w:val="0"/>
        <w:spacing w:before="240" w:after="283"/>
        <w:jc w:val="left"/>
        <w:rPr>
          <w:rFonts w:ascii="Times New Roman" w:hAnsi="Times New Roman"/>
          <w:sz w:val="20"/>
        </w:rPr>
      </w:pPr>
      <w:r>
        <w:rPr>
          <w:rFonts w:ascii="Times New Roman" w:hAnsi="Times New Roman"/>
          <w:color w:val="000000"/>
          <w:sz w:val="22"/>
          <w:u w:val="single"/>
        </w:rPr>
        <w:t>Submitting Requests</w:t>
      </w:r>
      <w:r>
        <w:rPr>
          <w:rFonts w:ascii="Times New Roman" w:hAnsi="Times New Roman"/>
          <w:color w:val="000000"/>
          <w:sz w:val="22"/>
        </w:rPr>
        <w:t>: Requests to exercise privacy rights under Canadian laws may be submitted using this form, by contacting us at 1-800-889-9288 (toll free), or by emailing us at dataaccessrequest@wtwco.com.</w:t>
      </w:r>
    </w:p>
    <w:p>
      <w:pPr>
        <w:pStyle w:val="TextBody"/>
        <w:bidi w:val="0"/>
        <w:spacing w:before="240" w:after="283"/>
        <w:jc w:val="left"/>
        <w:rPr>
          <w:rFonts w:ascii="Times New Roman" w:hAnsi="Times New Roman"/>
          <w:sz w:val="20"/>
        </w:rPr>
      </w:pPr>
      <w:r>
        <w:rPr>
          <w:rFonts w:ascii="Times New Roman" w:hAnsi="Times New Roman"/>
          <w:color w:val="000000"/>
          <w:sz w:val="22"/>
        </w:rPr>
        <w:t>Depending on applicable laws, if your request to exercise a right is denied or not responded to within a reasonable time, you may appeal that decision through this link</w:t>
      </w:r>
      <w:r>
        <w:rPr>
          <w:rFonts w:ascii="Times New Roman" w:hAnsi="Times New Roman"/>
          <w:color w:val="0000FF"/>
          <w:sz w:val="20"/>
        </w:rPr>
        <w:t xml:space="preserve"> </w:t>
      </w:r>
      <w:r>
        <w:rPr>
          <w:rFonts w:ascii="Times New Roman" w:hAnsi="Times New Roman"/>
          <w:color w:val="000000"/>
          <w:sz w:val="22"/>
        </w:rPr>
        <w:t>or emailing privacy@wtwco.com.</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8 – Information for Residents of Brazil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following information applies to any individual’s personal information used in Brazil in accordance</w:t>
      </w:r>
    </w:p>
    <w:p>
      <w:pPr>
        <w:pStyle w:val="TextBody"/>
        <w:bidi w:val="0"/>
        <w:spacing w:before="26" w:after="283"/>
        <w:jc w:val="left"/>
        <w:rPr>
          <w:rFonts w:ascii="Times New Roman" w:hAnsi="Times New Roman"/>
          <w:color w:val="000000"/>
          <w:sz w:val="22"/>
        </w:rPr>
      </w:pPr>
      <w:r>
        <w:rPr>
          <w:rFonts w:ascii="Times New Roman" w:hAnsi="Times New Roman"/>
          <w:color w:val="000000"/>
          <w:sz w:val="22"/>
        </w:rPr>
        <w:t>with the Brazilian General Data Protection Law (LGPD):</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Legal Bases for Processing Personal Information under the LGPD: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the LGPD, we use or process personal information in accordance with the following legal bases: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fulfil our contractual obligations to you in connection with your employment contract with 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comply with our legal obligations, for example for complying with social security requirements, or health and safety obligations that we must comply with as your employer or to a third party (e.g. the taxation authorities);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the regular exercise of our rights in administrative, judicial or arbitration proceedings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protect your or another person's life or physical integrity, for example by providing your health information to a doctor in a medical emergency;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our DPO.</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Individual Rights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the LGPD, individuals have certain rights related to their personal data, subject to other limitations in this law,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Confirmation of the existence of data processing;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Access to your personal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Correction of incomplete, inaccurate, or out-of-date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Anonymization, blocking, or deletion of unnecessary or excessive data, or data processed in non-compliance with LGPD;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Portability of data to another service or product provider, subject to our commercial or industrial secrets;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Deletion of personal data processed with basis on your consent, to the extent permitted by the LGPD;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the entities with whom we have shared personal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the possibility of denying consent and consequences of such denial;</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Revocation of consent;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Objection to any processing of personal data to the extent that we rely on legal bases other than your consent, in case of violation of the LGPD;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Revision of decisions taken solely on the basis of automated processing of your personal data which affects your interests, including decisions intended to define personal, professional, consumer or credit profile or aspects of your personality;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Lodging a complaint with the National Authority (“ANPD”) if you consider that the processing of your personal data infringes the LGPD provisions.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Transfer of Personal Information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find below consolidated information on cross-border transfer of personal data that we may carry out under LGPD, as set out in Section 5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Form, Duration and Specific Purpose of the Cross-border Transfer: We may transfer personal information relating to you from Brazil via our internal networks, for the purposes described in Annex 1 of this Notice, and your Personal Data will be retained in relation to the international transfer as described in Section 7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Country of Destination: Your Personal Data may be stored or accessed in any of the countries where we operate, including Canada, the United States, Mexico, the European Union, India, and the Philippines.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Identification of the controller: See Section 1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shared used and the purpose of sharing: See purposes described in Annex 1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responsibilities of the processing agents and the security measures adopted: the data controller shall be responsible for (i) publishing information on the cross- border transfer; (ii) responding to data subjects’ requests; and (iii) notifying ANPD and data subjects of security incidents which may cause significant risk or damage to data subjects. See security measures described in Section 6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rights of the data subject and the means of exercising them: See Individual rights listed above and contact information for submitting requests in section 11 of this Notice.</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aps/>
          <w:color w:val="000000"/>
          <w:sz w:val="22"/>
        </w:rPr>
      </w:pPr>
      <w:bookmarkStart w:id="60" w:name="wtw-ex10_3.htm"/>
      <w:bookmarkStart w:id="61" w:name="kswtwex10_3"/>
      <w:bookmarkEnd w:id="60"/>
      <w:bookmarkEnd w:id="61"/>
      <w:r>
        <w:rPr>
          <w:rFonts w:ascii="Times New Roman" w:hAnsi="Times New Roman"/>
          <w:b/>
          <w:caps/>
          <w:color w:val="000000"/>
          <w:sz w:val="22"/>
        </w:rPr>
        <w:t>Exhibit 10.3</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2"/>
        </w:rPr>
        <w:t>Willis TOWERS WATSON Public Limited Company</w:t>
        <w:br/>
        <w:t>2012 Equity Incentive Plan, as amended and restated</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PERFORMANCE-Based Restricted SHARE Unit GRANT NOTICE</w:t>
      </w:r>
    </w:p>
    <w:p>
      <w:pPr>
        <w:pStyle w:val="TextBody"/>
        <w:bidi w:val="0"/>
        <w:jc w:val="both"/>
        <w:rPr>
          <w:rFonts w:ascii="Times New Roman" w:hAnsi="Times New Roman"/>
          <w:sz w:val="20"/>
        </w:rPr>
      </w:pPr>
      <w:r>
        <w:rPr>
          <w:rFonts w:ascii="Times New Roman" w:hAnsi="Times New Roman"/>
          <w:color w:val="000000"/>
          <w:sz w:val="22"/>
        </w:rPr>
        <w:t>Willis Towers Watson Public Limited Company, a corporation organized under the laws of Ireland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pursuant to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hereby grants to the individual listed below (the “</w:t>
      </w:r>
      <w:r>
        <w:rPr>
          <w:rFonts w:ascii="Times New Roman" w:hAnsi="Times New Roman"/>
          <w:color w:val="000000"/>
          <w:sz w:val="22"/>
          <w:u w:val="single"/>
        </w:rPr>
        <w:t>Colleague</w:t>
      </w:r>
      <w:r>
        <w:rPr>
          <w:rFonts w:ascii="Times New Roman" w:hAnsi="Times New Roman"/>
          <w:color w:val="000000"/>
          <w:sz w:val="20"/>
        </w:rPr>
        <w:t>”</w:t>
      </w:r>
      <w:r>
        <w:rPr>
          <w:rFonts w:ascii="Times New Roman" w:hAnsi="Times New Roman"/>
          <w:color w:val="000000"/>
          <w:sz w:val="22"/>
        </w:rPr>
        <w:t>) an award of Performance-Based Restricted Share Units (the “</w:t>
      </w:r>
      <w:r>
        <w:rPr>
          <w:rFonts w:ascii="Times New Roman" w:hAnsi="Times New Roman"/>
          <w:color w:val="000000"/>
          <w:sz w:val="22"/>
          <w:u w:val="single"/>
        </w:rPr>
        <w:t>PSUs</w:t>
      </w:r>
      <w:r>
        <w:rPr>
          <w:rFonts w:ascii="Times New Roman" w:hAnsi="Times New Roman"/>
          <w:color w:val="000000"/>
          <w:sz w:val="20"/>
        </w:rPr>
        <w:t>”</w:t>
      </w:r>
      <w:r>
        <w:rPr>
          <w:rFonts w:ascii="Times New Roman" w:hAnsi="Times New Roman"/>
          <w:color w:val="000000"/>
          <w:sz w:val="22"/>
        </w:rPr>
        <w:t>) as described in this Performance-Based Restricted Share Unit Grant Notice (this “</w:t>
      </w:r>
      <w:r>
        <w:rPr>
          <w:rFonts w:ascii="Times New Roman" w:hAnsi="Times New Roman"/>
          <w:color w:val="000000"/>
          <w:sz w:val="22"/>
          <w:u w:val="single"/>
        </w:rPr>
        <w:t>Grant Notice</w:t>
      </w:r>
      <w:r>
        <w:rPr>
          <w:rFonts w:ascii="Times New Roman" w:hAnsi="Times New Roman"/>
          <w:color w:val="000000"/>
          <w:sz w:val="20"/>
        </w:rPr>
        <w:t>”</w:t>
      </w:r>
      <w:r>
        <w:rPr>
          <w:rFonts w:ascii="Times New Roman" w:hAnsi="Times New Roman"/>
          <w:color w:val="000000"/>
          <w:sz w:val="22"/>
        </w:rPr>
        <w:t>), subject to the terms and conditions of the Plan and the Performance-Based Restricted Share Unit Award Agreement attached hereto, including any additional terms and conditions set forth in any appendix applicable in the Colleague’s country and any other schedule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both of which are incorporated into this Grant Notice by reference. Capitalized terms not specifically defined in this Grant Notice or the Agreement have the meanings given to them in the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21"/>
        <w:gridCol w:w="146"/>
        <w:gridCol w:w="8438"/>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8" w:type="dxa"/>
            <w:tcBorders/>
            <w:vAlign w:val="center"/>
          </w:tcPr>
          <w:p>
            <w:pPr>
              <w:pStyle w:val="TableContents"/>
              <w:bidi w:val="0"/>
              <w:spacing w:before="0" w:after="283"/>
              <w:jc w:val="left"/>
              <w:rPr>
                <w:sz w:val="4"/>
                <w:szCs w:val="4"/>
              </w:rPr>
            </w:pPr>
            <w:r>
              <w:rPr>
                <w:sz w:val="4"/>
                <w:szCs w:val="4"/>
              </w:rPr>
            </w:r>
          </w:p>
        </w:tc>
      </w:tr>
      <w:tr>
        <w:trPr/>
        <w:tc>
          <w:tcPr>
            <w:tcW w:w="16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Colleague: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&lt;first_name&gt; &lt;last_name&gt;</w:t>
            </w:r>
          </w:p>
        </w:tc>
      </w:tr>
      <w:tr>
        <w:trPr/>
        <w:tc>
          <w:tcPr>
            <w:tcW w:w="16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2"/>
              </w:rPr>
            </w:pPr>
            <w:r>
              <w:rPr>
                <w:rFonts w:ascii="Times New Roman" w:hAnsi="Times New Roman"/>
                <w:b/>
                <w:color w:val="000000"/>
                <w:sz w:val="22"/>
              </w:rPr>
              <w:t>Grant Date: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438"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&lt;Grant Date&gt;</w:t>
            </w:r>
          </w:p>
        </w:tc>
      </w:tr>
      <w:tr>
        <w:trPr/>
        <w:tc>
          <w:tcPr>
            <w:tcW w:w="16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2"/>
              </w:rPr>
            </w:pPr>
            <w:r>
              <w:rPr>
                <w:rFonts w:ascii="Times New Roman" w:hAnsi="Times New Roman"/>
                <w:b/>
                <w:color w:val="000000"/>
                <w:sz w:val="22"/>
              </w:rPr>
              <w:t>Acceptance Due Date: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43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2"/>
              </w:rPr>
            </w:pPr>
            <w:r>
              <w:rPr>
                <w:rFonts w:ascii="Times New Roman" w:hAnsi="Times New Roman"/>
                <w:color w:val="000000"/>
                <w:sz w:val="22"/>
              </w:rPr>
              <w:t>&lt;Accept by Date&gt;</w:t>
            </w:r>
          </w:p>
        </w:tc>
      </w:tr>
      <w:tr>
        <w:trPr/>
        <w:tc>
          <w:tcPr>
            <w:tcW w:w="16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2"/>
              </w:rPr>
            </w:pPr>
            <w:r>
              <w:rPr>
                <w:rFonts w:ascii="Times New Roman" w:hAnsi="Times New Roman"/>
                <w:b/>
                <w:color w:val="000000"/>
                <w:sz w:val="22"/>
              </w:rPr>
              <w:t>Target Award:</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43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4"/>
              </w:rPr>
            </w:pPr>
            <w:r>
              <w:rPr>
                <w:rFonts w:ascii="Times New Roman" w:hAnsi="Times New Roman"/>
                <w:color w:val="000000"/>
                <w:sz w:val="24"/>
              </w:rPr>
              <w:t>&lt;PSUs_awarded&gt;</w:t>
            </w:r>
          </w:p>
        </w:tc>
      </w:tr>
      <w:tr>
        <w:trPr/>
        <w:tc>
          <w:tcPr>
            <w:tcW w:w="1621"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b/>
                <w:color w:val="000000"/>
                <w:sz w:val="22"/>
              </w:rPr>
            </w:pPr>
            <w:r>
              <w:rPr>
                <w:rFonts w:ascii="Times New Roman" w:hAnsi="Times New Roman"/>
                <w:b/>
                <w:color w:val="000000"/>
                <w:sz w:val="22"/>
              </w:rPr>
              <w:t>Vesting Schedule:</w:t>
            </w:r>
          </w:p>
        </w:tc>
        <w:tc>
          <w:tcPr>
            <w:tcW w:w="146" w:type="dxa"/>
            <w:tcBorders/>
            <w:tcMar>
              <w:top w:w="0" w:type="dxa"/>
              <w:left w:w="0" w:type="dxa"/>
              <w:bottom w:w="0" w:type="dxa"/>
              <w:right w:w="0" w:type="dxa"/>
            </w:tcMar>
            <w:vAlign w:val="center"/>
          </w:tcPr>
          <w:p>
            <w:pPr>
              <w:pStyle w:val="TableContents"/>
              <w:bidi w:val="0"/>
              <w:spacing w:before="240" w:after="283"/>
              <w:jc w:val="left"/>
              <w:rPr/>
            </w:pPr>
            <w:r>
              <w:rPr/>
              <w:t> </w:t>
            </w:r>
          </w:p>
        </w:tc>
        <w:tc>
          <w:tcPr>
            <w:tcW w:w="8438"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2"/>
              </w:rPr>
            </w:pPr>
            <w:r>
              <w:rPr>
                <w:rFonts w:ascii="Times New Roman" w:hAnsi="Times New Roman"/>
                <w:color w:val="000000"/>
                <w:sz w:val="22"/>
              </w:rPr>
              <w:t>The PSUs that are determined to constitute Earned PSUs as of the Earned Date (as defined in Sections 1.7 and 1.5 of the Agreement, respectively) shall vest in full on the third anniversary of the Grant Date (the “</w:t>
            </w:r>
            <w:r>
              <w:rPr>
                <w:rFonts w:ascii="Times New Roman" w:hAnsi="Times New Roman"/>
                <w:color w:val="000000"/>
                <w:sz w:val="22"/>
                <w:u w:val="single"/>
              </w:rPr>
              <w:t>Vesting Date</w:t>
            </w:r>
            <w:r>
              <w:rPr>
                <w:rFonts w:ascii="Times New Roman" w:hAnsi="Times New Roman"/>
                <w:color w:val="000000"/>
                <w:sz w:val="22"/>
              </w:rPr>
              <w:t>”).</w:t>
            </w:r>
          </w:p>
        </w:tc>
      </w:tr>
    </w:tbl>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By accepting (whether in writing, electronically or otherwise in the manner specified in the Colleague’s online account with the Company’s designated broker/stock plan administrator) the PSUs, the Colleague agrees to be bound by the terms of this Grant Notice, the Plan, and the Agreement (collectively, the “</w:t>
      </w:r>
      <w:r>
        <w:rPr>
          <w:rFonts w:ascii="Times New Roman" w:hAnsi="Times New Roman"/>
          <w:color w:val="000000"/>
          <w:sz w:val="22"/>
          <w:u w:val="single"/>
        </w:rPr>
        <w:t>Grant Documents</w:t>
      </w:r>
      <w:r>
        <w:rPr>
          <w:rFonts w:ascii="Times New Roman" w:hAnsi="Times New Roman"/>
          <w:color w:val="000000"/>
          <w:sz w:val="20"/>
        </w:rPr>
        <w:t>”</w:t>
      </w:r>
      <w:r>
        <w:rPr>
          <w:rFonts w:ascii="Times New Roman" w:hAnsi="Times New Roman"/>
          <w:color w:val="000000"/>
          <w:sz w:val="22"/>
        </w:rPr>
        <w:t>). The Colleague acknowledges that the Colleague (i) has reviewed the Grant Documents in their entirety, (ii) has had an opportunity to obtain the advice of counsel prior to executing this Grant Notice, and (iii) fully understands all provisions of the Grant Documents.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Colleague further agrees to execute and deliver or electronically accept this Grant Notice and the RCA (as defined in Section 1.21 of the Agreement) within 60 days of the Grant Date. Except as may otherwise be provided by the Committee, in its sole discretion, the PSUs shall be forfeited automatically on the last date of the acceptance period set forth in the foregoing sentence if the Colleague fails to execute and deliver or electronically accept the Grant Notice or the RCA by such date.</w:t>
      </w:r>
    </w:p>
    <w:p>
      <w:pPr>
        <w:pStyle w:val="TextBody"/>
        <w:bidi w:val="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hereto have duly executed this Grant Notice as of the last date written below.</w:t>
      </w:r>
    </w:p>
    <w:p>
      <w:pPr>
        <w:pStyle w:val="TextBody"/>
        <w:bidi w:val="0"/>
        <w:jc w:val="both"/>
        <w:rPr/>
      </w:pPr>
      <w:r>
        <w:rPr/>
        <w:t> </w:t>
      </w:r>
    </w:p>
    <w:tbl>
      <w:tblPr>
        <w:tblW w:w="7032" w:type="dxa"/>
        <w:jc w:val="left"/>
        <w:tblInd w:w="0" w:type="dxa"/>
        <w:tblLayout w:type="fixed"/>
        <w:tblCellMar>
          <w:top w:w="28" w:type="dxa"/>
          <w:left w:w="28" w:type="dxa"/>
          <w:bottom w:w="28" w:type="dxa"/>
          <w:right w:w="28" w:type="dxa"/>
        </w:tblCellMar>
      </w:tblPr>
      <w:tblGrid>
        <w:gridCol w:w="1281"/>
        <w:gridCol w:w="5004"/>
        <w:gridCol w:w="146"/>
        <w:gridCol w:w="601"/>
      </w:tblGrid>
      <w:tr>
        <w:trPr/>
        <w:tc>
          <w:tcPr>
            <w:tcW w:w="1281" w:type="dxa"/>
            <w:tcBorders/>
            <w:vAlign w:val="center"/>
          </w:tcPr>
          <w:p>
            <w:pPr>
              <w:pStyle w:val="TableContents"/>
              <w:bidi w:val="0"/>
              <w:spacing w:before="0" w:after="283"/>
              <w:jc w:val="left"/>
              <w:rPr>
                <w:sz w:val="4"/>
                <w:szCs w:val="4"/>
              </w:rPr>
            </w:pPr>
            <w:r>
              <w:rPr>
                <w:sz w:val="4"/>
                <w:szCs w:val="4"/>
              </w:rPr>
            </w:r>
          </w:p>
        </w:tc>
        <w:tc>
          <w:tcPr>
            <w:tcW w:w="5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2"/>
              </w:rPr>
            </w:pPr>
            <w:r>
              <w:rPr>
                <w:rFonts w:ascii="Times New Roman" w:hAnsi="Times New Roman"/>
                <w:b/>
                <w:smallCaps/>
                <w:color w:val="000000"/>
                <w:sz w:val="22"/>
              </w:rPr>
              <w:t>WILLIS TOWERS WATSON PUBLIC LIMITED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50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5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Kristy Banas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r>
        <w:trPr/>
        <w:tc>
          <w:tcPr>
            <w:tcW w:w="1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5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Human Resources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81" w:type="dxa"/>
            <w:tcBorders/>
            <w:tcMar>
              <w:top w:w="0" w:type="dxa"/>
              <w:left w:w="0" w:type="dxa"/>
              <w:bottom w:w="0" w:type="dxa"/>
              <w:right w:w="0" w:type="dxa"/>
            </w:tcMar>
            <w:vAlign w:val="center"/>
          </w:tcPr>
          <w:p>
            <w:pPr>
              <w:pStyle w:val="TableContents"/>
              <w:bidi w:val="0"/>
              <w:spacing w:before="0" w:after="283"/>
              <w:jc w:val="left"/>
              <w:rPr/>
            </w:pPr>
            <w:r>
              <w:rPr/>
              <w:t> </w:t>
            </w:r>
          </w:p>
        </w:tc>
        <w:tc>
          <w:tcPr>
            <w:tcW w:w="5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2"/>
              </w:rPr>
            </w:pPr>
            <w:r>
              <w:rPr>
                <w:rFonts w:ascii="Times New Roman" w:hAnsi="Times New Roman"/>
                <w:b/>
                <w:smallCaps/>
                <w:color w:val="000000"/>
                <w:sz w:val="22"/>
              </w:rPr>
              <w:t>COLLEAGUE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28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28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&lt;first_name&gt; &lt;last_name&gt;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aps/>
          <w:color w:val="000000"/>
          <w:sz w:val="22"/>
        </w:rPr>
        <w:t>Willis TOWERS WATSON Public Limited Company</w:t>
      </w:r>
      <w:r>
        <w:rPr>
          <w:rFonts w:ascii="Times New Roman" w:hAnsi="Times New Roman"/>
          <w:caps/>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aps/>
          <w:color w:val="000000"/>
          <w:sz w:val="22"/>
        </w:rPr>
        <w:t>2012 Equity Incentive Plan, as amended and restated</w:t>
      </w:r>
      <w:r>
        <w:rPr>
          <w:rFonts w:ascii="Times New Roman" w:hAnsi="Times New Roman"/>
          <w:caps/>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PERFORMANCE-BASED RESTRICTED SHARE UNIT AWARD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FOR EXECUTIVE OFFICERS</w:t>
      </w:r>
    </w:p>
    <w:p>
      <w:pPr>
        <w:pStyle w:val="TextBody"/>
        <w:bidi w:val="0"/>
        <w:jc w:val="center"/>
        <w:rPr>
          <w:rFonts w:ascii="Times New Roman" w:hAnsi="Times New Roman"/>
          <w:color w:val="000000"/>
          <w:sz w:val="22"/>
        </w:rPr>
      </w:pPr>
      <w:r>
        <w:rPr>
          <w:rFonts w:ascii="Times New Roman" w:hAnsi="Times New Roman"/>
          <w:color w:val="000000"/>
          <w:sz w:val="22"/>
        </w:rPr>
        <w:t>ARTICLE I</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Unless otherwise defined in Article I of this Performance-Based Restricted Share Unit Award Agreement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any capitalized terms used herein will have the same meanings ascribed to them in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or the Performance-Based Restricted Share Unit Grant Notice (the “</w:t>
      </w:r>
      <w:r>
        <w:rPr>
          <w:rFonts w:ascii="Times New Roman" w:hAnsi="Times New Roman"/>
          <w:color w:val="000000"/>
          <w:sz w:val="22"/>
          <w:u w:val="single"/>
        </w:rPr>
        <w:t>Grant Notice</w:t>
      </w:r>
      <w:r>
        <w:rPr>
          <w:rFonts w:ascii="Times New Roman" w:hAnsi="Times New Roman"/>
          <w:color w:val="000000"/>
          <w:sz w:val="20"/>
        </w:rPr>
        <w:t xml:space="preserve">” </w:t>
      </w:r>
      <w:r>
        <w:rPr>
          <w:rFonts w:ascii="Times New Roman" w:hAnsi="Times New Roman"/>
          <w:color w:val="000000"/>
          <w:sz w:val="22"/>
        </w:rPr>
        <w:t>and collectively with the Plan and the Agreement, the “</w:t>
      </w:r>
      <w:r>
        <w:rPr>
          <w:rFonts w:ascii="Times New Roman" w:hAnsi="Times New Roman"/>
          <w:color w:val="000000"/>
          <w:sz w:val="22"/>
          <w:u w:val="single"/>
        </w:rPr>
        <w:t>Grant Documents</w:t>
      </w:r>
      <w:r>
        <w:rPr>
          <w:rFonts w:ascii="Times New Roman" w:hAnsi="Times New Roman"/>
          <w:color w:val="000000"/>
          <w:sz w:val="20"/>
        </w:rPr>
        <w:t>”</w:t>
      </w:r>
      <w:r>
        <w:rPr>
          <w:rFonts w:ascii="Times New Roman" w:hAnsi="Times New Roman"/>
          <w:color w:val="000000"/>
          <w:sz w:val="22"/>
        </w:rPr>
        <w:t>) to which this Agreement is attached. Further, for purposes of this Agreement, the plural pronoun shall include the singular, where the context so indicates.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 xml:space="preserve">Section 1.1 </w:t>
      </w:r>
      <w:r>
        <w:rPr>
          <w:rFonts w:ascii="Times New Roman" w:hAnsi="Times New Roman"/>
          <w:color w:val="000000"/>
          <w:sz w:val="20"/>
        </w:rPr>
        <w:t>– “</w:t>
      </w:r>
      <w:r>
        <w:rPr>
          <w:rFonts w:ascii="Times New Roman" w:hAnsi="Times New Roman"/>
          <w:color w:val="000000"/>
          <w:sz w:val="22"/>
          <w:u w:val="single"/>
        </w:rPr>
        <w:t>409A CIC Event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2.6(b)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w:t>
      </w:r>
      <w:r>
        <w:rPr>
          <w:rFonts w:ascii="Times New Roman" w:hAnsi="Times New Roman"/>
          <w:color w:val="000000"/>
          <w:sz w:val="20"/>
        </w:rPr>
        <w:t xml:space="preserve"> – “</w:t>
      </w:r>
      <w:r>
        <w:rPr>
          <w:rFonts w:ascii="Times New Roman" w:hAnsi="Times New Roman"/>
          <w:color w:val="000000"/>
          <w:sz w:val="22"/>
          <w:u w:val="single"/>
        </w:rPr>
        <w:t>Cause</w:t>
      </w:r>
      <w:r>
        <w:rPr>
          <w:rFonts w:ascii="Times New Roman" w:hAnsi="Times New Roman"/>
          <w:color w:val="000000"/>
          <w:sz w:val="20"/>
        </w:rPr>
        <w:t xml:space="preserve">” </w:t>
      </w:r>
      <w:r>
        <w:rPr>
          <w:rFonts w:ascii="Times New Roman" w:hAnsi="Times New Roman"/>
          <w:color w:val="000000"/>
          <w:sz w:val="22"/>
        </w:rPr>
        <w:t>shall have the meaning ascribed to such term or similar term (</w:t>
      </w:r>
      <w:r>
        <w:rPr>
          <w:rFonts w:ascii="Times New Roman" w:hAnsi="Times New Roman"/>
          <w:i/>
          <w:color w:val="000000"/>
          <w:sz w:val="22"/>
        </w:rPr>
        <w:t>e.g.</w:t>
      </w:r>
      <w:r>
        <w:rPr>
          <w:rFonts w:ascii="Times New Roman" w:hAnsi="Times New Roman"/>
          <w:color w:val="000000"/>
          <w:sz w:val="22"/>
        </w:rPr>
        <w:t>, “</w:t>
      </w:r>
      <w:r>
        <w:rPr>
          <w:rFonts w:ascii="Times New Roman" w:hAnsi="Times New Roman"/>
          <w:color w:val="000000"/>
          <w:sz w:val="22"/>
          <w:u w:val="single"/>
        </w:rPr>
        <w:t>Good Caus</w:t>
      </w:r>
      <w:r>
        <w:rPr>
          <w:rFonts w:ascii="Times New Roman" w:hAnsi="Times New Roman"/>
          <w:color w:val="000000"/>
          <w:sz w:val="22"/>
        </w:rPr>
        <w:t>e”) in the Colleague’s employment, retention or similar agreement, if any, with the Company, a Subsidiary or a Designated Associate Company, and, in the absence of an employment, retention or similar agreement or such definition in the employment, retention or similar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 (iv) any breach of the Colleague’s restrictive covenants and other obligations as provided in the Colleague’s employment, retention or similar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or any other form of harassment, having been provided reasonable notice of such a violation (notice required only if curable as determined by the Board) and ten (10) days after the Colleague’s receipt of such notice to cure or correct such violation.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1.3</w:t>
      </w:r>
      <w:r>
        <w:rPr>
          <w:rFonts w:ascii="Times New Roman" w:hAnsi="Times New Roman"/>
          <w:color w:val="000000"/>
          <w:sz w:val="20"/>
        </w:rPr>
        <w:t xml:space="preserve"> – “</w:t>
      </w:r>
      <w:r>
        <w:rPr>
          <w:rFonts w:ascii="Times New Roman" w:hAnsi="Times New Roman"/>
          <w:color w:val="000000"/>
          <w:sz w:val="22"/>
          <w:u w:val="single"/>
        </w:rPr>
        <w:t>Dividend Equivalent Amount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2.3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1.4</w:t>
      </w:r>
      <w:r>
        <w:rPr>
          <w:rFonts w:ascii="Times New Roman" w:hAnsi="Times New Roman"/>
          <w:color w:val="000000"/>
          <w:sz w:val="20"/>
        </w:rPr>
        <w:t xml:space="preserve"> – “</w:t>
      </w:r>
      <w:r>
        <w:rPr>
          <w:rFonts w:ascii="Times New Roman" w:hAnsi="Times New Roman"/>
          <w:color w:val="000000"/>
          <w:sz w:val="22"/>
          <w:u w:val="single"/>
        </w:rPr>
        <w:t>Dividend Equivalent Units</w:t>
      </w:r>
      <w:r>
        <w:rPr>
          <w:rFonts w:ascii="Times New Roman" w:hAnsi="Times New Roman"/>
          <w:color w:val="000000"/>
          <w:sz w:val="20"/>
        </w:rPr>
        <w:t xml:space="preserve">” </w:t>
      </w:r>
      <w:r>
        <w:rPr>
          <w:rFonts w:ascii="Times New Roman" w:hAnsi="Times New Roman"/>
          <w:color w:val="000000"/>
          <w:sz w:val="22"/>
        </w:rPr>
        <w:t>shall have the meaning ascribed to such term in Section 2.3 hereof.</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1.5</w:t>
      </w:r>
      <w:r>
        <w:rPr>
          <w:rFonts w:ascii="Times New Roman" w:hAnsi="Times New Roman"/>
          <w:color w:val="000000"/>
          <w:sz w:val="20"/>
        </w:rPr>
        <w:t xml:space="preserve"> – “</w:t>
      </w:r>
      <w:r>
        <w:rPr>
          <w:rFonts w:ascii="Times New Roman" w:hAnsi="Times New Roman"/>
          <w:color w:val="000000"/>
          <w:sz w:val="22"/>
          <w:u w:val="single"/>
        </w:rPr>
        <w:t>Earned Date</w:t>
      </w:r>
      <w:r>
        <w:rPr>
          <w:rFonts w:ascii="Times New Roman" w:hAnsi="Times New Roman"/>
          <w:color w:val="000000"/>
          <w:sz w:val="20"/>
        </w:rPr>
        <w:t xml:space="preserve">” </w:t>
      </w:r>
      <w:r>
        <w:rPr>
          <w:rFonts w:ascii="Times New Roman" w:hAnsi="Times New Roman"/>
          <w:color w:val="000000"/>
          <w:sz w:val="22"/>
        </w:rPr>
        <w:t>shall mean the date the Committee determines the attainment level of the Performance Objectives.</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1.6</w:t>
      </w:r>
      <w:r>
        <w:rPr>
          <w:rFonts w:ascii="Times New Roman" w:hAnsi="Times New Roman"/>
          <w:color w:val="000000"/>
          <w:sz w:val="20"/>
        </w:rPr>
        <w:t xml:space="preserve"> – “</w:t>
      </w:r>
      <w:r>
        <w:rPr>
          <w:rFonts w:ascii="Times New Roman" w:hAnsi="Times New Roman"/>
          <w:color w:val="000000"/>
          <w:sz w:val="22"/>
          <w:u w:val="single"/>
        </w:rPr>
        <w:t>Earned Dividend Equivalent Units</w:t>
      </w:r>
      <w:r>
        <w:rPr>
          <w:rFonts w:ascii="Times New Roman" w:hAnsi="Times New Roman"/>
          <w:color w:val="000000"/>
          <w:sz w:val="20"/>
        </w:rPr>
        <w:t xml:space="preserve">” </w:t>
      </w:r>
      <w:r>
        <w:rPr>
          <w:rFonts w:ascii="Times New Roman" w:hAnsi="Times New Roman"/>
          <w:color w:val="000000"/>
          <w:sz w:val="22"/>
        </w:rPr>
        <w:t>shall have the meaning ascribed to such term in Section 2.3 hereof.</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1.7</w:t>
      </w:r>
      <w:r>
        <w:rPr>
          <w:rFonts w:ascii="Times New Roman" w:hAnsi="Times New Roman"/>
          <w:color w:val="000000"/>
          <w:sz w:val="20"/>
        </w:rPr>
        <w:t xml:space="preserve"> – “</w:t>
      </w:r>
      <w:r>
        <w:rPr>
          <w:rFonts w:ascii="Times New Roman" w:hAnsi="Times New Roman"/>
          <w:color w:val="000000"/>
          <w:sz w:val="22"/>
          <w:u w:val="single"/>
        </w:rPr>
        <w:t>Earned PSUs</w:t>
      </w:r>
      <w:r>
        <w:rPr>
          <w:rFonts w:ascii="Times New Roman" w:hAnsi="Times New Roman"/>
          <w:color w:val="000000"/>
          <w:sz w:val="20"/>
        </w:rPr>
        <w:t xml:space="preserve">” </w:t>
      </w:r>
      <w:r>
        <w:rPr>
          <w:rFonts w:ascii="Times New Roman" w:hAnsi="Times New Roman"/>
          <w:color w:val="000000"/>
          <w:sz w:val="22"/>
        </w:rPr>
        <w:t>shall mean the number of PSUs that are determined to be earned based on the attainment level of the Performance Objectives set forth in Schedule B of this Agreement and eligible to vest in accordance with the provisions of Article II.</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1.8</w:t>
      </w:r>
      <w:r>
        <w:rPr>
          <w:rFonts w:ascii="Times New Roman" w:hAnsi="Times New Roman"/>
          <w:color w:val="000000"/>
          <w:sz w:val="20"/>
        </w:rPr>
        <w:t xml:space="preserve"> – “</w:t>
      </w:r>
      <w:r>
        <w:rPr>
          <w:rFonts w:ascii="Times New Roman" w:hAnsi="Times New Roman"/>
          <w:color w:val="000000"/>
          <w:sz w:val="22"/>
          <w:u w:val="single"/>
        </w:rPr>
        <w:t>Employer</w:t>
      </w:r>
      <w:r>
        <w:rPr>
          <w:rFonts w:ascii="Times New Roman" w:hAnsi="Times New Roman"/>
          <w:color w:val="000000"/>
          <w:sz w:val="20"/>
        </w:rPr>
        <w:t xml:space="preserve">” </w:t>
      </w:r>
      <w:r>
        <w:rPr>
          <w:rFonts w:ascii="Times New Roman" w:hAnsi="Times New Roman"/>
          <w:color w:val="000000"/>
          <w:sz w:val="22"/>
        </w:rPr>
        <w:t>shall mean the Company, or if different, the Subsidiary or Designated Associate Company that employs the Colleague.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1.9</w:t>
      </w:r>
      <w:r>
        <w:rPr>
          <w:rFonts w:ascii="Times New Roman" w:hAnsi="Times New Roman"/>
          <w:color w:val="000000"/>
          <w:sz w:val="20"/>
        </w:rPr>
        <w:t xml:space="preserve"> – “</w:t>
      </w:r>
      <w:r>
        <w:rPr>
          <w:rFonts w:ascii="Times New Roman" w:hAnsi="Times New Roman"/>
          <w:color w:val="000000"/>
          <w:sz w:val="22"/>
          <w:u w:val="single"/>
        </w:rPr>
        <w:t>Good Reason</w:t>
      </w:r>
      <w:r>
        <w:rPr>
          <w:rFonts w:ascii="Times New Roman" w:hAnsi="Times New Roman"/>
          <w:color w:val="000000"/>
          <w:sz w:val="20"/>
        </w:rPr>
        <w:t xml:space="preserve">” </w:t>
      </w:r>
      <w:r>
        <w:rPr>
          <w:rFonts w:ascii="Times New Roman" w:hAnsi="Times New Roman"/>
          <w:color w:val="000000"/>
          <w:sz w:val="22"/>
        </w:rPr>
        <w:t>shall have the meaning ascribed to such term or similar term in the employment, retention or similar agreement, if any, with the Company, a Subsidiary or a Designated Associate Company; in the absence of an employment, retention or similar agreement or such term in the employment, retention or similar agreement, it shall mean that one or more of the following events has occurred without the Colleague’s written consent: (i) a material adverse diminution in the Colleague’s position, authority or responsibilities or the assignment to Colleague of duties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responsibilities which are materially inconsistent with the Colleague’s position; (ii) a material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 (B) 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1.10</w:t>
      </w:r>
      <w:r>
        <w:rPr>
          <w:rFonts w:ascii="Times New Roman" w:hAnsi="Times New Roman"/>
          <w:color w:val="000000"/>
          <w:sz w:val="20"/>
        </w:rPr>
        <w:t xml:space="preserve"> – “</w:t>
      </w:r>
      <w:r>
        <w:rPr>
          <w:rFonts w:ascii="Times New Roman" w:hAnsi="Times New Roman"/>
          <w:color w:val="000000"/>
          <w:sz w:val="22"/>
          <w:u w:val="single"/>
        </w:rPr>
        <w:t>Grant Date</w:t>
      </w:r>
      <w:r>
        <w:rPr>
          <w:rFonts w:ascii="Times New Roman" w:hAnsi="Times New Roman"/>
          <w:color w:val="000000"/>
          <w:sz w:val="20"/>
        </w:rPr>
        <w:t xml:space="preserve">” </w:t>
      </w:r>
      <w:r>
        <w:rPr>
          <w:rFonts w:ascii="Times New Roman" w:hAnsi="Times New Roman"/>
          <w:color w:val="000000"/>
          <w:sz w:val="22"/>
        </w:rPr>
        <w:t>shall have the meaning ascribed to such term in the Grant Notice.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1.11</w:t>
      </w:r>
      <w:r>
        <w:rPr>
          <w:rFonts w:ascii="Times New Roman" w:hAnsi="Times New Roman"/>
          <w:color w:val="000000"/>
          <w:sz w:val="20"/>
        </w:rPr>
        <w:t xml:space="preserve"> – “</w:t>
      </w:r>
      <w:r>
        <w:rPr>
          <w:rFonts w:ascii="Times New Roman" w:hAnsi="Times New Roman"/>
          <w:color w:val="000000"/>
          <w:sz w:val="22"/>
          <w:u w:val="single"/>
        </w:rPr>
        <w:t>Group Termination Event</w:t>
      </w:r>
      <w:r>
        <w:rPr>
          <w:rFonts w:ascii="Times New Roman" w:hAnsi="Times New Roman"/>
          <w:color w:val="000000"/>
          <w:sz w:val="20"/>
        </w:rPr>
        <w:t xml:space="preserve">” </w:t>
      </w:r>
      <w:r>
        <w:rPr>
          <w:rFonts w:ascii="Times New Roman" w:hAnsi="Times New Roman"/>
          <w:color w:val="000000"/>
          <w:sz w:val="22"/>
        </w:rPr>
        <w:t>shall mean an involuntary termination of Service that is part of a group termination of employment, including, but not limited to, terminations resulting from the sale of a business or division, outsourcing of an entire function, reduction in workforce or closing of an office.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1.12</w:t>
      </w:r>
      <w:r>
        <w:rPr>
          <w:rFonts w:ascii="Times New Roman" w:hAnsi="Times New Roman"/>
          <w:color w:val="000000"/>
          <w:sz w:val="20"/>
        </w:rPr>
        <w:t xml:space="preserve"> – “</w:t>
      </w:r>
      <w:r>
        <w:rPr>
          <w:rFonts w:ascii="Times New Roman" w:hAnsi="Times New Roman"/>
          <w:color w:val="000000"/>
          <w:sz w:val="22"/>
          <w:u w:val="single"/>
        </w:rPr>
        <w:t>Job Elimination</w:t>
      </w:r>
      <w:r>
        <w:rPr>
          <w:rFonts w:ascii="Times New Roman" w:hAnsi="Times New Roman"/>
          <w:color w:val="000000"/>
          <w:sz w:val="20"/>
        </w:rPr>
        <w:t xml:space="preserve">” </w:t>
      </w:r>
      <w:r>
        <w:rPr>
          <w:rFonts w:ascii="Times New Roman" w:hAnsi="Times New Roman"/>
          <w:color w:val="000000"/>
          <w:sz w:val="22"/>
        </w:rPr>
        <w:t>shall mean an involuntary termination of employment by reason of job elimination, substantial change in the nature of Colleague’s position, or job relocation.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1.13</w:t>
      </w:r>
      <w:r>
        <w:rPr>
          <w:rFonts w:ascii="Times New Roman" w:hAnsi="Times New Roman"/>
          <w:color w:val="000000"/>
          <w:sz w:val="20"/>
        </w:rPr>
        <w:t xml:space="preserve"> – “</w:t>
      </w:r>
      <w:r>
        <w:rPr>
          <w:rFonts w:ascii="Times New Roman" w:hAnsi="Times New Roman"/>
          <w:color w:val="000000"/>
          <w:sz w:val="22"/>
          <w:u w:val="single"/>
        </w:rPr>
        <w:t>Legacy Company</w:t>
      </w:r>
      <w:r>
        <w:rPr>
          <w:rFonts w:ascii="Times New Roman" w:hAnsi="Times New Roman"/>
          <w:color w:val="000000"/>
          <w:sz w:val="20"/>
        </w:rPr>
        <w:t xml:space="preserve">” </w:t>
      </w:r>
      <w:r>
        <w:rPr>
          <w:rFonts w:ascii="Times New Roman" w:hAnsi="Times New Roman"/>
          <w:color w:val="000000"/>
          <w:sz w:val="22"/>
        </w:rPr>
        <w:t>shall mean Towers Watson &amp; Co. or Willis Group Holdings Public Limited Company and any predecessor companies or affiliates of any of the foregoing.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1.14</w:t>
      </w:r>
      <w:r>
        <w:rPr>
          <w:rFonts w:ascii="Times New Roman" w:hAnsi="Times New Roman"/>
          <w:color w:val="000000"/>
          <w:sz w:val="20"/>
        </w:rPr>
        <w:t xml:space="preserve"> – “</w:t>
      </w:r>
      <w:r>
        <w:rPr>
          <w:rFonts w:ascii="Times New Roman" w:hAnsi="Times New Roman"/>
          <w:color w:val="000000"/>
          <w:sz w:val="22"/>
          <w:u w:val="single"/>
        </w:rPr>
        <w:t>Long-Term Incentive Program</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LTIP</w:t>
      </w:r>
      <w:r>
        <w:rPr>
          <w:rFonts w:ascii="Times New Roman" w:hAnsi="Times New Roman"/>
          <w:color w:val="000000"/>
          <w:sz w:val="20"/>
        </w:rPr>
        <w:t xml:space="preserve">” </w:t>
      </w:r>
      <w:r>
        <w:rPr>
          <w:rFonts w:ascii="Times New Roman" w:hAnsi="Times New Roman"/>
          <w:color w:val="000000"/>
          <w:sz w:val="22"/>
        </w:rPr>
        <w:t>is a program adopted with respect to calendar years 2026 to 2028 by the Committee under which equity awards and/or cash awards may be granted to certain eligible employees of the Company, its Subsidiaries or its Designated Associate Companies.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1.15</w:t>
      </w:r>
      <w:r>
        <w:rPr>
          <w:rFonts w:ascii="Times New Roman" w:hAnsi="Times New Roman"/>
          <w:color w:val="000000"/>
          <w:sz w:val="20"/>
        </w:rPr>
        <w:t xml:space="preserve"> – “</w:t>
      </w:r>
      <w:r>
        <w:rPr>
          <w:rFonts w:ascii="Times New Roman" w:hAnsi="Times New Roman"/>
          <w:color w:val="000000"/>
          <w:sz w:val="22"/>
          <w:u w:val="single"/>
        </w:rPr>
        <w:t>Nominal Value</w:t>
      </w:r>
      <w:r>
        <w:rPr>
          <w:rFonts w:ascii="Times New Roman" w:hAnsi="Times New Roman"/>
          <w:color w:val="000000"/>
          <w:sz w:val="20"/>
        </w:rPr>
        <w:t xml:space="preserve">” </w:t>
      </w:r>
      <w:r>
        <w:rPr>
          <w:rFonts w:ascii="Times New Roman" w:hAnsi="Times New Roman"/>
          <w:color w:val="000000"/>
          <w:sz w:val="22"/>
        </w:rPr>
        <w:t>shall mean $0.000304635 per Share.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 xml:space="preserve">Section 1.16 </w:t>
      </w:r>
      <w:r>
        <w:rPr>
          <w:rFonts w:ascii="Times New Roman" w:hAnsi="Times New Roman"/>
          <w:color w:val="000000"/>
          <w:sz w:val="20"/>
        </w:rPr>
        <w:t>– “</w:t>
      </w:r>
      <w:r>
        <w:rPr>
          <w:rFonts w:ascii="Times New Roman" w:hAnsi="Times New Roman"/>
          <w:color w:val="000000"/>
          <w:sz w:val="22"/>
          <w:u w:val="single"/>
        </w:rPr>
        <w:t>Performance-Based Restricted Share Units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PSUs</w:t>
      </w:r>
      <w:r>
        <w:rPr>
          <w:rFonts w:ascii="Times New Roman" w:hAnsi="Times New Roman"/>
          <w:color w:val="000000"/>
          <w:sz w:val="20"/>
        </w:rPr>
        <w:t xml:space="preserve">” </w:t>
      </w:r>
      <w:r>
        <w:rPr>
          <w:rFonts w:ascii="Times New Roman" w:hAnsi="Times New Roman"/>
          <w:color w:val="000000"/>
          <w:sz w:val="22"/>
        </w:rPr>
        <w:t>shall mean a conditional right to receive Shares, including Fractional Share Interests, pursuant to the terms of the Grant Documents.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1.17</w:t>
      </w:r>
      <w:r>
        <w:rPr>
          <w:rFonts w:ascii="Times New Roman" w:hAnsi="Times New Roman"/>
          <w:color w:val="000000"/>
          <w:sz w:val="20"/>
        </w:rPr>
        <w:t xml:space="preserve"> – “</w:t>
      </w:r>
      <w:r>
        <w:rPr>
          <w:rFonts w:ascii="Times New Roman" w:hAnsi="Times New Roman"/>
          <w:color w:val="000000"/>
          <w:sz w:val="22"/>
          <w:u w:val="single"/>
        </w:rPr>
        <w:t>Performance Objectives</w:t>
      </w:r>
      <w:r>
        <w:rPr>
          <w:rFonts w:ascii="Times New Roman" w:hAnsi="Times New Roman"/>
          <w:color w:val="000000"/>
          <w:sz w:val="20"/>
        </w:rPr>
        <w:t xml:space="preserve">” </w:t>
      </w:r>
      <w:r>
        <w:rPr>
          <w:rFonts w:ascii="Times New Roman" w:hAnsi="Times New Roman"/>
          <w:color w:val="000000"/>
          <w:sz w:val="22"/>
        </w:rPr>
        <w:t>shall mean the performance objectives that are referenced in Section 2.5(a) and set forth in Schedule B to this Agreement.</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1.18</w:t>
      </w:r>
      <w:r>
        <w:rPr>
          <w:rFonts w:ascii="Times New Roman" w:hAnsi="Times New Roman"/>
          <w:color w:val="000000"/>
          <w:sz w:val="20"/>
        </w:rPr>
        <w:t xml:space="preserve"> – “</w:t>
      </w:r>
      <w:r>
        <w:rPr>
          <w:rFonts w:ascii="Times New Roman" w:hAnsi="Times New Roman"/>
          <w:color w:val="000000"/>
          <w:sz w:val="22"/>
          <w:u w:val="single"/>
        </w:rPr>
        <w:t>Performance Period</w:t>
      </w:r>
      <w:r>
        <w:rPr>
          <w:rFonts w:ascii="Times New Roman" w:hAnsi="Times New Roman"/>
          <w:color w:val="000000"/>
          <w:sz w:val="20"/>
        </w:rPr>
        <w:t xml:space="preserve">” </w:t>
      </w:r>
      <w:r>
        <w:rPr>
          <w:rFonts w:ascii="Times New Roman" w:hAnsi="Times New Roman"/>
          <w:color w:val="000000"/>
          <w:sz w:val="22"/>
        </w:rPr>
        <w:t>shall mean January 1, 2026 through December 31, 2028.</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1.19</w:t>
      </w:r>
      <w:r>
        <w:rPr>
          <w:rFonts w:ascii="Times New Roman" w:hAnsi="Times New Roman"/>
          <w:color w:val="000000"/>
          <w:sz w:val="20"/>
        </w:rPr>
        <w:t xml:space="preserve"> – “</w:t>
      </w:r>
      <w:r>
        <w:rPr>
          <w:rFonts w:ascii="Times New Roman" w:hAnsi="Times New Roman"/>
          <w:color w:val="000000"/>
          <w:sz w:val="22"/>
          <w:u w:val="single"/>
        </w:rPr>
        <w:t>Qualifying Retiree</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1.20</w:t>
      </w:r>
      <w:r>
        <w:rPr>
          <w:rFonts w:ascii="Times New Roman" w:hAnsi="Times New Roman"/>
          <w:color w:val="000000"/>
          <w:sz w:val="20"/>
        </w:rPr>
        <w:t xml:space="preserve"> – “</w:t>
      </w:r>
      <w:r>
        <w:rPr>
          <w:rFonts w:ascii="Times New Roman" w:hAnsi="Times New Roman"/>
          <w:color w:val="000000"/>
          <w:sz w:val="22"/>
          <w:u w:val="single"/>
        </w:rPr>
        <w:t>Qualifying Retirement</w:t>
      </w:r>
      <w:r>
        <w:rPr>
          <w:rFonts w:ascii="Times New Roman" w:hAnsi="Times New Roman"/>
          <w:color w:val="000000"/>
          <w:sz w:val="20"/>
        </w:rPr>
        <w:t xml:space="preserve">” </w:t>
      </w:r>
      <w:r>
        <w:rPr>
          <w:rFonts w:ascii="Times New Roman" w:hAnsi="Times New Roman"/>
          <w:color w:val="000000"/>
          <w:sz w:val="22"/>
        </w:rPr>
        <w:t>shall mean either (i) a voluntary termination of the Colleague’s Service by the Colleague, or (ii) a Job Elimination, Group Termination Event or other involuntary termination of the Colleague’s Service by the Employer arising under similar circumstances, as determined in the sole discretion of the Committee, in each case, after the Colleague’s attainment of either (a) the age of 55 and the Colleague’s completion of 10 Years of Service, or (b) the age of 65 and the Colleague’s completion of 5 Years of Service, provided that the Committee has not determined, in its sole discretion, that a basis exists for the Colleague’s termination of Service for Cause or a basis other than a Job Elimination or a Group Termination Event at the time of such termination of Service.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1.21</w:t>
      </w:r>
      <w:r>
        <w:rPr>
          <w:rFonts w:ascii="Times New Roman" w:hAnsi="Times New Roman"/>
          <w:color w:val="000000"/>
          <w:sz w:val="20"/>
        </w:rPr>
        <w:t xml:space="preserve"> – “</w:t>
      </w:r>
      <w:r>
        <w:rPr>
          <w:rFonts w:ascii="Times New Roman" w:hAnsi="Times New Roman"/>
          <w:color w:val="000000"/>
          <w:sz w:val="22"/>
          <w:u w:val="single"/>
        </w:rPr>
        <w:t>RCA</w:t>
      </w:r>
      <w:r>
        <w:rPr>
          <w:rFonts w:ascii="Times New Roman" w:hAnsi="Times New Roman"/>
          <w:color w:val="000000"/>
          <w:sz w:val="20"/>
        </w:rPr>
        <w:t xml:space="preserve">” </w:t>
      </w:r>
      <w:r>
        <w:rPr>
          <w:rFonts w:ascii="Times New Roman" w:hAnsi="Times New Roman"/>
          <w:color w:val="000000"/>
          <w:sz w:val="22"/>
        </w:rPr>
        <w:t>shall mean the Agreement of Restrictive Covenants and Other Obligations for Employees in the United States, or Outside the United States, as applicable, which is made available to the Colleague via the Colleague’s online account with the Company’s designated broker/stock plan administrator.</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1.22</w:t>
      </w:r>
      <w:r>
        <w:rPr>
          <w:rFonts w:ascii="Times New Roman" w:hAnsi="Times New Roman"/>
          <w:color w:val="000000"/>
          <w:sz w:val="20"/>
        </w:rPr>
        <w:t xml:space="preserve"> – “</w:t>
      </w:r>
      <w:r>
        <w:rPr>
          <w:rFonts w:ascii="Times New Roman" w:hAnsi="Times New Roman"/>
          <w:color w:val="000000"/>
          <w:sz w:val="22"/>
          <w:u w:val="single"/>
        </w:rPr>
        <w:t>Retirement Compliance Officers</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1.23</w:t>
      </w:r>
      <w:r>
        <w:rPr>
          <w:rFonts w:ascii="Times New Roman" w:hAnsi="Times New Roman"/>
          <w:color w:val="000000"/>
          <w:sz w:val="20"/>
        </w:rPr>
        <w:t xml:space="preserve"> – “</w:t>
      </w:r>
      <w:r>
        <w:rPr>
          <w:rFonts w:ascii="Times New Roman" w:hAnsi="Times New Roman"/>
          <w:color w:val="000000"/>
          <w:sz w:val="22"/>
          <w:u w:val="single"/>
        </w:rPr>
        <w:t>Retirement Disclosure</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1.24</w:t>
      </w:r>
      <w:r>
        <w:rPr>
          <w:rFonts w:ascii="Times New Roman" w:hAnsi="Times New Roman"/>
          <w:color w:val="000000"/>
          <w:sz w:val="20"/>
        </w:rPr>
        <w:t xml:space="preserve"> – “</w:t>
      </w:r>
      <w:r>
        <w:rPr>
          <w:rFonts w:ascii="Times New Roman" w:hAnsi="Times New Roman"/>
          <w:color w:val="000000"/>
          <w:sz w:val="22"/>
          <w:u w:val="single"/>
        </w:rPr>
        <w:t>Retirement Noncompliance Event</w:t>
      </w:r>
      <w:r>
        <w:rPr>
          <w:rFonts w:ascii="Times New Roman" w:hAnsi="Times New Roman"/>
          <w:color w:val="000000"/>
          <w:sz w:val="20"/>
        </w:rPr>
        <w:t xml:space="preserve">” </w:t>
      </w:r>
      <w:r>
        <w:rPr>
          <w:rFonts w:ascii="Times New Roman" w:hAnsi="Times New Roman"/>
          <w:color w:val="000000"/>
          <w:sz w:val="22"/>
        </w:rPr>
        <w:t>shall have the meaning ascribed to such term in Section 3.2 hereof.</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1.25</w:t>
      </w:r>
      <w:r>
        <w:rPr>
          <w:rFonts w:ascii="Times New Roman" w:hAnsi="Times New Roman"/>
          <w:color w:val="000000"/>
          <w:sz w:val="20"/>
        </w:rPr>
        <w:t xml:space="preserve"> – “</w:t>
      </w:r>
      <w:r>
        <w:rPr>
          <w:rFonts w:ascii="Times New Roman" w:hAnsi="Times New Roman"/>
          <w:color w:val="000000"/>
          <w:sz w:val="22"/>
          <w:u w:val="single"/>
        </w:rPr>
        <w:t>Separation from Service</w:t>
      </w:r>
      <w:r>
        <w:rPr>
          <w:rFonts w:ascii="Times New Roman" w:hAnsi="Times New Roman"/>
          <w:color w:val="000000"/>
          <w:sz w:val="20"/>
        </w:rPr>
        <w:t xml:space="preserve">” </w:t>
      </w:r>
      <w:r>
        <w:rPr>
          <w:rFonts w:ascii="Times New Roman" w:hAnsi="Times New Roman"/>
          <w:color w:val="000000"/>
          <w:sz w:val="22"/>
        </w:rPr>
        <w:t>shall have the meaning ascribed to such term in Section 2.6(b) hereof.</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1.26</w:t>
      </w:r>
      <w:r>
        <w:rPr>
          <w:rFonts w:ascii="Times New Roman" w:hAnsi="Times New Roman"/>
          <w:color w:val="000000"/>
          <w:sz w:val="20"/>
        </w:rPr>
        <w:t xml:space="preserve"> – “</w:t>
      </w:r>
      <w:r>
        <w:rPr>
          <w:rFonts w:ascii="Times New Roman" w:hAnsi="Times New Roman"/>
          <w:color w:val="000000"/>
          <w:sz w:val="22"/>
          <w:u w:val="single"/>
        </w:rPr>
        <w:t>Service</w:t>
      </w:r>
      <w:r>
        <w:rPr>
          <w:rFonts w:ascii="Times New Roman" w:hAnsi="Times New Roman"/>
          <w:color w:val="000000"/>
          <w:sz w:val="20"/>
        </w:rPr>
        <w:t xml:space="preserve">” </w:t>
      </w:r>
      <w:r>
        <w:rPr>
          <w:rFonts w:ascii="Times New Roman" w:hAnsi="Times New Roman"/>
          <w:color w:val="000000"/>
          <w:sz w:val="22"/>
        </w:rPr>
        <w:t>shall mean service as an Employee with (or, subject to approval by the Committee, as a Consultant to) the Company, or a Subsidiary or Designated Associate Company thereof.</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1.27</w:t>
      </w:r>
      <w:r>
        <w:rPr>
          <w:rFonts w:ascii="Times New Roman" w:hAnsi="Times New Roman"/>
          <w:color w:val="000000"/>
          <w:sz w:val="20"/>
        </w:rPr>
        <w:t xml:space="preserve"> – “</w:t>
      </w:r>
      <w:r>
        <w:rPr>
          <w:rFonts w:ascii="Times New Roman" w:hAnsi="Times New Roman"/>
          <w:color w:val="000000"/>
          <w:sz w:val="22"/>
          <w:u w:val="single"/>
        </w:rPr>
        <w:t>Shares</w:t>
      </w:r>
      <w:r>
        <w:rPr>
          <w:rFonts w:ascii="Times New Roman" w:hAnsi="Times New Roman"/>
          <w:color w:val="000000"/>
          <w:sz w:val="20"/>
        </w:rPr>
        <w:t xml:space="preserve">” </w:t>
      </w:r>
      <w:r>
        <w:rPr>
          <w:rFonts w:ascii="Times New Roman" w:hAnsi="Times New Roman"/>
          <w:color w:val="000000"/>
          <w:sz w:val="22"/>
        </w:rPr>
        <w:t>shall mean Ordinary Shares of the Company, Nominal Value per Share, which may be authorized but unissued. References in this Agreement to Shares shall also mean and include Fractional Share Interests when used in the context of references to Shares underlying the PSUs or issuable pursuant to PSUs unless the Agreement expressly provides otherwise or the context clearly suggests otherwise.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1.28</w:t>
      </w:r>
      <w:r>
        <w:rPr>
          <w:rFonts w:ascii="Times New Roman" w:hAnsi="Times New Roman"/>
          <w:color w:val="000000"/>
          <w:sz w:val="20"/>
        </w:rPr>
        <w:t xml:space="preserve"> – “</w:t>
      </w:r>
      <w:r>
        <w:rPr>
          <w:rFonts w:ascii="Times New Roman" w:hAnsi="Times New Roman"/>
          <w:color w:val="000000"/>
          <w:sz w:val="22"/>
          <w:u w:val="single"/>
        </w:rPr>
        <w:t>Target Award</w:t>
      </w:r>
      <w:r>
        <w:rPr>
          <w:rFonts w:ascii="Times New Roman" w:hAnsi="Times New Roman"/>
          <w:color w:val="000000"/>
          <w:sz w:val="20"/>
        </w:rPr>
        <w:t xml:space="preserve">” </w:t>
      </w:r>
      <w:r>
        <w:rPr>
          <w:rFonts w:ascii="Times New Roman" w:hAnsi="Times New Roman"/>
          <w:color w:val="000000"/>
          <w:sz w:val="22"/>
        </w:rPr>
        <w:t>shall mean the target number of PSUs specified in the Grant Notice.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1.29</w:t>
      </w:r>
      <w:r>
        <w:rPr>
          <w:rFonts w:ascii="Times New Roman" w:hAnsi="Times New Roman"/>
          <w:color w:val="000000"/>
          <w:sz w:val="20"/>
        </w:rPr>
        <w:t xml:space="preserve"> – “</w:t>
      </w:r>
      <w:r>
        <w:rPr>
          <w:rFonts w:ascii="Times New Roman" w:hAnsi="Times New Roman"/>
          <w:color w:val="000000"/>
          <w:sz w:val="22"/>
          <w:u w:val="single"/>
        </w:rPr>
        <w:t>Termination Date</w:t>
      </w:r>
      <w:r>
        <w:rPr>
          <w:rFonts w:ascii="Times New Roman" w:hAnsi="Times New Roman"/>
          <w:color w:val="000000"/>
          <w:sz w:val="20"/>
        </w:rPr>
        <w:t xml:space="preserve">” </w:t>
      </w:r>
      <w:r>
        <w:rPr>
          <w:rFonts w:ascii="Times New Roman" w:hAnsi="Times New Roman"/>
          <w:color w:val="000000"/>
          <w:sz w:val="22"/>
        </w:rPr>
        <w:t>shall mean, unless otherwise determined by the Committee, in its sole discretion, the later of (i) the last day of the Colleague’s active Service or (ii) the last day of any notice period or garden leave, as provided for under the Colleague’s employment, retention or similar agreement, if any, or local law; provided, however, that in the case of United States taxpayers, the Termination Date shall mean a date that will allow the PSUs to comply with Section 409A of the Code.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1.30</w:t>
      </w:r>
      <w:r>
        <w:rPr>
          <w:rFonts w:ascii="Times New Roman" w:hAnsi="Times New Roman"/>
          <w:color w:val="000000"/>
          <w:sz w:val="20"/>
        </w:rPr>
        <w:t xml:space="preserve"> – “</w:t>
      </w:r>
      <w:r>
        <w:rPr>
          <w:rFonts w:ascii="Times New Roman" w:hAnsi="Times New Roman"/>
          <w:color w:val="000000"/>
          <w:sz w:val="22"/>
          <w:u w:val="single"/>
        </w:rPr>
        <w:t>Vesting Date</w:t>
      </w:r>
      <w:r>
        <w:rPr>
          <w:rFonts w:ascii="Times New Roman" w:hAnsi="Times New Roman"/>
          <w:color w:val="000000"/>
          <w:sz w:val="20"/>
        </w:rPr>
        <w:t xml:space="preserve">” </w:t>
      </w:r>
      <w:r>
        <w:rPr>
          <w:rFonts w:ascii="Times New Roman" w:hAnsi="Times New Roman"/>
          <w:color w:val="000000"/>
          <w:sz w:val="22"/>
        </w:rPr>
        <w:t>shall have the meaning ascribed to such term in the Grant Notice.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1.31</w:t>
      </w:r>
      <w:r>
        <w:rPr>
          <w:rFonts w:ascii="Times New Roman" w:hAnsi="Times New Roman"/>
          <w:color w:val="000000"/>
          <w:sz w:val="20"/>
        </w:rPr>
        <w:t xml:space="preserve"> – “</w:t>
      </w:r>
      <w:r>
        <w:rPr>
          <w:rFonts w:ascii="Times New Roman" w:hAnsi="Times New Roman"/>
          <w:color w:val="000000"/>
          <w:sz w:val="22"/>
          <w:u w:val="single"/>
        </w:rPr>
        <w:t>Years of Service</w:t>
      </w:r>
      <w:r>
        <w:rPr>
          <w:rFonts w:ascii="Times New Roman" w:hAnsi="Times New Roman"/>
          <w:color w:val="000000"/>
          <w:sz w:val="20"/>
        </w:rPr>
        <w:t xml:space="preserve">” </w:t>
      </w:r>
      <w:r>
        <w:rPr>
          <w:rFonts w:ascii="Times New Roman" w:hAnsi="Times New Roman"/>
          <w:color w:val="000000"/>
          <w:sz w:val="22"/>
        </w:rPr>
        <w:t>shall mean the total number of full years in which the Colleague has been in Service with the Company, a Subsidiary or Designated Associate Company thereof, and a Legacy Company, including all years of Service provided prior to a termination of prior Service where the break in Service did not exceed five (5) years. For purposes of this definition, a Year of Service shall mean a 365-day period (or 366-day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pStyle w:val="TextBody"/>
        <w:bidi w:val="0"/>
        <w:jc w:val="center"/>
        <w:rPr>
          <w:rFonts w:ascii="Times New Roman" w:hAnsi="Times New Roman"/>
          <w:color w:val="000000"/>
          <w:sz w:val="22"/>
        </w:rPr>
      </w:pPr>
      <w:r>
        <w:rPr>
          <w:rFonts w:ascii="Times New Roman" w:hAnsi="Times New Roman"/>
          <w:color w:val="000000"/>
          <w:sz w:val="22"/>
        </w:rPr>
        <w:t>ARTICLE II</w:t>
      </w:r>
    </w:p>
    <w:p>
      <w:pPr>
        <w:pStyle w:val="TextBody"/>
        <w:bidi w:val="0"/>
        <w:spacing w:before="0" w:after="240"/>
        <w:jc w:val="center"/>
        <w:rPr>
          <w:rFonts w:ascii="Times New Roman" w:hAnsi="Times New Roman"/>
          <w:color w:val="000000"/>
          <w:sz w:val="22"/>
          <w:u w:val="single"/>
        </w:rPr>
      </w:pPr>
      <w:r>
        <w:rPr>
          <w:rFonts w:ascii="Times New Roman" w:hAnsi="Times New Roman"/>
          <w:color w:val="000000"/>
          <w:sz w:val="22"/>
          <w:u w:val="single"/>
        </w:rPr>
        <w:t>GRANT OF PERFORMANCE-BASED RESTRICTED SHARE UNITS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2.1</w:t>
      </w:r>
      <w:r>
        <w:rPr>
          <w:rFonts w:ascii="Times New Roman" w:hAnsi="Times New Roman"/>
          <w:color w:val="000000"/>
          <w:sz w:val="20"/>
        </w:rPr>
        <w:t xml:space="preserve"> – </w:t>
      </w:r>
      <w:r>
        <w:rPr>
          <w:rFonts w:ascii="Times New Roman" w:hAnsi="Times New Roman"/>
          <w:color w:val="000000"/>
          <w:sz w:val="22"/>
          <w:u w:val="single"/>
        </w:rPr>
        <w:t>Grant of the Performance-Based Restricted Share Units</w:t>
      </w:r>
      <w:r>
        <w:rPr>
          <w:rFonts w:ascii="Times New Roman" w:hAnsi="Times New Roman"/>
          <w:color w:val="000000"/>
          <w:sz w:val="22"/>
        </w:rPr>
        <w:t>. The Company has awarded the Colleague a number of PSUs equal to the Target Award, representing the right to vest in the Earned PSUs, subject to the terms and conditions of the Grant Notice, the Plan, and the additional terms and conditions set forth in this Agreement and the restrictive covenants set forth in the RCA. The Colleague agrees that the grant of PSUs is sufficient consideration for the Colleague entering into the RCA.</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2.2</w:t>
      </w:r>
      <w:r>
        <w:rPr>
          <w:rFonts w:ascii="Times New Roman" w:hAnsi="Times New Roman"/>
          <w:color w:val="000000"/>
          <w:sz w:val="20"/>
        </w:rPr>
        <w:t xml:space="preserve"> – </w:t>
      </w:r>
      <w:r>
        <w:rPr>
          <w:rFonts w:ascii="Times New Roman" w:hAnsi="Times New Roman"/>
          <w:color w:val="000000"/>
          <w:sz w:val="22"/>
          <w:u w:val="single"/>
        </w:rPr>
        <w:t>PSU Payment</w:t>
      </w:r>
      <w:r>
        <w:rPr>
          <w:rFonts w:ascii="Times New Roman" w:hAnsi="Times New Roman"/>
          <w:color w:val="000000"/>
          <w:sz w:val="22"/>
        </w:rPr>
        <w:t>. In accordance with Section 7(d)(ii) of the Plan, the Shares to be issued upon vesting and settlement of the PSUs must be fully paid up prior to issuance of such Shares (including, in the interest of clarity, each issuance of Fractional Share Interests) by payment of the Nominal Value per Share. The Committee shall ensure that payment of the Nominal Value for any Shares underlying the PSUs is received by it on behalf of the Colleague at the time the PSUs are settled from a non-Irish Subsidiary or other source and shall establish any procedures or protocols necessary to ensure that payment is timely received.</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2.3</w:t>
      </w:r>
      <w:r>
        <w:rPr>
          <w:rFonts w:ascii="Times New Roman" w:hAnsi="Times New Roman"/>
          <w:color w:val="000000"/>
          <w:sz w:val="20"/>
        </w:rPr>
        <w:t xml:space="preserve"> – </w:t>
      </w:r>
      <w:r>
        <w:rPr>
          <w:rFonts w:ascii="Times New Roman" w:hAnsi="Times New Roman"/>
          <w:color w:val="000000"/>
          <w:sz w:val="22"/>
          <w:u w:val="single"/>
        </w:rPr>
        <w:t>Dividend Equivalents</w:t>
      </w:r>
      <w:r>
        <w:rPr>
          <w:rFonts w:ascii="Times New Roman" w:hAnsi="Times New Roman"/>
          <w:color w:val="000000"/>
          <w:sz w:val="22"/>
        </w:rPr>
        <w:t>. On each date that a cash dividend is paid to holders of Shares from the Grant Date through the date immediately prior to the date the PSUs are settled, an amount (the “</w:t>
      </w:r>
      <w:r>
        <w:rPr>
          <w:rFonts w:ascii="Times New Roman" w:hAnsi="Times New Roman"/>
          <w:color w:val="000000"/>
          <w:sz w:val="22"/>
          <w:u w:val="single"/>
        </w:rPr>
        <w:t>Dividend Equivalent Amount</w:t>
      </w:r>
      <w:r>
        <w:rPr>
          <w:rFonts w:ascii="Times New Roman" w:hAnsi="Times New Roman"/>
          <w:color w:val="000000"/>
          <w:sz w:val="20"/>
        </w:rPr>
        <w:t>”</w:t>
      </w:r>
      <w:r>
        <w:rPr>
          <w:rFonts w:ascii="Times New Roman" w:hAnsi="Times New Roman"/>
          <w:color w:val="000000"/>
          <w:sz w:val="22"/>
        </w:rPr>
        <w:t>) equal to the cash dividend that is paid on each Share, multiplied by the Target Award (including PSUs over Fractional Share Interests) and any Dividend Equivalent Units (as defined below) that remain unvested and outstanding as of the dividend payment record date, will be credited to the Colleague, and such credited amount will be converted into an additional number of PSUs (including PSUs over Fractional Share Interests resulting from the foregoing calculation) determined by dividing the Dividend Equivalent Amount by the Fair Market Value of a Share on the date of the dividend payment (“</w:t>
      </w:r>
      <w:r>
        <w:rPr>
          <w:rFonts w:ascii="Times New Roman" w:hAnsi="Times New Roman"/>
          <w:color w:val="000000"/>
          <w:sz w:val="22"/>
          <w:u w:val="single"/>
        </w:rPr>
        <w:t>Dividend Equivalent Units</w:t>
      </w:r>
      <w:r>
        <w:rPr>
          <w:rFonts w:ascii="Times New Roman" w:hAnsi="Times New Roman"/>
          <w:color w:val="000000"/>
          <w:sz w:val="20"/>
        </w:rPr>
        <w:t>”</w:t>
      </w:r>
      <w:r>
        <w:rPr>
          <w:rFonts w:ascii="Times New Roman" w:hAnsi="Times New Roman"/>
          <w:color w:val="000000"/>
          <w:sz w:val="22"/>
        </w:rPr>
        <w:t>). At the end of the Performance Period, the number of Dividend Equivalent Units will be adjusted to reflect a number of Dividend Equivalent Units that is calculated based on the formula described above, but replacing the Target Award with the number of Earned PSUs (such adjusted number, the “</w:t>
      </w:r>
      <w:r>
        <w:rPr>
          <w:rFonts w:ascii="Times New Roman" w:hAnsi="Times New Roman"/>
          <w:color w:val="000000"/>
          <w:sz w:val="22"/>
          <w:u w:val="single"/>
        </w:rPr>
        <w:t>Earned Dividend Equivalent Units</w:t>
      </w:r>
      <w:r>
        <w:rPr>
          <w:rFonts w:ascii="Times New Roman" w:hAnsi="Times New Roman"/>
          <w:color w:val="000000"/>
          <w:sz w:val="20"/>
        </w:rPr>
        <w:t>”</w:t>
      </w:r>
      <w:r>
        <w:rPr>
          <w:rFonts w:ascii="Times New Roman" w:hAnsi="Times New Roman"/>
          <w:color w:val="000000"/>
          <w:sz w:val="22"/>
        </w:rPr>
        <w:t>). During the period beginning immediately following the last day of the Performance Period and ending on the date the Earned PSUs are paid pursuant to Section 2.6(a) below, Dividend Equivalent Units will accrue on any Earned PSUs and any Earned Dividend Equivalent Units. Dividend Equivalent Units and Earned Dividend Equivalent Units will be subject to the same conditions as the underlying PSUs with respect to which Dividend Equivalent Units and Earned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Dividend Equivalent Units were credited, including without limitation, the vesting condition and the provisions governing time and form of settlement applicable to the underlying PSUs. Unless expressly provided otherwise, as used elsewhere in this Agreement, references to PSUs in this Agreement shall also include Dividend Equivalent Units and Earned Dividend Equivalent Units that have been credited to the Colleague pursuant to this Section 2.3.</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2.4</w:t>
      </w:r>
      <w:r>
        <w:rPr>
          <w:rFonts w:ascii="Times New Roman" w:hAnsi="Times New Roman"/>
          <w:color w:val="000000"/>
          <w:sz w:val="20"/>
        </w:rPr>
        <w:t xml:space="preserve"> – </w:t>
      </w:r>
      <w:r>
        <w:rPr>
          <w:rFonts w:ascii="Times New Roman" w:hAnsi="Times New Roman"/>
          <w:color w:val="000000"/>
          <w:sz w:val="22"/>
          <w:u w:val="single"/>
        </w:rPr>
        <w:t>Earned PSU Determination; Vesting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Determination of Earned PSUs</w:t>
      </w:r>
      <w:r>
        <w:rPr>
          <w:rFonts w:ascii="Times New Roman" w:hAnsi="Times New Roman"/>
          <w:color w:val="000000"/>
          <w:sz w:val="22"/>
        </w:rPr>
        <w:t>. As of the Earned Date, the Committee shall determine the attainment level of the applicable Performance Objectives set forth in Schedule B to this Agreement, and based on such determination, shall determine the number of PSUs that shall constitute Earned PSUs. Anything to the contrary in this Section 2.4 and Schedule B to this Agreement notwithstanding, the Committee retains sole discretion to determine the number of PSUs that shall constitute Earned PSUs. Any PSUs that are not determined by the Committee to constitute Earned PSUs on the Earned Date, except as otherwise provided under Section 2.5, shall be forfeited immediately.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Vesting</w:t>
      </w:r>
      <w:r>
        <w:rPr>
          <w:rFonts w:ascii="Times New Roman" w:hAnsi="Times New Roman"/>
          <w:color w:val="000000"/>
          <w:sz w:val="22"/>
        </w:rPr>
        <w:t>. Except as otherwise provided in Section 2.5 hereof or the terms of the Colleague’s employment, retention or similar agreement, if any, the PSUs that are determined to constitute Earned PSUs as of the Earned Date shall vest on the Vesting Date, subject to the Colleague’s continued Service through the Vesting Date.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2.5</w:t>
      </w:r>
      <w:r>
        <w:rPr>
          <w:rFonts w:ascii="Times New Roman" w:hAnsi="Times New Roman"/>
          <w:color w:val="000000"/>
          <w:sz w:val="20"/>
        </w:rPr>
        <w:t xml:space="preserve"> – </w:t>
      </w:r>
      <w:r>
        <w:rPr>
          <w:rFonts w:ascii="Times New Roman" w:hAnsi="Times New Roman"/>
          <w:color w:val="000000"/>
          <w:sz w:val="22"/>
          <w:u w:val="single"/>
        </w:rPr>
        <w:t>Forfeiture; Employment Termination; Change in Control.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Forfeiture upon Termination</w:t>
      </w:r>
      <w:r>
        <w:rPr>
          <w:rFonts w:ascii="Times New Roman" w:hAnsi="Times New Roman"/>
          <w:color w:val="000000"/>
          <w:sz w:val="22"/>
        </w:rPr>
        <w:t xml:space="preserve">. Except as otherwise provided in this Section 2.5 or the terms of the Colleague’s employment, retention or similar agreement in the event of the Colleague’s termination of Service prior to the </w:t>
      </w:r>
      <w:r>
        <w:rPr>
          <w:rFonts w:ascii="Times New Roman" w:hAnsi="Times New Roman"/>
          <w:color w:val="000000"/>
          <w:sz w:val="24"/>
        </w:rPr>
        <w:t>Vesting</w:t>
      </w:r>
      <w:r>
        <w:rPr>
          <w:color w:val="000000"/>
        </w:rPr>
        <w:t xml:space="preserve"> </w:t>
      </w:r>
      <w:r>
        <w:rPr>
          <w:rFonts w:ascii="Times New Roman" w:hAnsi="Times New Roman"/>
          <w:color w:val="000000"/>
          <w:sz w:val="22"/>
        </w:rPr>
        <w:t>Date, any Earned PSUs that are unvested as of the Termination Date shall be forfeited immediately as of the Termination Date by the Colleague.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Qualifying Retirement</w:t>
      </w:r>
      <w:r>
        <w:rPr>
          <w:rFonts w:ascii="Times New Roman" w:hAnsi="Times New Roman"/>
          <w:color w:val="000000"/>
          <w:sz w:val="22"/>
        </w:rPr>
        <w:t>. In the event of the Colleague’s termination of Service after the first anniversary of the Grant Date and prior to the Vesting Date due to a Qualifying Retirement, a number of PSUs equal to the Earned PSUs shall vest on the Vesting Date, subject to the Colleague’s compliance with the restrictive covenants legally applicable to the Colleague and other obligations contemplated under Sections 3.1 and 3.2 hereof, as determined in the sole discretion of the Committee. If the Committee determines in its sole discretion that the Colleague has violated the restrictive covenants and other obligations under Sections 3.1 and 3.2 hereof, any PSUs that are unvested as of the date of the Committee’s determination shall be forfeited immediately. For the avoidance of any doubt, the provisions of this Section 2.5(b) shall prevail over the provisions of Sections 2.5(c) and (d) 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Change in Control Involuntary Termination</w:t>
      </w:r>
      <w:r>
        <w:rPr>
          <w:rFonts w:ascii="Times New Roman" w:hAnsi="Times New Roman"/>
          <w:color w:val="000000"/>
          <w:sz w:val="22"/>
        </w:rPr>
        <w:t>. In the event the PSUs are assumed or otherwise substituted or replaced by the successor corporation or an affiliate thereof in connection with a Change of Control and the Colleague’s Service is terminated (i) by the successor corporation or an affiliate employing the Colleague without Cause or (ii) by the Colleague for Good Reason, in each case, within the 24-month period commencing on the effective date of a Change of Control, a number of PSUs equal to the Target Award shall vest as of the Termination Date.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i/>
          <w:color w:val="000000"/>
          <w:sz w:val="22"/>
        </w:rPr>
        <w:t>Non-Change in Control Involuntary Termination</w:t>
      </w:r>
      <w:r>
        <w:rPr>
          <w:rFonts w:ascii="Times New Roman" w:hAnsi="Times New Roman"/>
          <w:color w:val="000000"/>
          <w:sz w:val="22"/>
        </w:rPr>
        <w:t>. In the event of the Colleague’s (i) termination of Service without Cause by the Employer or (ii) termination of Service by the Colleague for Good Reason, in each case, after the first anniversary of the Grant Date and prior to the effective date of a Change of Control or after the 24-month period commencing on the effective date of a Change of Control, a pro rata number of PSUs shall vest on the Vesting Date equal to the product of the number of Earned PSUs, multiplied by a fraction, the numerator of which shall be equal to the number of completed days of continuous Service from the Grant Date through the Termination Date, and the denominator of which shall be equal to the total number of days contained in the period commencing on (and inclusive of) the Grant Date and ending on (and inclusive of) the Vesting Date. The vesting acceleration benefit provided under this Section 2.5(d) shall be subject to the Colleague’s compliance with the restrictive covenants legally applicable to the Colleague and other obligations contemplated under Section 3.1 hereof, as determined in the sole discretion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i/>
          <w:color w:val="000000"/>
          <w:sz w:val="22"/>
        </w:rPr>
        <w:t>Death/Disability</w:t>
      </w:r>
      <w:r>
        <w:rPr>
          <w:rFonts w:ascii="Times New Roman" w:hAnsi="Times New Roman"/>
          <w:color w:val="000000"/>
          <w:sz w:val="22"/>
        </w:rPr>
        <w:t>. In the event of the Colleague’s termination of Service as a result of the Colleague’s Permanent Disability or death, a number of PSUs equal to the Earned PSUs shall vest as of the Vesting Date.</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i/>
          <w:color w:val="000000"/>
          <w:sz w:val="22"/>
        </w:rPr>
        <w:t>Change in Control</w:t>
      </w:r>
      <w:r>
        <w:rPr>
          <w:rFonts w:ascii="Times New Roman" w:hAnsi="Times New Roman"/>
          <w:color w:val="000000"/>
          <w:sz w:val="22"/>
        </w:rPr>
        <w:t>. Pursuant to Section 12 of the Plan, in the event the PSUs are not assumed or otherwise substituted or replaced by the successor corporation or an affiliate thereof in connection with a Change of Control, a number of PSUs equal to the Target Award shall vest immediately prior to the effective date of the Change of Control.</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2.6</w:t>
      </w:r>
      <w:r>
        <w:rPr>
          <w:rFonts w:ascii="Times New Roman" w:hAnsi="Times New Roman"/>
          <w:color w:val="000000"/>
          <w:sz w:val="20"/>
        </w:rPr>
        <w:t xml:space="preserve"> – </w:t>
      </w:r>
      <w:r>
        <w:rPr>
          <w:rFonts w:ascii="Times New Roman" w:hAnsi="Times New Roman"/>
          <w:color w:val="000000"/>
          <w:sz w:val="22"/>
          <w:u w:val="single"/>
        </w:rPr>
        <w:t>Settlement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General Settlement Provisions</w:t>
      </w:r>
      <w:r>
        <w:rPr>
          <w:rFonts w:ascii="Times New Roman" w:hAnsi="Times New Roman"/>
          <w:color w:val="000000"/>
          <w:sz w:val="22"/>
        </w:rPr>
        <w:t>. Except as otherwise provided in Section 2.6(b) hereof, PSUs that become vested shall be settled in Shares (including, in the interest of clarity, Fractional Share Interests underlying the vested PSUs or that result from the withholding of less than a whole Share pursuant to Section 2.8) on the Vesting Date or, if earlier, upon an accelerated vesting event pursuant to Sections 2.5(c) or (f) hereof, or as soon as practicable, but not later than 31 days, thereafter. Notwithstanding the foregoing, a Fractional Share Interest may be paid in cash or rounded to the extent provided in Schedule A for the Colleague’s country or to the extent otherwise determined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Section 409A Settlement Timing Requirements</w:t>
      </w:r>
      <w:r>
        <w:rPr>
          <w:rFonts w:ascii="Times New Roman" w:hAnsi="Times New Roman"/>
          <w:color w:val="000000"/>
          <w:sz w:val="22"/>
        </w:rPr>
        <w:t>. Notwithstanding the foregoing, if the PSUs are considered non-qualified deferred compensation subject to Section 409A of the Code, as determined in the sole discretion of the Company, and the Colleague is a U.S. Taxpayer, PSUs that are no longer subject to a substantial risk of forfeiture, as determined in accordance with Section 409A of the Code, shall be settled, without regard to the vesting schedule set forth above, on the earliest to occur of (i) the Vesting Date, (ii) a “change in control event” within the meaning of U.S. Treas. Reg. § 1.409A-3(i)(5) (a “</w:t>
      </w:r>
      <w:r>
        <w:rPr>
          <w:rFonts w:ascii="Times New Roman" w:hAnsi="Times New Roman"/>
          <w:color w:val="000000"/>
          <w:sz w:val="22"/>
          <w:u w:val="single"/>
        </w:rPr>
        <w:t>409A CIC Event</w:t>
      </w:r>
      <w:r>
        <w:rPr>
          <w:color w:val="000000"/>
        </w:rPr>
        <w:t>”</w:t>
      </w:r>
      <w:r>
        <w:rPr>
          <w:rFonts w:ascii="Times New Roman" w:hAnsi="Times New Roman"/>
          <w:color w:val="000000"/>
          <w:sz w:val="22"/>
        </w:rPr>
        <w:t>), and (iii) a “separation from service” within the meaning of Section 409A of the Code (a “</w:t>
      </w:r>
      <w:r>
        <w:rPr>
          <w:rFonts w:ascii="Times New Roman" w:hAnsi="Times New Roman"/>
          <w:color w:val="000000"/>
          <w:sz w:val="22"/>
          <w:u w:val="single"/>
        </w:rPr>
        <w:t>Separation from Service</w:t>
      </w:r>
      <w:r>
        <w:rPr>
          <w:color w:val="000000"/>
        </w:rPr>
        <w:t>”</w:t>
      </w:r>
      <w:r>
        <w:rPr>
          <w:rFonts w:ascii="Times New Roman" w:hAnsi="Times New Roman"/>
          <w:color w:val="000000"/>
          <w:sz w:val="22"/>
        </w:rPr>
        <w:t>) that occurs following a 409A CIC Event, provided that if the Colleague is a “specified employee” within the meaning of Section 409A of the Code on the date the Colleague experiences a Separation from Service, then the PSUs shall instead be settled on the first business day of the seventh month following the Colleague’s Separation from Service, to the extent such delayed payment is required in order to avoid a prohibited distribution under Section 409A of the Code.</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2.7</w:t>
      </w:r>
      <w:r>
        <w:rPr>
          <w:rFonts w:ascii="Times New Roman" w:hAnsi="Times New Roman"/>
          <w:color w:val="000000"/>
          <w:sz w:val="20"/>
        </w:rPr>
        <w:t xml:space="preserve"> – </w:t>
      </w:r>
      <w:r>
        <w:rPr>
          <w:rFonts w:ascii="Times New Roman" w:hAnsi="Times New Roman"/>
          <w:color w:val="000000"/>
          <w:sz w:val="22"/>
          <w:u w:val="single"/>
        </w:rPr>
        <w:t>Rights as Shareholder</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Whole Shares</w:t>
      </w:r>
      <w:r>
        <w:rPr>
          <w:rFonts w:ascii="Times New Roman" w:hAnsi="Times New Roman"/>
          <w:color w:val="000000"/>
          <w:sz w:val="22"/>
        </w:rPr>
        <w:t xml:space="preserve">. The Colleague shall not be, nor have any of the rights or privileges of, a shareholder of the Company in respect of any Shares that may be received upon the settlement of the PSUs unless and until certificates representing such Shares or their electronic equivalent shall have been issued by the Company to the Colleague.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Fractional Share Interest</w:t>
      </w:r>
      <w:r>
        <w:rPr>
          <w:rFonts w:ascii="Times New Roman" w:hAnsi="Times New Roman"/>
          <w:color w:val="000000"/>
          <w:sz w:val="22"/>
        </w:rPr>
        <w:t>s. In the event a Fractional Share Interest is issued, the Colleague shall have with respect to such Fractional Share Interest the right to receive dividends payable with respect to a Share that are proportionate to the interest the Fractional Share Interest bears to a whole Share, but the Colleague shall otherwise not be, nor have any of the other rights or privileges of, a shareholder of the Company, including the right to vote, in respect of any Fractional Share Interests held by the Colleague until the Fractional Share Interests issued to a Colleague aggregate to a whole Share.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2.8</w:t>
      </w:r>
      <w:r>
        <w:rPr>
          <w:rFonts w:ascii="Times New Roman" w:hAnsi="Times New Roman"/>
          <w:color w:val="000000"/>
          <w:sz w:val="20"/>
        </w:rPr>
        <w:t xml:space="preserve"> – </w:t>
      </w:r>
      <w:r>
        <w:rPr>
          <w:rFonts w:ascii="Times New Roman" w:hAnsi="Times New Roman"/>
          <w:color w:val="000000"/>
          <w:sz w:val="22"/>
          <w:u w:val="single"/>
        </w:rPr>
        <w:t>Tax Withholding</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and/or any dividend equivalents; and (2) do not commit to and are under no obligation to structure the terms of the grant or any aspect of the PSUs to reduce or eliminate the Colleague’s liability for Tax-Related Items or achieve any particular tax result. Further, if the Colleague is subject to Tax-Related Items in more than one jurisdiction, the Colleague acknowledges that the Company</w:t>
      </w:r>
      <w:r>
        <w:rPr>
          <w:rFonts w:ascii="Times New Roman" w:hAnsi="Times New Roman"/>
          <w:color w:val="000000"/>
          <w:sz w:val="20"/>
        </w:rPr>
        <w:t xml:space="preserve"> </w:t>
      </w:r>
      <w:r>
        <w:rPr>
          <w:rFonts w:ascii="Times New Roman" w:hAnsi="Times New Roman"/>
          <w:color w:val="000000"/>
          <w:sz w:val="22"/>
        </w:rPr>
        <w:t>and/or the Employer (or former employer, as applicable) may be required to withhold or account for Tax-Related Items in more than one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to any relevant taxable or tax withholding event, as applicable, the Colleague agrees to make adequate arrangements satisfactory to the Company and/or the Employer to satisfy all Tax-Related Items.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this regard, the Colleague authorizes the Company and/or the Employer, or their respective agents, in their discretion, to satisfy the obligations with regard to all Tax-Related Items by withholding in Shares (including less than a whole Share) to be issued upon settlement of the PSUs,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PSUs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PSUs, the Colleague authorizes the Company and/or the Employer, or their respective agents, to (i) withhold from the Colleague’s wages or other cash amounts payable to the Colleague from the Company or the Employer, (ii) sell on the Colleague’s behalf a number of Shares (including less than a whole Share)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PSUs, notwithstanding that a number of Shares are held back solely for the purpose of paying the Tax-Related Items.</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2.9</w:t>
      </w:r>
      <w:r>
        <w:rPr>
          <w:rFonts w:ascii="Times New Roman" w:hAnsi="Times New Roman"/>
          <w:color w:val="000000"/>
          <w:sz w:val="20"/>
        </w:rPr>
        <w:t xml:space="preserve"> – </w:t>
      </w:r>
      <w:r>
        <w:rPr>
          <w:rFonts w:ascii="Times New Roman" w:hAnsi="Times New Roman"/>
          <w:color w:val="000000"/>
          <w:sz w:val="22"/>
          <w:u w:val="single"/>
        </w:rPr>
        <w:t>Conditions to Issuance of Shares</w:t>
      </w:r>
      <w:r>
        <w:rPr>
          <w:rFonts w:ascii="Times New Roman" w:hAnsi="Times New Roman"/>
          <w:color w:val="000000"/>
          <w:sz w:val="22"/>
        </w:rPr>
        <w:t>. The Shares underlying the Earned PSUs to be issued hereunder shall be previously authorized but unissued Shares. Such Shares shall be fully paid. The Company shall not be required to issue Shares allotted upon the applicable date of the settlement of the PSUs prior to fulfillment of all of the following conditions: (a) the obtaining of approval or other clearance from any state, federal, local or foreign governmental agency which the Committee shall, in its absolute discretion, determine to be necessary or advisable; and (b) the Colleague has paid or made arrangements to pay the Tax-Related Items pursuant to Section 2.8 hereof. Without limiting the generality of the foregoing, the Committee may require an opinion of counsel reasonably acceptable to it to the effect that any subsequent transfer of Shares acquired on the settlement of PSUs does not violate the Exchange Act and may issue stop-transfer orders covering such Shares.</w:t>
      </w:r>
    </w:p>
    <w:p>
      <w:pPr>
        <w:pStyle w:val="TextBody"/>
        <w:bidi w:val="0"/>
        <w:jc w:val="center"/>
        <w:rPr>
          <w:rFonts w:ascii="Times New Roman" w:hAnsi="Times New Roman"/>
          <w:color w:val="000000"/>
          <w:sz w:val="22"/>
        </w:rPr>
      </w:pPr>
      <w:r>
        <w:rPr>
          <w:rFonts w:ascii="Times New Roman" w:hAnsi="Times New Roman"/>
          <w:color w:val="000000"/>
          <w:sz w:val="22"/>
        </w:rPr>
        <w:t>ARTICLE III</w:t>
      </w:r>
    </w:p>
    <w:p>
      <w:pPr>
        <w:pStyle w:val="TextBody"/>
        <w:bidi w:val="0"/>
        <w:spacing w:before="0" w:after="240"/>
        <w:jc w:val="center"/>
        <w:rPr>
          <w:rFonts w:ascii="Times New Roman" w:hAnsi="Times New Roman"/>
          <w:sz w:val="20"/>
        </w:rPr>
      </w:pPr>
      <w:r>
        <w:rPr>
          <w:rFonts w:ascii="Times New Roman" w:hAnsi="Times New Roman"/>
          <w:color w:val="000000"/>
          <w:sz w:val="22"/>
          <w:u w:val="single"/>
        </w:rPr>
        <w:t>ADDITIONAL TERMS AND CONDITIONS APPLICABLE TO PSUs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3.1</w:t>
      </w:r>
      <w:r>
        <w:rPr>
          <w:rFonts w:ascii="Times New Roman" w:hAnsi="Times New Roman"/>
          <w:color w:val="000000"/>
          <w:sz w:val="20"/>
        </w:rPr>
        <w:t xml:space="preserve"> – </w:t>
      </w:r>
      <w:r>
        <w:rPr>
          <w:rFonts w:ascii="Times New Roman" w:hAnsi="Times New Roman"/>
          <w:color w:val="000000"/>
          <w:sz w:val="22"/>
          <w:u w:val="single"/>
        </w:rPr>
        <w:t>Restrictive Covenants and Other Obligations</w:t>
      </w:r>
      <w:r>
        <w:rPr>
          <w:rFonts w:ascii="Times New Roman" w:hAnsi="Times New Roman"/>
          <w:color w:val="000000"/>
          <w:sz w:val="22"/>
        </w:rPr>
        <w:t>. In consideration of the grant of PSUs, the Colleague shall agree to the restrictive covenants and other obligations contained in the RCA. In the event the Colleague fails to execute and deliver or electronically accept the RCA in the manner and within the period specified in the Grant Notice, the Committee may, in its sole discretion, cancel the PSUs.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3.2</w:t>
      </w:r>
      <w:r>
        <w:rPr>
          <w:rFonts w:ascii="Times New Roman" w:hAnsi="Times New Roman"/>
          <w:color w:val="000000"/>
          <w:sz w:val="20"/>
        </w:rPr>
        <w:t xml:space="preserve"> – </w:t>
      </w:r>
      <w:r>
        <w:rPr>
          <w:rFonts w:ascii="Times New Roman" w:hAnsi="Times New Roman"/>
          <w:color w:val="000000"/>
          <w:sz w:val="22"/>
          <w:u w:val="single"/>
        </w:rPr>
        <w:t>Continued Vesting Requirements Applicable to Qualifying Retirees</w:t>
      </w:r>
      <w:r>
        <w:rPr>
          <w:rFonts w:ascii="Times New Roman" w:hAnsi="Times New Roman"/>
          <w:color w:val="000000"/>
          <w:sz w:val="22"/>
        </w:rPr>
        <w:t>. For any Colleague whose termination of Service with the Company constitutes a Qualifying Retirement (“</w:t>
      </w:r>
      <w:r>
        <w:rPr>
          <w:rFonts w:ascii="Times New Roman" w:hAnsi="Times New Roman"/>
          <w:color w:val="000000"/>
          <w:sz w:val="22"/>
          <w:u w:val="single"/>
        </w:rPr>
        <w:t>Qualifying Retiree</w:t>
      </w:r>
      <w:r>
        <w:rPr>
          <w:rFonts w:ascii="Times New Roman" w:hAnsi="Times New Roman"/>
          <w:color w:val="000000"/>
          <w:sz w:val="20"/>
        </w:rPr>
        <w:t>”</w:t>
      </w:r>
      <w:r>
        <w:rPr>
          <w:rFonts w:ascii="Times New Roman" w:hAnsi="Times New Roman"/>
          <w:color w:val="000000"/>
          <w:sz w:val="22"/>
        </w:rPr>
        <w:t>), in order for the Qualifying Retiree to continue to vest in the PSUs in accordance with the provisions of Section 2.5(b) hereof, the Qualifying Retiree shall furnish to the Company on an annual basis (for the duration of an Award’s vesting), or at such time and in such manner as the Company may otherwise reasonably require from time to time, in a form provided to the Qualifying Retiree: (i) a statement of any outside employment or consulting services in which the Qualified Retiree has engaged or seeks to engage during the period between the Termination Date and the Vesting Date; and (ii) a statement confirming that the Qualifying Retiree has not disclosed or used any Confidential Information as prohibited by the RCA (together with the statement described in Section 3.2(i), the “</w:t>
      </w:r>
      <w:r>
        <w:rPr>
          <w:rFonts w:ascii="Times New Roman" w:hAnsi="Times New Roman"/>
          <w:color w:val="000000"/>
          <w:sz w:val="22"/>
          <w:u w:val="single"/>
        </w:rPr>
        <w:t>Retirement Disclosure</w:t>
      </w:r>
      <w:r>
        <w:rPr>
          <w:rFonts w:ascii="Times New Roman" w:hAnsi="Times New Roman"/>
          <w:color w:val="000000"/>
          <w:sz w:val="20"/>
        </w:rPr>
        <w:t>”</w:t>
      </w:r>
      <w:r>
        <w:rPr>
          <w:rFonts w:ascii="Times New Roman" w:hAnsi="Times New Roman"/>
          <w:color w:val="000000"/>
          <w:sz w:val="22"/>
        </w:rPr>
        <w:t>). In the event that a Qualifying Retiree does not make the required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rPr>
        <w:t>Retirement Disclosure, or the Company’s Chief Executive Officer, Chief Human Resources Officer, and General Counsel (jointly), or the Committee Chair, in the case of the current or any former Chief Executive Officer of the Company (the “</w:t>
      </w:r>
      <w:r>
        <w:rPr>
          <w:rFonts w:ascii="Times New Roman" w:hAnsi="Times New Roman"/>
          <w:color w:val="000000"/>
          <w:sz w:val="22"/>
          <w:u w:val="single"/>
        </w:rPr>
        <w:t>Retirement Compliance Officers</w:t>
      </w:r>
      <w:r>
        <w:rPr>
          <w:rFonts w:ascii="Times New Roman" w:hAnsi="Times New Roman"/>
          <w:color w:val="000000"/>
          <w:sz w:val="20"/>
        </w:rPr>
        <w:t>”</w:t>
      </w:r>
      <w:r>
        <w:rPr>
          <w:rFonts w:ascii="Times New Roman" w:hAnsi="Times New Roman"/>
          <w:color w:val="000000"/>
          <w:sz w:val="22"/>
        </w:rPr>
        <w:t>)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w:t>
      </w:r>
      <w:r>
        <w:rPr>
          <w:rFonts w:ascii="Times New Roman" w:hAnsi="Times New Roman"/>
          <w:color w:val="000000"/>
          <w:sz w:val="22"/>
          <w:u w:val="single"/>
        </w:rPr>
        <w:t>Retirement Noncompliance Event</w:t>
      </w:r>
      <w:r>
        <w:rPr>
          <w:rFonts w:ascii="Times New Roman" w:hAnsi="Times New Roman"/>
          <w:color w:val="000000"/>
          <w:sz w:val="20"/>
        </w:rPr>
        <w:t>”</w:t>
      </w:r>
      <w:r>
        <w:rPr>
          <w:rFonts w:ascii="Times New Roman" w:hAnsi="Times New Roman"/>
          <w:color w:val="000000"/>
          <w:sz w:val="22"/>
        </w:rPr>
        <w:t>), the Retirement Compliance Officers may determine, in their sole and absolute discretion in accordance with applicable law in those states or jurisdictions where such a provision is lawful, that all vesting under Section 2.5(b)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PSUs in accordance with the provisions of Section 2.5(b).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3.3</w:t>
      </w:r>
      <w:r>
        <w:rPr>
          <w:rFonts w:ascii="Times New Roman" w:hAnsi="Times New Roman"/>
          <w:color w:val="000000"/>
          <w:sz w:val="20"/>
        </w:rPr>
        <w:t xml:space="preserve"> – </w:t>
      </w:r>
      <w:r>
        <w:rPr>
          <w:rFonts w:ascii="Times New Roman" w:hAnsi="Times New Roman"/>
          <w:color w:val="000000"/>
          <w:sz w:val="22"/>
          <w:u w:val="single"/>
        </w:rPr>
        <w:t>Clawback / Repayment</w:t>
      </w:r>
      <w:r>
        <w:rPr>
          <w:rFonts w:ascii="Times New Roman" w:hAnsi="Times New Roman"/>
          <w:color w:val="000000"/>
          <w:sz w:val="22"/>
        </w:rPr>
        <w:t>. The PSUs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PSU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PSU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PSUs to re-convey, transfer, surrender or otherwise return such Shares and/or other amounts to the Company upon the Company’s enforcement of this Section 3.3.</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3.4</w:t>
      </w:r>
      <w:r>
        <w:rPr>
          <w:rFonts w:ascii="Times New Roman" w:hAnsi="Times New Roman"/>
          <w:color w:val="000000"/>
          <w:sz w:val="20"/>
        </w:rPr>
        <w:t xml:space="preserve"> – </w:t>
      </w:r>
      <w:r>
        <w:rPr>
          <w:rFonts w:ascii="Times New Roman" w:hAnsi="Times New Roman"/>
          <w:color w:val="000000"/>
          <w:sz w:val="22"/>
          <w:u w:val="single"/>
        </w:rPr>
        <w:t>Confidentiality Obligation</w:t>
      </w:r>
      <w:r>
        <w:rPr>
          <w:rFonts w:ascii="Times New Roman" w:hAnsi="Times New Roman"/>
          <w:color w:val="000000"/>
          <w:sz w:val="22"/>
        </w:rPr>
        <w:t>. The Colleague understands and agrees that the terms under which the PSUs shall be determined to constitute Earned PSUs (as described in Section 2.4 hereof and in Schedule B) are confidential and the Colleague agrees not to disclose, reproduce or distribute such confidential information concerning the Company, except as required in the course of the Colleague’s employment with the Employer, without the prior written consent of the Company. The Colleague’s failure to abide by this condition may result in the immediate cancellation of the PSUs.</w:t>
      </w:r>
    </w:p>
    <w:p>
      <w:pPr>
        <w:pStyle w:val="TextBody"/>
        <w:bidi w:val="0"/>
        <w:jc w:val="center"/>
        <w:rPr>
          <w:rFonts w:ascii="Times New Roman" w:hAnsi="Times New Roman"/>
          <w:color w:val="000000"/>
          <w:sz w:val="22"/>
        </w:rPr>
      </w:pPr>
      <w:r>
        <w:rPr>
          <w:rFonts w:ascii="Times New Roman" w:hAnsi="Times New Roman"/>
          <w:color w:val="000000"/>
          <w:sz w:val="22"/>
        </w:rPr>
        <w:t>ARTICLE IV</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OTHER TERMS</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Section 4.1</w:t>
      </w:r>
      <w:r>
        <w:rPr>
          <w:rFonts w:ascii="Times New Roman" w:hAnsi="Times New Roman"/>
          <w:color w:val="000000"/>
          <w:sz w:val="20"/>
        </w:rPr>
        <w:t xml:space="preserve"> – </w:t>
      </w:r>
      <w:r>
        <w:rPr>
          <w:rFonts w:ascii="Times New Roman" w:hAnsi="Times New Roman"/>
          <w:color w:val="000000"/>
          <w:sz w:val="22"/>
          <w:u w:val="single"/>
        </w:rPr>
        <w:t>Nature of PSU Award</w:t>
      </w:r>
      <w:r>
        <w:rPr>
          <w:rFonts w:ascii="Times New Roman" w:hAnsi="Times New Roman"/>
          <w:color w:val="000000"/>
          <w:sz w:val="22"/>
        </w:rPr>
        <w:t>.</w:t>
      </w:r>
    </w:p>
    <w:p>
      <w:pPr>
        <w:pStyle w:val="Heading2"/>
        <w:bidi w:val="0"/>
        <w:spacing w:before="0" w:after="240"/>
        <w:jc w:val="left"/>
        <w:rPr>
          <w:rFonts w:ascii="Times New Roman" w:hAnsi="Times New Roman"/>
          <w:b w:val="false"/>
          <w:color w:val="000000"/>
          <w:sz w:val="22"/>
        </w:rPr>
      </w:pPr>
      <w:r>
        <w:rPr>
          <w:rFonts w:ascii="Times New Roman" w:hAnsi="Times New Roman"/>
          <w:b w:val="false"/>
          <w:color w:val="000000"/>
          <w:sz w:val="22"/>
        </w:rPr>
        <w:t>In accepting the PSUs, the Colleague acknowledges, understands and agrees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i/>
          <w:color w:val="000000"/>
          <w:sz w:val="22"/>
        </w:rPr>
        <w:t>Voluntary and Discretionary</w:t>
      </w:r>
      <w:r>
        <w:rPr>
          <w:rFonts w:ascii="Times New Roman" w:hAnsi="Times New Roman"/>
          <w:color w:val="000000"/>
          <w:sz w:val="22"/>
        </w:rPr>
        <w:t>. The Plan is established voluntarily by the Company, is discretionary in nature and may be amended, suspended or terminated by the Company at any time, to the extent permitted by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i/>
          <w:color w:val="000000"/>
          <w:sz w:val="22"/>
        </w:rPr>
        <w:t>Administration of the Plan and Payment Obligations</w:t>
      </w:r>
      <w:r>
        <w:rPr>
          <w:rFonts w:ascii="Times New Roman" w:hAnsi="Times New Roman"/>
          <w:color w:val="000000"/>
          <w:sz w:val="22"/>
        </w:rPr>
        <w:t>. The Plan is operated and the PSUs are granted solely by the Company and only the Company is a party to this Agreement. Accordingly, any rights the Colleague may have under this Agreement, including related to the issuance of Shares pursuant to the PSUs, may be raised only against the Company. No Subsidiary nor Designated Associate Company (including, but not limited to, the Employer) has any obligation to make any payment of any kind under this Agreement.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pPr>
      <w:r>
        <w:rPr>
          <w:rFonts w:ascii="Times New Roman" w:hAnsi="Times New Roman"/>
          <w:i/>
          <w:color w:val="000000"/>
          <w:sz w:val="22"/>
        </w:rPr>
        <w:t>No Acquired Rights</w:t>
      </w:r>
      <w:r>
        <w:rPr>
          <w:rFonts w:ascii="Times New Roman" w:hAnsi="Times New Roman"/>
          <w:color w:val="000000"/>
          <w:sz w:val="22"/>
        </w:rPr>
        <w:t>. The PSU award is exceptional, voluntary and occasional and does not create any contractual or other right to receive future PSU awards, or benefits in lieu of PSU awards, even if PSUs have been granted in the past. Further, all decisions with respect to future PSUs or other grants, if any, will be at the sole discretion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i/>
          <w:color w:val="000000"/>
          <w:sz w:val="22"/>
        </w:rPr>
        <w:t>Participation</w:t>
      </w:r>
      <w:r>
        <w:rPr>
          <w:rFonts w:ascii="Times New Roman" w:hAnsi="Times New Roman"/>
          <w:color w:val="000000"/>
          <w:sz w:val="22"/>
        </w:rPr>
        <w:t>. The Colleague’s participation in the Plan is voluntary.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40"/>
        <w:jc w:val="both"/>
        <w:rPr/>
      </w:pPr>
      <w:r>
        <w:rPr>
          <w:rFonts w:ascii="Times New Roman" w:hAnsi="Times New Roman"/>
          <w:i/>
          <w:color w:val="000000"/>
          <w:sz w:val="22"/>
        </w:rPr>
        <w:t>Not Part of Salary</w:t>
      </w:r>
      <w:r>
        <w:rPr>
          <w:rFonts w:ascii="Times New Roman" w:hAnsi="Times New Roman"/>
          <w:color w:val="000000"/>
          <w:sz w:val="22"/>
        </w:rPr>
        <w:t>. The PSUs and any Shares acquired under the Plan, and the income and the value of same, are (i) not intended to replace any pension rights or compensation under any pension arrangement, and (ii)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40"/>
        <w:jc w:val="both"/>
        <w:rPr/>
      </w:pPr>
      <w:r>
        <w:rPr>
          <w:rFonts w:ascii="Times New Roman" w:hAnsi="Times New Roman"/>
          <w:i/>
          <w:color w:val="000000"/>
          <w:sz w:val="22"/>
        </w:rPr>
        <w:t xml:space="preserve">Services as a Director. </w:t>
      </w:r>
      <w:r>
        <w:rPr>
          <w:rFonts w:ascii="Times New Roman" w:hAnsi="Times New Roman"/>
          <w:color w:val="000000"/>
          <w:sz w:val="22"/>
        </w:rPr>
        <w:t>Unless otherwise agreed with the Company, the PSUs and the Shares subject to the PSUs, and the income and value of same, are not granted as consideration for, or in connection with, services the Colleague may provide as a director of any Subsidiary or affiliate.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240"/>
        <w:jc w:val="both"/>
        <w:rPr/>
      </w:pPr>
      <w:r>
        <w:rPr>
          <w:rFonts w:ascii="Times New Roman" w:hAnsi="Times New Roman"/>
          <w:i/>
          <w:color w:val="000000"/>
          <w:sz w:val="22"/>
        </w:rPr>
        <w:t>Uncertain Value</w:t>
      </w:r>
      <w:r>
        <w:rPr>
          <w:rFonts w:ascii="Times New Roman" w:hAnsi="Times New Roman"/>
          <w:color w:val="000000"/>
          <w:sz w:val="22"/>
        </w:rPr>
        <w:t xml:space="preserve">. The future value of the Shares underlying the PSUs is unknown, indeterminable, and cannot be predicted with certainty.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240"/>
        <w:jc w:val="both"/>
        <w:rPr/>
      </w:pPr>
      <w:r>
        <w:rPr>
          <w:rFonts w:ascii="Times New Roman" w:hAnsi="Times New Roman"/>
          <w:i/>
          <w:color w:val="000000"/>
          <w:sz w:val="22"/>
        </w:rPr>
        <w:t>No Entitlements</w:t>
      </w:r>
      <w:r>
        <w:rPr>
          <w:rFonts w:ascii="Times New Roman" w:hAnsi="Times New Roman"/>
          <w:color w:val="000000"/>
          <w:sz w:val="22"/>
        </w:rPr>
        <w:t>. No claim or entitlement to compensation or damages shall arise from forfeiture of the PSUs or the underlying Shares resulting from (i) the application of the clawback provisions of Section 3.3 hereof, or (ii) the Colleague’s termination of Service (for any reason whatsoever, whether or not later found to be invalid or in breach of employment laws in the jurisdiction where the Colleague is employed or the terms of their employment agreement, if any). Further, 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Change of Control or similar event affecting the Shares of the Company.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0"/>
          <w:u w:val="single"/>
        </w:rPr>
        <w:t xml:space="preserve"> </w:t>
      </w:r>
      <w:r>
        <w:rPr>
          <w:rFonts w:ascii="Times New Roman" w:hAnsi="Times New Roman"/>
          <w:color w:val="000000"/>
          <w:sz w:val="22"/>
          <w:u w:val="single"/>
        </w:rPr>
        <w:t>No Advice Regarding Grant</w:t>
      </w:r>
      <w:r>
        <w:rPr>
          <w:rFonts w:ascii="Times New Roman" w:hAnsi="Times New Roman"/>
          <w:color w:val="000000"/>
          <w:sz w:val="22"/>
        </w:rPr>
        <w:t>. The Company, its Subsidiaries and Designated Associate Companies are not providing any tax, legal or financial advice, nor is the Company making any recommendations regarding the Colleague’s participation in the Plan, the issuance of Shares upon vesting of the PSUs or sale of the Shares. The Colleague should consult with their own personal tax, legal and financial advisors regarding their participation in the Plan before taking any action related to the Plan.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4.3</w:t>
      </w:r>
      <w:r>
        <w:rPr>
          <w:rFonts w:ascii="Times New Roman" w:hAnsi="Times New Roman"/>
          <w:color w:val="000000"/>
          <w:sz w:val="20"/>
        </w:rPr>
        <w:t xml:space="preserve"> – </w:t>
      </w:r>
      <w:r>
        <w:rPr>
          <w:rFonts w:ascii="Times New Roman" w:hAnsi="Times New Roman"/>
          <w:color w:val="000000"/>
          <w:sz w:val="22"/>
          <w:u w:val="single"/>
        </w:rPr>
        <w:t>Limitation on Obligations</w:t>
      </w:r>
      <w:r>
        <w:rPr>
          <w:rFonts w:ascii="Times New Roman" w:hAnsi="Times New Roman"/>
          <w:color w:val="000000"/>
          <w:sz w:val="22"/>
        </w:rPr>
        <w:t>. The Company’s obligation with respect to the PSUs granted hereunder is limited solely to the issuance to the Colleague of Shares within the period when such Shares are due to be issued hereunder, and in no event shall the Company become obligated to pay cash in respect of such obligation. The PSUs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4.4</w:t>
      </w:r>
      <w:r>
        <w:rPr>
          <w:rFonts w:ascii="Times New Roman" w:hAnsi="Times New Roman"/>
          <w:color w:val="000000"/>
          <w:sz w:val="20"/>
        </w:rPr>
        <w:t xml:space="preserve"> – </w:t>
      </w:r>
      <w:r>
        <w:rPr>
          <w:rFonts w:ascii="Times New Roman" w:hAnsi="Times New Roman"/>
          <w:color w:val="000000"/>
          <w:sz w:val="22"/>
          <w:u w:val="single"/>
        </w:rPr>
        <w:t>Data Privacy</w:t>
      </w:r>
      <w:r>
        <w:rPr>
          <w:rFonts w:ascii="Times New Roman" w:hAnsi="Times New Roman"/>
          <w:color w:val="000000"/>
          <w:sz w:val="22"/>
        </w:rPr>
        <w:t xml:space="preserve">. </w:t>
      </w:r>
      <w:r>
        <w:rPr>
          <w:rFonts w:ascii="Times New Roman" w:hAnsi="Times New Roman"/>
          <w:b/>
          <w:i/>
          <w:color w:val="000000"/>
          <w:sz w:val="22"/>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4.5</w:t>
      </w:r>
      <w:r>
        <w:rPr>
          <w:rFonts w:ascii="Times New Roman" w:hAnsi="Times New Roman"/>
          <w:color w:val="000000"/>
          <w:sz w:val="20"/>
        </w:rPr>
        <w:t xml:space="preserve"> – </w:t>
      </w:r>
      <w:r>
        <w:rPr>
          <w:rFonts w:ascii="Times New Roman" w:hAnsi="Times New Roman"/>
          <w:color w:val="000000"/>
          <w:sz w:val="22"/>
          <w:u w:val="single"/>
        </w:rPr>
        <w:t>Administration</w:t>
      </w:r>
      <w:r>
        <w:rPr>
          <w:rFonts w:ascii="Times New Roman" w:hAnsi="Times New Roman"/>
          <w:color w:val="000000"/>
          <w:sz w:val="22"/>
        </w:rPr>
        <w:t>.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PSUs. In its absolute discretion, the Committee may at any time and from time to time exercise any and all rights and duties of the Committee under the Plan and this Agreement.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4.6</w:t>
      </w:r>
      <w:r>
        <w:rPr>
          <w:rFonts w:ascii="Times New Roman" w:hAnsi="Times New Roman"/>
          <w:color w:val="000000"/>
          <w:sz w:val="20"/>
        </w:rPr>
        <w:t xml:space="preserve"> – </w:t>
      </w:r>
      <w:r>
        <w:rPr>
          <w:rFonts w:ascii="Times New Roman" w:hAnsi="Times New Roman"/>
          <w:color w:val="000000"/>
          <w:sz w:val="22"/>
          <w:u w:val="single"/>
        </w:rPr>
        <w:t>PSUs Not Transferable; Fractional Share Interests Not Transferable to other Broker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Neither the PSUs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Fractional Share Interest issued hereunder shall remain in the Colleague’s account at the Company’s broker until the disposition of the Fractional Share Interest and shall not become transferrable to another broker until any Fractional Share Interests issued to a Colleague aggregate to a whole Share.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4.7</w:t>
      </w:r>
      <w:r>
        <w:rPr>
          <w:rFonts w:ascii="Times New Roman" w:hAnsi="Times New Roman"/>
          <w:color w:val="000000"/>
          <w:sz w:val="20"/>
        </w:rPr>
        <w:t xml:space="preserve"> – </w:t>
      </w:r>
      <w:r>
        <w:rPr>
          <w:rFonts w:ascii="Times New Roman" w:hAnsi="Times New Roman"/>
          <w:color w:val="000000"/>
          <w:sz w:val="22"/>
          <w:u w:val="single"/>
        </w:rPr>
        <w:t>Binding Effect</w:t>
      </w:r>
      <w:r>
        <w:rPr>
          <w:rFonts w:ascii="Times New Roman" w:hAnsi="Times New Roman"/>
          <w:color w:val="000000"/>
          <w:sz w:val="22"/>
        </w:rPr>
        <w:t>. The provisions of this Agreement shall be binding upon and accrue to the benefit of the parties hereto and their respective heirs, legal representatives, successors and assigns.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4.8</w:t>
      </w:r>
      <w:r>
        <w:rPr>
          <w:rFonts w:ascii="Times New Roman" w:hAnsi="Times New Roman"/>
          <w:color w:val="000000"/>
          <w:sz w:val="20"/>
        </w:rPr>
        <w:t xml:space="preserve"> – </w:t>
      </w:r>
      <w:r>
        <w:rPr>
          <w:rFonts w:ascii="Times New Roman" w:hAnsi="Times New Roman"/>
          <w:color w:val="000000"/>
          <w:sz w:val="22"/>
          <w:u w:val="single"/>
        </w:rPr>
        <w:t>Employment or Service Rights</w:t>
      </w:r>
      <w:r>
        <w:rPr>
          <w:rFonts w:ascii="Times New Roman" w:hAnsi="Times New Roman"/>
          <w:color w:val="000000"/>
          <w:sz w:val="22"/>
        </w:rPr>
        <w:t>. Subject to the terms of the RCA, the rights and obligations of the Colleague under the terms of their Service shall not be affected by their participation in the Plan or any right which they may have to participate in it. The PSUs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PSUs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4.9</w:t>
      </w:r>
      <w:r>
        <w:rPr>
          <w:rFonts w:ascii="Times New Roman" w:hAnsi="Times New Roman"/>
          <w:color w:val="000000"/>
          <w:sz w:val="20"/>
        </w:rPr>
        <w:t xml:space="preserve"> – </w:t>
      </w:r>
      <w:r>
        <w:rPr>
          <w:rFonts w:ascii="Times New Roman" w:hAnsi="Times New Roman"/>
          <w:color w:val="000000"/>
          <w:sz w:val="22"/>
          <w:u w:val="single"/>
        </w:rPr>
        <w:t>Notices</w:t>
      </w:r>
      <w:r>
        <w:rPr>
          <w:rFonts w:ascii="Times New Roman" w:hAnsi="Times New Roman"/>
          <w:color w:val="000000"/>
          <w:sz w:val="22"/>
        </w:rPr>
        <w:t>. Any notice to be given under the terms of this Agreement to the Company shall be addressed to the Company in care of the General Counsel of the Company at the Company’s principal office, and any notice to be given to the Colleague shall be addressed to the Colleague at the Colleague’s last address reflected on the Company’s records. By a notice given pursuant to this Section 4.9,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comparable non-U.S. postal service.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4.10</w:t>
      </w:r>
      <w:r>
        <w:rPr>
          <w:rFonts w:ascii="Times New Roman" w:hAnsi="Times New Roman"/>
          <w:color w:val="000000"/>
          <w:sz w:val="20"/>
        </w:rPr>
        <w:t xml:space="preserve"> – </w:t>
      </w:r>
      <w:r>
        <w:rPr>
          <w:rFonts w:ascii="Times New Roman" w:hAnsi="Times New Roman"/>
          <w:color w:val="000000"/>
          <w:sz w:val="22"/>
          <w:u w:val="single"/>
        </w:rPr>
        <w:t>Titles</w:t>
      </w:r>
      <w:r>
        <w:rPr>
          <w:rFonts w:ascii="Times New Roman" w:hAnsi="Times New Roman"/>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4.11</w:t>
      </w:r>
      <w:r>
        <w:rPr>
          <w:rFonts w:ascii="Times New Roman" w:hAnsi="Times New Roman"/>
          <w:color w:val="000000"/>
          <w:sz w:val="20"/>
        </w:rPr>
        <w:t xml:space="preserve"> – </w:t>
      </w:r>
      <w:r>
        <w:rPr>
          <w:rFonts w:ascii="Times New Roman" w:hAnsi="Times New Roman"/>
          <w:color w:val="000000"/>
          <w:sz w:val="22"/>
          <w:u w:val="single"/>
        </w:rPr>
        <w:t>Applicability of Plan</w:t>
      </w:r>
      <w:r>
        <w:rPr>
          <w:rFonts w:ascii="Times New Roman" w:hAnsi="Times New Roman"/>
          <w:color w:val="000000"/>
          <w:sz w:val="22"/>
        </w:rPr>
        <w:t>. The PSUs and the Shares underlying the PSUs shall be subject to all of the terms and provisions of the Plan, to the extent applicable to the PSUs and the underlying Shares. In the event of any conflict between this Agreement and the Plan, the terms of the Plan shall control.</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4.12</w:t>
      </w:r>
      <w:r>
        <w:rPr>
          <w:rFonts w:ascii="Times New Roman" w:hAnsi="Times New Roman"/>
          <w:color w:val="000000"/>
          <w:sz w:val="20"/>
        </w:rPr>
        <w:t xml:space="preserve"> – </w:t>
      </w:r>
      <w:r>
        <w:rPr>
          <w:rFonts w:ascii="Times New Roman" w:hAnsi="Times New Roman"/>
          <w:color w:val="000000"/>
          <w:sz w:val="22"/>
          <w:u w:val="single"/>
        </w:rPr>
        <w:t>Amendment</w:t>
      </w:r>
      <w:r>
        <w:rPr>
          <w:rFonts w:ascii="Times New Roman" w:hAnsi="Times New Roman"/>
          <w:color w:val="000000"/>
          <w:sz w:val="22"/>
        </w:rPr>
        <w:t>. 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4.13</w:t>
      </w:r>
      <w:r>
        <w:rPr>
          <w:rFonts w:ascii="Times New Roman" w:hAnsi="Times New Roman"/>
          <w:color w:val="000000"/>
          <w:sz w:val="20"/>
        </w:rPr>
        <w:t xml:space="preserve"> – </w:t>
      </w:r>
      <w:r>
        <w:rPr>
          <w:rFonts w:ascii="Times New Roman" w:hAnsi="Times New Roman"/>
          <w:color w:val="000000"/>
          <w:sz w:val="22"/>
          <w:u w:val="single"/>
        </w:rPr>
        <w:t>Governing Law</w:t>
      </w:r>
      <w:r>
        <w:rPr>
          <w:rFonts w:ascii="Times New Roman" w:hAnsi="Times New Roman"/>
          <w:color w:val="000000"/>
          <w:sz w:val="22"/>
        </w:rPr>
        <w:t>. This Agreement shall be governed by, and construed in accordance with, the laws of Ireland without regard to its conflicts of law provisions; provided, however, that the RCA shall be governed by, and construed in accordance with, the laws specified in that agreement without regard to conflicts of law provisions.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4.14</w:t>
      </w:r>
      <w:r>
        <w:rPr>
          <w:rFonts w:ascii="Times New Roman" w:hAnsi="Times New Roman"/>
          <w:color w:val="000000"/>
          <w:sz w:val="20"/>
        </w:rPr>
        <w:t xml:space="preserve"> – </w:t>
      </w:r>
      <w:r>
        <w:rPr>
          <w:rFonts w:ascii="Times New Roman" w:hAnsi="Times New Roman"/>
          <w:color w:val="000000"/>
          <w:sz w:val="22"/>
          <w:u w:val="single"/>
        </w:rPr>
        <w:t>Venue</w:t>
      </w:r>
      <w:r>
        <w:rPr>
          <w:rFonts w:ascii="Times New Roman" w:hAnsi="Times New Roman"/>
          <w:color w:val="000000"/>
          <w:sz w:val="22"/>
        </w:rPr>
        <w:t>. 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4.15</w:t>
      </w:r>
      <w:r>
        <w:rPr>
          <w:rFonts w:ascii="Times New Roman" w:hAnsi="Times New Roman"/>
          <w:color w:val="000000"/>
          <w:sz w:val="20"/>
        </w:rPr>
        <w:t xml:space="preserve"> – </w:t>
      </w:r>
      <w:r>
        <w:rPr>
          <w:rFonts w:ascii="Times New Roman" w:hAnsi="Times New Roman"/>
          <w:color w:val="000000"/>
          <w:sz w:val="22"/>
          <w:u w:val="single"/>
        </w:rPr>
        <w:t>Electronic Delivery and Acceptance</w:t>
      </w:r>
      <w:r>
        <w:rPr>
          <w:rFonts w:ascii="Times New Roman" w:hAnsi="Times New Roman"/>
          <w:color w:val="000000"/>
          <w:sz w:val="22"/>
        </w:rPr>
        <w:t>. 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4.16</w:t>
      </w:r>
      <w:r>
        <w:rPr>
          <w:rFonts w:ascii="Times New Roman" w:hAnsi="Times New Roman"/>
          <w:color w:val="000000"/>
          <w:sz w:val="20"/>
        </w:rPr>
        <w:t xml:space="preserve"> – </w:t>
      </w:r>
      <w:r>
        <w:rPr>
          <w:rFonts w:ascii="Times New Roman" w:hAnsi="Times New Roman"/>
          <w:color w:val="000000"/>
          <w:sz w:val="22"/>
          <w:u w:val="single"/>
        </w:rPr>
        <w:t>Choice of Language</w:t>
      </w:r>
      <w:r>
        <w:rPr>
          <w:rFonts w:ascii="Times New Roman" w:hAnsi="Times New Roman"/>
          <w:color w:val="000000"/>
          <w:sz w:val="22"/>
        </w:rPr>
        <w:t>. 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4.17</w:t>
      </w:r>
      <w:r>
        <w:rPr>
          <w:rFonts w:ascii="Times New Roman" w:hAnsi="Times New Roman"/>
          <w:color w:val="000000"/>
          <w:sz w:val="20"/>
        </w:rPr>
        <w:t xml:space="preserve"> – </w:t>
      </w:r>
      <w:r>
        <w:rPr>
          <w:rFonts w:ascii="Times New Roman" w:hAnsi="Times New Roman"/>
          <w:color w:val="000000"/>
          <w:sz w:val="22"/>
          <w:u w:val="single"/>
        </w:rPr>
        <w:t>Severability</w:t>
      </w:r>
      <w:r>
        <w:rPr>
          <w:rFonts w:ascii="Times New Roman" w:hAnsi="Times New Roman"/>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4.18</w:t>
      </w:r>
      <w:r>
        <w:rPr>
          <w:rFonts w:ascii="Times New Roman" w:hAnsi="Times New Roman"/>
          <w:color w:val="000000"/>
          <w:sz w:val="20"/>
        </w:rPr>
        <w:t xml:space="preserve"> – </w:t>
      </w:r>
      <w:r>
        <w:rPr>
          <w:rFonts w:ascii="Times New Roman" w:hAnsi="Times New Roman"/>
          <w:color w:val="000000"/>
          <w:sz w:val="22"/>
          <w:u w:val="single"/>
        </w:rPr>
        <w:t>Schedule A</w:t>
      </w:r>
      <w:r>
        <w:rPr>
          <w:rFonts w:ascii="Times New Roman" w:hAnsi="Times New Roman"/>
          <w:color w:val="000000"/>
          <w:sz w:val="22"/>
        </w:rPr>
        <w:t>. The PSUs shall be subject to any special provisions set forth in Schedule A for the Colleague’s country of residence, if any. If the Colleague relocates to one of the countries included in Schedule A prior to the vesting of the PSUs, the special provisions for such country shall apply to the Colleague, to the extent the Company determines that the application of such provisions is necessary or advisable for legal or administrative reasons. Schedule A constitutes part of this Agreement.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4.19</w:t>
      </w:r>
      <w:r>
        <w:rPr>
          <w:rFonts w:ascii="Times New Roman" w:hAnsi="Times New Roman"/>
          <w:color w:val="000000"/>
          <w:sz w:val="20"/>
        </w:rPr>
        <w:t xml:space="preserve"> – </w:t>
      </w:r>
      <w:r>
        <w:rPr>
          <w:rFonts w:ascii="Times New Roman" w:hAnsi="Times New Roman"/>
          <w:color w:val="000000"/>
          <w:sz w:val="22"/>
          <w:u w:val="single"/>
        </w:rPr>
        <w:t>Imposition of Other Requirements</w:t>
      </w:r>
      <w:r>
        <w:rPr>
          <w:rFonts w:ascii="Times New Roman" w:hAnsi="Times New Roman"/>
          <w:color w:val="000000"/>
          <w:sz w:val="22"/>
        </w:rPr>
        <w:t>. The Company reserves the right to impose other requirements on the PSUs and the Shares acquired upon vesting of the PSUs, to the extent the Company determines it is necessary or advisable for legal or administrative reasons, and to require the Colleague to sign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4.20</w:t>
      </w:r>
      <w:r>
        <w:rPr>
          <w:rFonts w:ascii="Times New Roman" w:hAnsi="Times New Roman"/>
          <w:color w:val="000000"/>
          <w:sz w:val="20"/>
        </w:rPr>
        <w:t xml:space="preserve"> – </w:t>
      </w:r>
      <w:r>
        <w:rPr>
          <w:rFonts w:ascii="Times New Roman" w:hAnsi="Times New Roman"/>
          <w:color w:val="000000"/>
          <w:sz w:val="22"/>
          <w:u w:val="single"/>
        </w:rPr>
        <w:t>Insider Trading / Market Abuse Laws</w:t>
      </w:r>
      <w:r>
        <w:rPr>
          <w:rFonts w:ascii="Times New Roman" w:hAnsi="Times New Roman"/>
          <w:color w:val="000000"/>
          <w:sz w:val="22"/>
        </w:rPr>
        <w:t>. 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hAnsi="Times New Roman"/>
          <w:i/>
          <w:color w:val="000000"/>
          <w:sz w:val="22"/>
        </w:rPr>
        <w:t>e.g.</w:t>
      </w:r>
      <w:r>
        <w:rPr>
          <w:rFonts w:ascii="Times New Roman" w:hAnsi="Times New Roman"/>
          <w:color w:val="000000"/>
          <w:sz w:val="22"/>
        </w:rPr>
        <w:t>, PSUs)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including, for the avoidance of doubt, the Company’s Insider Trading Policy, as may be in effect from time to time.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4.21</w:t>
      </w:r>
      <w:r>
        <w:rPr>
          <w:rFonts w:ascii="Times New Roman" w:hAnsi="Times New Roman"/>
          <w:color w:val="000000"/>
          <w:sz w:val="20"/>
        </w:rPr>
        <w:t xml:space="preserve"> – </w:t>
      </w:r>
      <w:r>
        <w:rPr>
          <w:rFonts w:ascii="Times New Roman" w:hAnsi="Times New Roman"/>
          <w:color w:val="000000"/>
          <w:sz w:val="22"/>
          <w:u w:val="single"/>
        </w:rPr>
        <w:t>Foreign Asset/Account Reporting Requirements and Exchange Controls</w:t>
      </w:r>
      <w:r>
        <w:rPr>
          <w:rFonts w:ascii="Times New Roman" w:hAnsi="Times New Roman"/>
          <w:color w:val="000000"/>
          <w:sz w:val="22"/>
        </w:rPr>
        <w:t>. 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4.22</w:t>
      </w:r>
      <w:r>
        <w:rPr>
          <w:rFonts w:ascii="Times New Roman" w:hAnsi="Times New Roman"/>
          <w:color w:val="000000"/>
          <w:sz w:val="20"/>
        </w:rPr>
        <w:t xml:space="preserve"> – </w:t>
      </w:r>
      <w:r>
        <w:rPr>
          <w:rFonts w:ascii="Times New Roman" w:hAnsi="Times New Roman"/>
          <w:color w:val="000000"/>
          <w:sz w:val="22"/>
          <w:u w:val="single"/>
        </w:rPr>
        <w:t>Currency Exchange Risk</w:t>
      </w:r>
      <w:r>
        <w:rPr>
          <w:rFonts w:ascii="Times New Roman" w:hAnsi="Times New Roman"/>
          <w:color w:val="000000"/>
          <w:sz w:val="22"/>
        </w:rPr>
        <w:t>. Neither the Company, the Employer nor any Subsidiary or Designated Associate Company shall be liable for any foreign exchange rate fluctuation between the Colleague’s local currency and the United States Dollar that may affect the value of the PSUs or of any amounts due to the Colleague pursuant to the settlement of the PSUs or the subsequent sale of any Shares acquired upon settlement.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4.23</w:t>
      </w:r>
      <w:r>
        <w:rPr>
          <w:rFonts w:ascii="Times New Roman" w:hAnsi="Times New Roman"/>
          <w:color w:val="000000"/>
          <w:sz w:val="20"/>
        </w:rPr>
        <w:t xml:space="preserve"> – </w:t>
      </w:r>
      <w:r>
        <w:rPr>
          <w:rFonts w:ascii="Times New Roman" w:hAnsi="Times New Roman"/>
          <w:color w:val="000000"/>
          <w:sz w:val="22"/>
          <w:u w:val="single"/>
        </w:rPr>
        <w:t>Waiver</w:t>
      </w:r>
      <w:r>
        <w:rPr>
          <w:rFonts w:ascii="Times New Roman" w:hAnsi="Times New Roman"/>
          <w:color w:val="000000"/>
          <w:sz w:val="22"/>
        </w:rPr>
        <w:t>. 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4.24</w:t>
      </w:r>
      <w:r>
        <w:rPr>
          <w:rFonts w:ascii="Times New Roman" w:hAnsi="Times New Roman"/>
          <w:color w:val="000000"/>
          <w:sz w:val="20"/>
        </w:rPr>
        <w:t xml:space="preserve"> – </w:t>
      </w:r>
      <w:r>
        <w:rPr>
          <w:rFonts w:ascii="Times New Roman" w:hAnsi="Times New Roman"/>
          <w:color w:val="000000"/>
          <w:sz w:val="22"/>
          <w:u w:val="single"/>
        </w:rPr>
        <w:t>Counterparts</w:t>
      </w:r>
      <w:r>
        <w:rPr>
          <w:rFonts w:ascii="Times New Roman" w:hAnsi="Times New Roman"/>
          <w:color w:val="000000"/>
          <w:sz w:val="22"/>
        </w:rPr>
        <w:t>. This Agreement may be executed in any number of counterparts, each of which shall be deemed to be an original and all of which together shall constitute one and the same instrument.</w:t>
      </w:r>
    </w:p>
    <w:p>
      <w:pPr>
        <w:pStyle w:val="TextBody"/>
        <w:bidi w:val="0"/>
        <w:spacing w:before="0" w:after="240"/>
        <w:jc w:val="both"/>
        <w:rPr>
          <w:rFonts w:ascii="Times New Roman" w:hAnsi="Times New Roman"/>
          <w:sz w:val="20"/>
        </w:rPr>
      </w:pPr>
      <w:r>
        <w:rPr>
          <w:rFonts w:ascii="Times New Roman" w:hAnsi="Times New Roman"/>
          <w:color w:val="000000"/>
          <w:sz w:val="22"/>
          <w:u w:val="single"/>
        </w:rPr>
        <w:t>Section 4.25</w:t>
      </w:r>
      <w:r>
        <w:rPr>
          <w:rFonts w:ascii="Times New Roman" w:hAnsi="Times New Roman"/>
          <w:color w:val="000000"/>
          <w:sz w:val="20"/>
        </w:rPr>
        <w:t xml:space="preserve"> – </w:t>
      </w:r>
      <w:r>
        <w:rPr>
          <w:rFonts w:ascii="Times New Roman" w:hAnsi="Times New Roman"/>
          <w:color w:val="000000"/>
          <w:sz w:val="22"/>
          <w:u w:val="single"/>
        </w:rPr>
        <w:t>Code Section 409A</w:t>
      </w:r>
      <w:r>
        <w:rPr>
          <w:rFonts w:ascii="Times New Roman" w:hAnsi="Times New Roman"/>
          <w:color w:val="000000"/>
          <w:sz w:val="22"/>
        </w:rPr>
        <w:t>. For purposes of United States taxpayers, it is intended that the terms of the PSUs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PSUs that are intended to be exempt from, or compliant with, Section 409A of the Code are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pStyle w:val="Heading2"/>
        <w:bidi w:val="0"/>
        <w:jc w:val="center"/>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Remainder of page intentionally blank</w:t>
      </w:r>
      <w:r>
        <w:rPr>
          <w:rFonts w:ascii="Times New Roman" w:hAnsi="Times New Roman"/>
          <w:b w:val="false"/>
          <w:color w:val="000000"/>
          <w:sz w:val="22"/>
        </w:rPr>
        <w:t>]</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aps/>
          <w:color w:val="000000"/>
          <w:sz w:val="22"/>
          <w:u w:val="single"/>
        </w:rPr>
      </w:pPr>
      <w:r>
        <w:rPr>
          <w:rFonts w:ascii="Times New Roman" w:hAnsi="Times New Roman"/>
          <w:b/>
          <w:caps/>
          <w:color w:val="000000"/>
          <w:sz w:val="22"/>
          <w:u w:val="single"/>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COUNTRY-SPECIFIC APPENDIX TO RESTRICTED SHARE UNIT AWARD AGREEMENT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(Performance-Based Restricted Share Units)</w:t>
      </w:r>
    </w:p>
    <w:p>
      <w:pPr>
        <w:pStyle w:val="TextBody"/>
        <w:bidi w:val="0"/>
        <w:jc w:val="center"/>
        <w:rPr>
          <w:rFonts w:ascii="Times New Roman" w:hAnsi="Times New Roman"/>
          <w:sz w:val="20"/>
        </w:rPr>
      </w:pPr>
      <w:r>
        <w:rPr>
          <w:rFonts w:ascii="Times New Roman" w:hAnsi="Times New Roman"/>
          <w:b/>
          <w:caps/>
          <w:color w:val="000000"/>
          <w:sz w:val="22"/>
        </w:rPr>
        <w:t>WILLIS TOWERS WATSON PUBLIC LIMITED COMPANY</w:t>
      </w:r>
      <w:r>
        <w:rPr>
          <w:rFonts w:ascii="Times New Roman" w:hAnsi="Times New Roman"/>
          <w:caps/>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2012 EQUITY INCENTIVE PLAN, AS AMENDED AND RESTATED</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Capitalized terms used but not defined herein shall have the meanings ascribed to them in the Agreement or the Plan.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both"/>
        <w:rPr>
          <w:rFonts w:ascii="Times New Roman" w:hAnsi="Times New Roman"/>
          <w:sz w:val="20"/>
        </w:rPr>
      </w:pPr>
      <w:r>
        <w:rPr>
          <w:rFonts w:ascii="Times New Roman" w:hAnsi="Times New Roman"/>
          <w:color w:val="000000"/>
          <w:sz w:val="22"/>
        </w:rPr>
        <w:t>This Schedule A includes additional terms and conditions that govern the PSUs granted to the Colleague under the Willis Towers Watson Public Limited Company 2012 Equity Incentive Plan, as amended from time to time (the “</w:t>
      </w:r>
      <w:r>
        <w:rPr>
          <w:rFonts w:ascii="Times New Roman" w:hAnsi="Times New Roman"/>
          <w:color w:val="000000"/>
          <w:sz w:val="22"/>
          <w:u w:val="single"/>
        </w:rPr>
        <w:t>Plan</w:t>
      </w:r>
      <w:r>
        <w:rPr>
          <w:rFonts w:ascii="Times New Roman" w:hAnsi="Times New Roman"/>
          <w:color w:val="000000"/>
          <w:sz w:val="20"/>
        </w:rPr>
        <w:t>”</w:t>
      </w:r>
      <w:r>
        <w:rPr>
          <w:rFonts w:ascii="Times New Roman" w:hAnsi="Times New Roman"/>
          <w:color w:val="000000"/>
          <w:sz w:val="22"/>
        </w:rPr>
        <w:t>) and the applicable Performance-Based Restricted Share Unit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if the Colleague resides in one of the countries listed below. This Schedule A forms part of the Agreement. Capitalized terms used but not defined herein shall have the meanings ascribed to them in the Agreement or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Section 1.20 and Section 2.5(b) of the Agreement, if the Company receives a legal opinion that there has been a legal judgment and/or legal development in the Colleague’s jurisdiction that likely would result in the favorable treatment that applies to the PSUs as a result of the Colleague’s retirement or reaching a certain age being unlawful and/or discriminatory, the favorable treatment contemplated under Section 1.20 and Section 2.5(b) shall not apply and Section 2.5 shall apply to the Colleague without giving effect to Section 2.5(b).</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Schedule A also includes information based on the securities, exchange control and other laws in effect in the Colleague’s country as of March 2026.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PSUs vest under the Plan.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the information is general in nature. The Company is not providing the Colleague with any tax advice with respect to the PSUs. The information provided below may not apply to the Colleague’s particular situation, and the Company is not in a position to assure the Colleague of any particular result. </w:t>
      </w:r>
      <w:r>
        <w:rPr>
          <w:rFonts w:ascii="Times New Roman" w:hAnsi="Times New Roman"/>
          <w:i/>
          <w:color w:val="000000"/>
          <w:sz w:val="22"/>
        </w:rPr>
        <w:t>Accordingly, the Colleague should seek appropriate professional advice as to how the tax or other laws in the Colleague’s country apply to the Colleague’s situation.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aps/>
          <w:color w:val="000000"/>
          <w:sz w:val="22"/>
          <w:u w:val="single"/>
        </w:rPr>
      </w:pPr>
      <w:r>
        <w:rPr>
          <w:rFonts w:ascii="Times New Roman" w:hAnsi="Times New Roman"/>
          <w:b/>
          <w:caps/>
          <w:color w:val="000000"/>
          <w:sz w:val="22"/>
          <w:u w:val="single"/>
        </w:rPr>
        <w:t>IRELAND</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Settlement</w:t>
      </w:r>
      <w:r>
        <w:rPr>
          <w:rFonts w:ascii="Times New Roman" w:hAnsi="Times New Roman"/>
          <w:color w:val="000000"/>
          <w:sz w:val="22"/>
        </w:rPr>
        <w:t>. This provision supplements Section 2.6(a) of the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discretion in the Plan or anything to the contrary in the Agreement, the PSUs do not provide any right for the Colleague to receive a cash payment and the PSUs will be settled in Shares only.</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Director Reporting Obligation</w:t>
      </w:r>
      <w:r>
        <w:rPr>
          <w:rFonts w:ascii="Times New Roman" w:hAnsi="Times New Roman"/>
          <w:color w:val="000000"/>
          <w:sz w:val="22"/>
        </w:rPr>
        <w:t>. If the Colleague is a director, shadow director (described below) or secretary of the Company or an Irish Subsidiary, they must notify the Company or the Irish Subsidiary in writing if the Colleague receives or disposes of an interest exceeding 1% of the Company (</w:t>
      </w:r>
      <w:r>
        <w:rPr>
          <w:rFonts w:ascii="Times New Roman" w:hAnsi="Times New Roman"/>
          <w:i/>
          <w:color w:val="000000"/>
          <w:sz w:val="22"/>
        </w:rPr>
        <w:t>e.g</w:t>
      </w:r>
      <w:r>
        <w:rPr>
          <w:rFonts w:ascii="Times New Roman" w:hAnsi="Times New Roman"/>
          <w:color w:val="000000"/>
          <w:sz w:val="22"/>
        </w:rPr>
        <w:t>., PSUs,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shadow director is an individual who is not on the board of directors of the Company or an Irish Subsidiary but who has sufficient control so that the board of directors of the Company or Irish Subsidiary, as applicable, acts in accordance with the directions and instructions of the individual.</w:t>
      </w:r>
    </w:p>
    <w:p>
      <w:pPr>
        <w:pStyle w:val="TextBody"/>
        <w:bidi w:val="0"/>
        <w:spacing w:before="0" w:after="240"/>
        <w:jc w:val="left"/>
        <w:rPr>
          <w:rFonts w:ascii="Times New Roman" w:hAnsi="Times New Roman"/>
          <w:b/>
          <w:caps/>
          <w:color w:val="000000"/>
          <w:sz w:val="22"/>
          <w:u w:val="single"/>
        </w:rPr>
      </w:pPr>
      <w:r>
        <w:rPr>
          <w:rFonts w:ascii="Times New Roman" w:hAnsi="Times New Roman"/>
          <w:b/>
          <w:caps/>
          <w:color w:val="000000"/>
          <w:sz w:val="22"/>
          <w:u w:val="single"/>
        </w:rPr>
        <w:t>United Kingdom</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Terms and Conditions</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PSU Payment</w:t>
      </w:r>
    </w:p>
    <w:p>
      <w:pPr>
        <w:pStyle w:val="TextBody"/>
        <w:bidi w:val="0"/>
        <w:spacing w:before="0" w:after="240"/>
        <w:jc w:val="left"/>
        <w:rPr>
          <w:rFonts w:ascii="Times New Roman" w:hAnsi="Times New Roman"/>
          <w:sz w:val="20"/>
        </w:rPr>
      </w:pPr>
      <w:r>
        <w:rPr>
          <w:rFonts w:ascii="Times New Roman" w:hAnsi="Times New Roman"/>
          <w:color w:val="000000"/>
          <w:sz w:val="22"/>
          <w:u w:val="single"/>
        </w:rPr>
        <w:t>Settlement</w:t>
      </w:r>
      <w:r>
        <w:rPr>
          <w:rFonts w:ascii="Times New Roman" w:hAnsi="Times New Roman"/>
          <w:color w:val="000000"/>
          <w:sz w:val="22"/>
        </w:rPr>
        <w:t>. This provision supplements Section 2.6(a) of the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Notwithstanding any discretion in the Plan or anything to the contrary in the Agreement, the PSUs do not provide any right for the Colleague to receive a cash payment and the PSUs will be settled in Shares only.</w:t>
      </w:r>
    </w:p>
    <w:p>
      <w:pPr>
        <w:pStyle w:val="TextBody"/>
        <w:bidi w:val="0"/>
        <w:spacing w:before="0" w:after="240"/>
        <w:jc w:val="left"/>
        <w:rPr>
          <w:rFonts w:ascii="Times New Roman" w:hAnsi="Times New Roman"/>
          <w:sz w:val="20"/>
        </w:rPr>
      </w:pPr>
      <w:r>
        <w:rPr>
          <w:rFonts w:ascii="Times New Roman" w:hAnsi="Times New Roman"/>
          <w:color w:val="000000"/>
          <w:sz w:val="22"/>
          <w:u w:val="single"/>
        </w:rPr>
        <w:t>Tax Withholding</w:t>
      </w:r>
      <w:r>
        <w:rPr>
          <w:rFonts w:ascii="Times New Roman" w:hAnsi="Times New Roman"/>
          <w:color w:val="000000"/>
          <w:sz w:val="22"/>
        </w:rPr>
        <w:t>. The following provisions supplement Section 2.8 of the Agreement:</w:t>
      </w:r>
    </w:p>
    <w:p>
      <w:pPr>
        <w:pStyle w:val="TextBody"/>
        <w:bidi w:val="0"/>
        <w:spacing w:before="0" w:after="240"/>
        <w:jc w:val="both"/>
        <w:rPr>
          <w:rFonts w:ascii="Times New Roman" w:hAnsi="Times New Roman"/>
          <w:sz w:val="20"/>
        </w:rPr>
      </w:pPr>
      <w:r>
        <w:rPr>
          <w:rFonts w:ascii="Times New Roman" w:hAnsi="Times New Roman"/>
          <w:color w:val="000000"/>
          <w:sz w:val="22"/>
        </w:rPr>
        <w:t>Without limitation to Section 2.8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2.8 of the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UNITED STATES OF AMERICA</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Notifications</w:t>
      </w:r>
    </w:p>
    <w:p>
      <w:pPr>
        <w:pStyle w:val="TextBody"/>
        <w:bidi w:val="0"/>
        <w:spacing w:before="0" w:after="240"/>
        <w:jc w:val="both"/>
        <w:rPr>
          <w:rFonts w:ascii="Times New Roman" w:hAnsi="Times New Roman"/>
          <w:sz w:val="20"/>
        </w:rPr>
      </w:pPr>
      <w:r>
        <w:rPr>
          <w:rFonts w:ascii="Times New Roman" w:hAnsi="Times New Roman"/>
          <w:color w:val="000000"/>
          <w:sz w:val="22"/>
          <w:u w:val="single"/>
        </w:rPr>
        <w:t>Exchange Control Information</w:t>
      </w:r>
      <w:r>
        <w:rPr>
          <w:rFonts w:ascii="Times New Roman" w:hAnsi="Times New Roman"/>
          <w:color w:val="000000"/>
          <w:sz w:val="22"/>
        </w:rPr>
        <w:t>. Under the Foreign Account Tax Compliance Act (“</w:t>
      </w:r>
      <w:r>
        <w:rPr>
          <w:rFonts w:ascii="Times New Roman" w:hAnsi="Times New Roman"/>
          <w:color w:val="000000"/>
          <w:sz w:val="22"/>
          <w:u w:val="single"/>
        </w:rPr>
        <w:t>FATCA</w:t>
      </w:r>
      <w:r>
        <w:rPr>
          <w:rFonts w:ascii="Times New Roman" w:hAnsi="Times New Roman"/>
          <w:color w:val="000000"/>
          <w:sz w:val="20"/>
        </w:rPr>
        <w:t>”</w:t>
      </w:r>
      <w:r>
        <w:rPr>
          <w:rFonts w:ascii="Times New Roman" w:hAnsi="Times New Roman"/>
          <w:color w:val="000000"/>
          <w:sz w:val="22"/>
        </w:rPr>
        <w:t>), United States taxpayers who hold Shares or rights to acquire Shares (</w:t>
      </w:r>
      <w:r>
        <w:rPr>
          <w:rFonts w:ascii="Times New Roman" w:hAnsi="Times New Roman"/>
          <w:i/>
          <w:color w:val="000000"/>
          <w:sz w:val="22"/>
        </w:rPr>
        <w:t>i.e</w:t>
      </w:r>
      <w:r>
        <w:rPr>
          <w:rFonts w:ascii="Times New Roman" w:hAnsi="Times New Roman"/>
          <w:color w:val="000000"/>
          <w:sz w:val="22"/>
        </w:rPr>
        <w:t>., PSUs) may be required to report certain information related to their holdings to the extent the aggregate value of the PSUs/Shares exceeds certain thresholds (depending on the Colleague’s filing status) with the Colleague’s annual tax return. The Colleague should consult with their personal tax or legal advisor regarding any FATCA reporting requirements with respect to the PSUs or any Shares acquired under the Plan.</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SCHEDULE B</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[Confidential and Proprietary Information Intentionally Omitted]</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u w:val="single"/>
        </w:rPr>
      </w:pPr>
      <w:r>
        <w:rPr>
          <w:rFonts w:ascii="Times New Roman" w:hAnsi="Times New Roman"/>
          <w:b/>
          <w:color w:val="000000"/>
          <w:sz w:val="22"/>
          <w:u w:val="single"/>
        </w:rPr>
        <w:t>SCHEDULE C</w:t>
      </w:r>
    </w:p>
    <w:p>
      <w:pPr>
        <w:pStyle w:val="TextBody"/>
        <w:bidi w:val="0"/>
        <w:jc w:val="center"/>
        <w:rPr>
          <w:rFonts w:ascii="Times New Roman" w:hAnsi="Times New Roman"/>
          <w:b/>
          <w:color w:val="6F2F9F"/>
          <w:sz w:val="22"/>
        </w:rPr>
      </w:pPr>
      <w:r>
        <w:rPr>
          <w:rFonts w:ascii="Times New Roman" w:hAnsi="Times New Roman"/>
          <w:b/>
          <w:color w:val="6F2F9F"/>
          <w:sz w:val="22"/>
        </w:rPr>
        <w:t>Willis Towers Watson</w:t>
      </w:r>
    </w:p>
    <w:p>
      <w:pPr>
        <w:pStyle w:val="TextBody"/>
        <w:bidi w:val="0"/>
        <w:spacing w:before="0" w:after="240"/>
        <w:jc w:val="center"/>
        <w:rPr>
          <w:rFonts w:ascii="Times New Roman" w:hAnsi="Times New Roman"/>
          <w:b/>
          <w:color w:val="6F2F9F"/>
          <w:sz w:val="22"/>
        </w:rPr>
      </w:pPr>
      <w:r>
        <w:rPr>
          <w:rFonts w:ascii="Times New Roman" w:hAnsi="Times New Roman"/>
          <w:b/>
          <w:color w:val="6F2F9F"/>
          <w:sz w:val="22"/>
        </w:rPr>
        <w:t>Global Employee Personal Information Protection Notice</w:t>
      </w:r>
    </w:p>
    <w:p>
      <w:pPr>
        <w:pStyle w:val="TextBody"/>
        <w:bidi w:val="0"/>
        <w:spacing w:before="0" w:after="240"/>
        <w:jc w:val="right"/>
        <w:rPr>
          <w:rFonts w:ascii="Times New Roman" w:hAnsi="Times New Roman"/>
          <w:sz w:val="20"/>
        </w:rPr>
      </w:pPr>
      <w:r>
        <w:rPr>
          <w:rFonts w:ascii="Times New Roman" w:hAnsi="Times New Roman"/>
          <w:b/>
          <w:color w:val="000000"/>
          <w:sz w:val="22"/>
          <w:u w:val="single"/>
        </w:rPr>
        <w:t>Last Updated</w:t>
      </w:r>
      <w:r>
        <w:rPr>
          <w:rFonts w:ascii="Times New Roman" w:hAnsi="Times New Roman"/>
          <w:b/>
          <w:color w:val="000000"/>
          <w:sz w:val="22"/>
        </w:rPr>
        <w:t>: December 2025</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1.</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Introduction</w:t>
      </w:r>
    </w:p>
    <w:p>
      <w:pPr>
        <w:pStyle w:val="TextBody"/>
        <w:bidi w:val="0"/>
        <w:spacing w:before="0" w:after="240"/>
        <w:jc w:val="both"/>
        <w:rPr>
          <w:rFonts w:ascii="Times New Roman" w:hAnsi="Times New Roman"/>
          <w:sz w:val="20"/>
        </w:rPr>
      </w:pPr>
      <w:r>
        <w:rPr>
          <w:rFonts w:ascii="Times New Roman" w:hAnsi="Times New Roman"/>
          <w:color w:val="000000"/>
          <w:sz w:val="22"/>
        </w:rPr>
        <w:t>Willis Towers Watson operates as a global business through its affiliated entities (together “</w:t>
      </w:r>
      <w:r>
        <w:rPr>
          <w:rFonts w:ascii="Times New Roman" w:hAnsi="Times New Roman"/>
          <w:b/>
          <w:color w:val="000000"/>
          <w:sz w:val="22"/>
        </w:rPr>
        <w:t>the Willis Towers Watson Group</w:t>
      </w:r>
      <w:r>
        <w:rPr>
          <w:rFonts w:ascii="Times New Roman" w:hAnsi="Times New Roman"/>
          <w:color w:val="000000"/>
          <w:sz w:val="20"/>
        </w:rPr>
        <w:t>”</w:t>
      </w:r>
      <w:r>
        <w:rPr>
          <w:rFonts w:ascii="Times New Roman" w:hAnsi="Times New Roman"/>
          <w:color w:val="000000"/>
          <w:sz w:val="22"/>
        </w:rPr>
        <w:t>, “WTW”). The WTW values the trust of its employees worldwide and is committed to protecting their personal information.</w:t>
      </w:r>
    </w:p>
    <w:p>
      <w:pPr>
        <w:pStyle w:val="TextBody"/>
        <w:bidi w:val="0"/>
        <w:spacing w:before="0" w:after="240"/>
        <w:jc w:val="both"/>
        <w:rPr>
          <w:rFonts w:ascii="Times New Roman" w:hAnsi="Times New Roman"/>
          <w:sz w:val="20"/>
        </w:rPr>
      </w:pPr>
      <w:r>
        <w:rPr>
          <w:rFonts w:ascii="Times New Roman" w:hAnsi="Times New Roman"/>
          <w:color w:val="000000"/>
          <w:sz w:val="22"/>
        </w:rPr>
        <w:t>WTW operates in many different countries. Some of these countries have laws related to the collection, use, transfer and disclosure of the personal information of individuals, including our employees. The purpose of this Global Employee Personal Information Protection Notice (the “</w:t>
      </w:r>
      <w:r>
        <w:rPr>
          <w:rFonts w:ascii="Times New Roman" w:hAnsi="Times New Roman"/>
          <w:b/>
          <w:color w:val="000000"/>
          <w:sz w:val="22"/>
        </w:rPr>
        <w:t>Notice</w:t>
      </w:r>
      <w:r>
        <w:rPr>
          <w:rFonts w:ascii="Times New Roman" w:hAnsi="Times New Roman"/>
          <w:color w:val="000000"/>
          <w:sz w:val="20"/>
        </w:rPr>
        <w:t>”</w:t>
      </w:r>
      <w:r>
        <w:rPr>
          <w:rFonts w:ascii="Times New Roman" w:hAnsi="Times New Roman"/>
          <w:color w:val="000000"/>
          <w:sz w:val="22"/>
        </w:rPr>
        <w:t>) is to give you information about what personal information WTW collects, uses, transfers and discloses, and why.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WTW entity is responsible for collecting and processing your personal data is the entity that employs you. WTW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2.</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What Personal Information about you that we collect, and how we collect Your Personal Information</w:t>
      </w:r>
    </w:p>
    <w:p>
      <w:pPr>
        <w:pStyle w:val="TextBody"/>
        <w:bidi w:val="0"/>
        <w:spacing w:before="0" w:after="240"/>
        <w:jc w:val="both"/>
        <w:rPr>
          <w:rFonts w:ascii="Times New Roman" w:hAnsi="Times New Roman"/>
          <w:sz w:val="20"/>
        </w:rPr>
      </w:pPr>
      <w:r>
        <w:rPr>
          <w:rFonts w:ascii="Times New Roman" w:hAnsi="Times New Roman"/>
          <w:color w:val="000000"/>
          <w:sz w:val="22"/>
        </w:rPr>
        <w:t>In the course of your employment, we may have collected or will collect information about you and your working relationship with us, your spouse, domestic/civil partner and/or dependents (“</w:t>
      </w:r>
      <w:r>
        <w:rPr>
          <w:rFonts w:ascii="Times New Roman" w:hAnsi="Times New Roman"/>
          <w:b/>
          <w:color w:val="000000"/>
          <w:sz w:val="22"/>
        </w:rPr>
        <w:t>Dependents</w:t>
      </w:r>
      <w:r>
        <w:rPr>
          <w:rFonts w:ascii="Times New Roman" w:hAnsi="Times New Roman"/>
          <w:color w:val="000000"/>
          <w:sz w:val="20"/>
        </w:rPr>
        <w:t>”</w:t>
      </w:r>
      <w:r>
        <w:rPr>
          <w:rFonts w:ascii="Times New Roman" w:hAnsi="Times New Roman"/>
          <w:color w:val="000000"/>
          <w:sz w:val="22"/>
        </w:rPr>
        <w:t>).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WTW intranet site may provide additional details or information.</w:t>
      </w:r>
    </w:p>
    <w:p>
      <w:pPr>
        <w:pStyle w:val="TextBody"/>
        <w:bidi w:val="0"/>
        <w:spacing w:before="0" w:after="240"/>
        <w:jc w:val="both"/>
        <w:rPr>
          <w:rFonts w:ascii="Times New Roman" w:hAnsi="Times New Roman"/>
          <w:sz w:val="20"/>
        </w:rPr>
      </w:pPr>
      <w:r>
        <w:rPr>
          <w:rFonts w:ascii="Times New Roman" w:hAnsi="Times New Roman"/>
          <w:color w:val="2E2C30"/>
          <w:sz w:val="22"/>
        </w:rPr>
        <w:t xml:space="preserve">We may also collect additional Personal Information in operating our business and interacting with individuals in the course of our business, including employment. This may at times include “sensitive" information (otherwise known as “special categories of personal information” under the </w:t>
      </w:r>
      <w:r>
        <w:rPr>
          <w:rFonts w:ascii="Times New Roman" w:hAnsi="Times New Roman"/>
          <w:color w:val="000000"/>
          <w:sz w:val="22"/>
        </w:rPr>
        <w:t>General Data Protection Regulation (“</w:t>
      </w:r>
      <w:r>
        <w:rPr>
          <w:rFonts w:ascii="Times New Roman" w:hAnsi="Times New Roman"/>
          <w:b/>
          <w:color w:val="2E2C30"/>
          <w:sz w:val="22"/>
        </w:rPr>
        <w:t>GDPR</w:t>
      </w:r>
      <w:r>
        <w:rPr>
          <w:rFonts w:ascii="Times New Roman" w:hAnsi="Times New Roman"/>
          <w:color w:val="2E2C30"/>
          <w:sz w:val="20"/>
        </w:rPr>
        <w:t>”</w:t>
      </w:r>
      <w:r>
        <w:rPr>
          <w:rFonts w:ascii="Times New Roman" w:hAnsi="Times New Roman"/>
          <w:color w:val="2E2C30"/>
          <w:sz w:val="22"/>
        </w:rPr>
        <w:t>), “sensitive data” under t</w:t>
      </w:r>
      <w:r>
        <w:rPr>
          <w:rFonts w:ascii="Times New Roman" w:hAnsi="Times New Roman"/>
          <w:color w:val="000000"/>
          <w:sz w:val="22"/>
        </w:rPr>
        <w:t>he Saudi Arabian Personal Data Protection Law (“</w:t>
      </w:r>
      <w:r>
        <w:rPr>
          <w:rFonts w:ascii="Times New Roman" w:hAnsi="Times New Roman"/>
          <w:b/>
          <w:color w:val="000000"/>
          <w:sz w:val="22"/>
        </w:rPr>
        <w:t>PDPL</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2E2C30"/>
          <w:sz w:val="22"/>
        </w:rPr>
        <w:t>, “sensitive personal data” under the Cayman Islands Data Protection Law (“</w:t>
      </w:r>
      <w:r>
        <w:rPr>
          <w:rFonts w:ascii="Times New Roman" w:hAnsi="Times New Roman"/>
          <w:b/>
          <w:color w:val="2E2C30"/>
          <w:sz w:val="22"/>
        </w:rPr>
        <w:t>DPL</w:t>
      </w:r>
      <w:r>
        <w:rPr>
          <w:rFonts w:ascii="Times New Roman" w:hAnsi="Times New Roman"/>
          <w:color w:val="2E2C30"/>
          <w:sz w:val="20"/>
        </w:rPr>
        <w:t>”</w:t>
      </w:r>
      <w:r>
        <w:rPr>
          <w:rFonts w:ascii="Times New Roman" w:hAnsi="Times New Roman"/>
          <w:color w:val="2E2C30"/>
          <w:sz w:val="22"/>
        </w:rPr>
        <w:t>), or “sensitive personal information” under the California Consumer Privacy Act (“</w:t>
      </w:r>
      <w:r>
        <w:rPr>
          <w:rFonts w:ascii="Times New Roman" w:hAnsi="Times New Roman"/>
          <w:b/>
          <w:color w:val="2E2C30"/>
          <w:sz w:val="22"/>
        </w:rPr>
        <w:t>CCPA</w:t>
      </w:r>
      <w:r>
        <w:rPr>
          <w:rFonts w:ascii="Times New Roman" w:hAnsi="Times New Roman"/>
          <w:color w:val="2E2C30"/>
          <w:sz w:val="20"/>
        </w:rPr>
        <w:t>”</w:t>
      </w:r>
      <w:r>
        <w:rPr>
          <w:rFonts w:ascii="Times New Roman" w:hAnsi="Times New Roman"/>
          <w:color w:val="2E2C30"/>
          <w:sz w:val="22"/>
        </w:rPr>
        <w:t>) and Bermuda’s Personal Information Protection Act 2016 (“</w:t>
      </w:r>
      <w:r>
        <w:rPr>
          <w:rFonts w:ascii="Times New Roman" w:hAnsi="Times New Roman"/>
          <w:b/>
          <w:color w:val="2E2C30"/>
          <w:sz w:val="22"/>
        </w:rPr>
        <w:t>PIPA</w:t>
      </w:r>
      <w:r>
        <w:rPr>
          <w:rFonts w:ascii="Times New Roman" w:hAnsi="Times New Roman"/>
          <w:color w:val="2E2C30"/>
          <w:sz w:val="20"/>
        </w:rPr>
        <w:t>”</w:t>
      </w:r>
      <w:r>
        <w:rPr>
          <w:rFonts w:ascii="Times New Roman" w:hAnsi="Times New Roman"/>
          <w:color w:val="2E2C30"/>
          <w:sz w:val="22"/>
        </w:rPr>
        <w:t>)), the Brazilian General Data Protection Law (“</w:t>
      </w:r>
      <w:r>
        <w:rPr>
          <w:rFonts w:ascii="Times New Roman" w:hAnsi="Times New Roman"/>
          <w:b/>
          <w:color w:val="2E2C30"/>
          <w:sz w:val="22"/>
        </w:rPr>
        <w:t>LGPD</w:t>
      </w:r>
      <w:r>
        <w:rPr>
          <w:rFonts w:ascii="Times New Roman" w:hAnsi="Times New Roman"/>
          <w:color w:val="2E2C30"/>
          <w:sz w:val="20"/>
        </w:rPr>
        <w:t>”</w:t>
      </w:r>
      <w:r>
        <w:rPr>
          <w:rFonts w:ascii="Times New Roman" w:hAnsi="Times New Roman"/>
          <w:color w:val="2E2C30"/>
          <w:sz w:val="22"/>
        </w:rPr>
        <w:t>), and other data privacy laws as may be applicable, such as data about your ethnic origin; religious beliefs; health records or criminal conviction data; physical or mental health or condition; medical data; commission, or alleged commission of an offense; any proceedings for an offense committed, or alleged to have been committed. Where required by law, we will provide specific data processing information to you regarding how we may process that data and what rights you may have regarding such processing.</w:t>
      </w:r>
    </w:p>
    <w:p>
      <w:pPr>
        <w:pStyle w:val="TextBody"/>
        <w:bidi w:val="0"/>
        <w:spacing w:before="0" w:after="240"/>
        <w:jc w:val="both"/>
        <w:rPr>
          <w:rFonts w:ascii="Times New Roman" w:hAnsi="Times New Roman"/>
          <w:color w:val="2E2C30"/>
          <w:sz w:val="22"/>
        </w:rPr>
      </w:pPr>
      <w:r>
        <w:rPr>
          <w:rFonts w:ascii="Times New Roman" w:hAnsi="Times New Roman"/>
          <w:color w:val="2E2C30"/>
          <w:sz w:val="22"/>
        </w:rPr>
        <w:t>For the United Kingdom only:</w:t>
      </w:r>
    </w:p>
    <w:p>
      <w:pPr>
        <w:pStyle w:val="TextBody"/>
        <w:bidi w:val="0"/>
        <w:spacing w:before="0" w:after="240"/>
        <w:jc w:val="both"/>
        <w:rPr>
          <w:rFonts w:ascii="Times New Roman" w:hAnsi="Times New Roman"/>
          <w:color w:val="2E2C30"/>
          <w:sz w:val="22"/>
        </w:rPr>
      </w:pPr>
      <w:r>
        <w:rPr>
          <w:rFonts w:ascii="Times New Roman" w:hAnsi="Times New Roman"/>
          <w:color w:val="2E2C30"/>
          <w:sz w:val="22"/>
        </w:rPr>
        <w:t>Please see Annex 4 to this Notice for our Policy on the processing of Special Categories of Personal Information.</w:t>
      </w:r>
    </w:p>
    <w:p>
      <w:pPr>
        <w:pStyle w:val="TextBody"/>
        <w:bidi w:val="0"/>
        <w:spacing w:before="0" w:after="240"/>
        <w:jc w:val="both"/>
        <w:rPr>
          <w:rFonts w:ascii="Times New Roman" w:hAnsi="Times New Roman"/>
          <w:b/>
          <w:color w:val="6F2F9F"/>
          <w:sz w:val="22"/>
        </w:rPr>
      </w:pPr>
      <w:r>
        <w:rPr>
          <w:rFonts w:ascii="Times New Roman" w:hAnsi="Times New Roman"/>
          <w:b/>
          <w:color w:val="6F2F9F"/>
          <w:sz w:val="22"/>
        </w:rPr>
        <w:t>Sources of Personal Information</w:t>
      </w:r>
    </w:p>
    <w:p>
      <w:pPr>
        <w:pStyle w:val="TextBody"/>
        <w:bidi w:val="0"/>
        <w:spacing w:before="0" w:after="240"/>
        <w:jc w:val="both"/>
        <w:rPr>
          <w:rFonts w:ascii="Times New Roman" w:hAnsi="Times New Roman"/>
          <w:sz w:val="20"/>
        </w:rPr>
      </w:pPr>
      <w:r>
        <w:rPr>
          <w:rFonts w:ascii="Times New Roman" w:hAnsi="Times New Roman"/>
          <w:color w:val="000000"/>
          <w:sz w:val="22"/>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employer. We will inform you at the time your information is collected whether certain information is compulsory and the consequences of the failure to provide such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We also collect certain Personal Information about you from other sources, including: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background check information from employment screening agencies or publicly available registers (as allowed by law), or references obtained during recruitment;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publicly available professional profiles on websites or social media (e.g. LinkedIn); and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information about your performance or conduct from other employees, clients, or service providers you work with who may provide feedback about you or participate in performance evaluations or reviews.</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3.</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The Legal Bases and purposes for which we use, transfer, and disclose Your Personal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UK and EU data protection laws and other laws around the world, for example the PDPL and the DPA and PIPA require that we only process Personal Information subject to one or more valid legal bases. In such cases our legal basis will be one of the following: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fulfil our contractual obligations to you in connection with your employment contract with us;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comply with our legal obligations, for example obtaining proof of your identity to enable us to meet our anti-money laundering obligations, or obtaining proof of your right to work status to enable us to meet relevant obligations;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comply with our legal obligations to you, for example health and safety obligations that we must comply with as your employer or to a third party (e.g. the taxation authorities);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where a reasonable person would view that you would not reasonably be expected to request that we cease or not begin to use your personal information and that our use will not prejudice your individual rights;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 protect your or another person's vital interests, for example by providing your health information to a doctor in a medical emergency;</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20"/>
        <w:jc w:val="both"/>
        <w:rPr/>
      </w:pPr>
      <w:r>
        <w:rPr>
          <w:rFonts w:ascii="Times New Roman" w:hAnsi="Times New Roman"/>
          <w:color w:val="000000"/>
          <w:sz w:val="22"/>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hAnsi="Times New Roman"/>
          <w:i/>
          <w:color w:val="000000"/>
          <w:sz w:val="22"/>
        </w:rPr>
        <w:t>see DPA</w:t>
      </w:r>
      <w:r>
        <w:rPr>
          <w:rFonts w:ascii="Times New Roman" w:hAnsi="Times New Roman"/>
          <w:color w:val="000000"/>
          <w:sz w:val="22"/>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20"/>
        <w:jc w:val="both"/>
        <w:rPr/>
      </w:pPr>
      <w:r>
        <w:rPr>
          <w:rFonts w:ascii="Times New Roman" w:hAnsi="Times New Roman"/>
          <w:color w:val="000000"/>
          <w:sz w:val="22"/>
        </w:rPr>
        <w:t xml:space="preserve">the Personal Information is publicly available information and will be used for a purpose that is consistent with the purpose of its public availability </w:t>
      </w:r>
      <w:r>
        <w:rPr>
          <w:rFonts w:ascii="Times New Roman" w:hAnsi="Times New Roman"/>
          <w:i/>
          <w:color w:val="000000"/>
          <w:sz w:val="22"/>
        </w:rPr>
        <w:t>(See PIPA);</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the use of the Personal Information is necessary in the context of an individual’s present, or past employment relationship with WTW; or</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privacy@wtwco.com.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purposes for which we use your Personal Information are explained in more detail in Annex 1 to this Notice.</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4.</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Monitoring tools, profiling and automated decision-making</w:t>
      </w:r>
    </w:p>
    <w:p>
      <w:pPr>
        <w:pStyle w:val="TextBody"/>
        <w:bidi w:val="0"/>
        <w:spacing w:before="0" w:after="240"/>
        <w:jc w:val="both"/>
        <w:rPr>
          <w:rFonts w:ascii="Times New Roman" w:hAnsi="Times New Roman"/>
          <w:sz w:val="20"/>
        </w:rPr>
      </w:pPr>
      <w:r>
        <w:rPr>
          <w:rFonts w:ascii="Times New Roman" w:hAnsi="Times New Roman"/>
          <w:color w:val="000000"/>
          <w:sz w:val="22"/>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privacy@wtwco.com. Subject to restrictions under local laws, we may also use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 Although we may use this type of technology to assist our decision-making, where required by law, we do not make important decisions about employees (e.g. as to their compensation, dismissal or promotion) without a member of management and/or the HR team assessing all the circumstances. Where biometric login is used by you on company devices such as laptops or mobile devices, your data is stored only on the device and cannot be accessed by WTW.</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5.</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Use of Artificial Intelligence (AI) Technologies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may deploy artificial intelligence (AI) tools within our internal systems to support various aspects of the employment lifecycle, including recruitment, talent management, performance analysis, and operational efficiency. These tools are used solely within our controlled environment and in accordance with applicable data protection laws and regulations, including the GDPR, the CCPA, and other relevant global privacy frameworks.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AI tools may assist in processing information to identify patterns, generate insights, or support processes. However, no personal data is used to train, fine-tune, or improve any AI models. Where personal data is processed by AI tools, it is done so in a manner that is consistent with the principles of the responsible and ethical use of AI and any applicable AI regulation.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Importantly, all decisions that may affect employees (such as hiring, promotion, or disciplinary actions) are subject to human review and oversight. Final decisions and determinations are made exclusively by authorized human personnel. We do not rely solely on automated decision-making processes that produce legal or similarly significant effects without meaningful human involvement.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maintain appropriate technical and organizational safeguards to ensure the responsible use of AI and compliance with applicable legal and ethical standards.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have any questions regarding our use of AI technologies with respect to WTW applicants or employees, please submit a ServiceCentral ticket.</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6.</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Transfer of Personal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Due to the global nature of WTW operations, we may disclose Personal Information to personnel and departments in other entities which are part of WTW to fulfil the purposes described in this Notice. This may include transferring Personal Information to other countries (including countries other than where you are based that have a different data protection regime than is found in the country where you are based). Where we use IT applications in the collection of Personal Information, it may be transferred and hosted in offshore servers or hosting locations as and when it is entered into such IT applications.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Philippines or other countries. If you are located in the Kingdom of Saudi Arabia, this may include the UK, United States and India. If you are located in Bermuda, this may include Canada, United States, India, the European Union. Some of these countries are recognized by the European Commission or other regulators as providing an adequate level of protection (the full list of these countries deemed adequate in the EU, available here), while others are not. We have established safeguards to protect Personal Information that is transferred to other countries, including appropriate contractual protections such as standard contractual clauses published by applicable regulatory bodies. You may obtain more information about these measures and WTW's Global Privacy Program by contacting privacy@wtwco.com.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Access to Personal Information within WTW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All personnel within WTW will generally have access to your business contact information such as name, position, telephone number, postal address, email address and photograph.</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From time to time, we and other entities within WTW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 Personal Information for the provision of services to WTW, and in compliance with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When we transfer or disclose your Personal Information, we will do so in accordance with applicable law.</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7.</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Security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WTW will use reasonable organizational, technical and administrative measures to protect Personal Information consistent with applicable privacy and data security laws and regulations, including requiring service providers to use appropriate measures to protect the confidentiality and security of Personal Information.</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8.</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Data Processing, Retention and Destruction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WTW uses various processing methods on the Personal Information it collects, including organization and structuring, storage, adaptation / alteration, consultation, use and disclosure.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will keep your Personal Information for as long as you remain employed by us, and for a period of 10 years thereafter subject to local law requirements.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there is any information that we are unable, for technical reasons, to delete entirely from our systems, we will put in place appropriate measures to prevent any further processing or use of the data.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When we no longer require the use of your Personal Information, we may anonymize it as described in Annex 1, or we will securely destroy it.</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9.</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Access and correction requests, questions, and complaints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You have certain rights regarding your Personal Information, subject to local law, which may include the right to request: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access your Personal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correct the information we hold about you;</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erase your Personal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restrict our use of your Personal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object to our use of your Personal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receive your Personal Information in a usable electronic format and transmit it to a third party (right to data portability);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withdraw your consent to any processing based on consent at any time;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lodge a complaint with your local data protection authority if you believe that we have not been able to assist with your complaint or concern (and the right to seek compensation);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right to be informed about the collection and use of Personal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right to stop direct marketing;</w:t>
      </w:r>
    </w:p>
    <w:p>
      <w:pPr>
        <w:pStyle w:val="HorizontalLine"/>
        <w:pBdr>
          <w:bottom w:val="double" w:sz="2" w:space="0" w:color="808080"/>
        </w:pBdr>
        <w:bidi w:val="0"/>
        <w:spacing w:before="0" w:after="283"/>
        <w:jc w:val="left"/>
        <w:rPr/>
      </w:pPr>
      <w:r>
        <w:rPr/>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the right to restrict automated decision making;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right to access medical records (Only PIPA)</w:t>
      </w:r>
    </w:p>
    <w:p>
      <w:pPr>
        <w:pStyle w:val="TextBody"/>
        <w:bidi w:val="0"/>
        <w:spacing w:before="0" w:after="240"/>
        <w:jc w:val="both"/>
        <w:rPr>
          <w:rFonts w:ascii="Times New Roman" w:hAnsi="Times New Roman"/>
          <w:sz w:val="20"/>
        </w:rPr>
      </w:pPr>
      <w:r>
        <w:rPr>
          <w:rFonts w:ascii="Times New Roman" w:hAnsi="Times New Roman"/>
          <w:color w:val="000000"/>
          <w:sz w:val="22"/>
        </w:rPr>
        <w:t>If you have any questions about this Notice or if you would like to discuss or exercise your rights, please contact Human Resources or email privacy@wtwco.com</w:t>
      </w:r>
      <w:r>
        <w:rPr>
          <w:rFonts w:ascii="Times New Roman" w:hAnsi="Times New Roman"/>
          <w:color w:val="0000FF"/>
          <w:sz w:val="20"/>
          <w:u w:val="single"/>
        </w:rPr>
        <w:t xml:space="preserve"> </w:t>
      </w:r>
      <w:r>
        <w:rPr>
          <w:rFonts w:ascii="Times New Roman" w:hAnsi="Times New Roman"/>
          <w:color w:val="000000"/>
          <w:sz w:val="22"/>
        </w:rPr>
        <w:t>who will make reasonable efforts to respond promptly.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Please note, information on how to exercise your rights under Canada’s Personal Information Protection and Electronic Documents Act (PIPEDA), PIPA, and other laws such as CCPA and the Personal Information Protection Law of the People’s Republic of China (PIPL), are noted below under the Annexures of this policy.</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10.</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Employee’s Obligations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Please keep Personal Information up to date and inform us of any significant changes to Personal Information. You agree to inform your Dependents whose Personal Information you provide to us about the content of this Notice and to explain the use (including transfer and disclosure) of that Personal Information by us as set out in this Notice.</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11.</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Changes to the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may modify or update this Notice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12.</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Privacy Officer and Contact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WTW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questions or comments about this Notice, please contact Human Resources or email privacy@wtwco.com.</w:t>
      </w:r>
    </w:p>
    <w:p>
      <w:pPr>
        <w:pStyle w:val="HorizontalLine"/>
        <w:pBdr>
          <w:bottom w:val="double" w:sz="2" w:space="0" w:color="808080"/>
        </w:pBdr>
        <w:bidi w:val="0"/>
        <w:spacing w:before="0" w:after="283"/>
        <w:jc w:val="left"/>
        <w:rPr/>
      </w:pPr>
      <w:r>
        <w:rPr/>
      </w:r>
    </w:p>
    <w:p>
      <w:pPr>
        <w:pStyle w:val="TextBody"/>
        <w:bidi w:val="0"/>
        <w:spacing w:before="209" w:after="283"/>
        <w:jc w:val="both"/>
        <w:rPr>
          <w:rFonts w:ascii="Times New Roman" w:hAnsi="Times New Roman"/>
          <w:color w:val="000000"/>
          <w:sz w:val="22"/>
        </w:rPr>
      </w:pPr>
      <w:r>
        <w:rPr>
          <w:rFonts w:ascii="Times New Roman" w:hAnsi="Times New Roman"/>
          <w:color w:val="000000"/>
          <w:sz w:val="22"/>
        </w:rPr>
        <w:t>In some countries, there is a legal requirement to provide a named individual or privacy officer and their contact details. These 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14"/>
        <w:gridCol w:w="1970"/>
        <w:gridCol w:w="7021"/>
      </w:tblGrid>
      <w:tr>
        <w:trPr/>
        <w:tc>
          <w:tcPr>
            <w:tcW w:w="1214"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7021" w:type="dxa"/>
            <w:tcBorders/>
            <w:vAlign w:val="center"/>
          </w:tcPr>
          <w:p>
            <w:pPr>
              <w:pStyle w:val="TableContents"/>
              <w:bidi w:val="0"/>
              <w:spacing w:before="0" w:after="283"/>
              <w:jc w:val="left"/>
              <w:rPr>
                <w:sz w:val="4"/>
                <w:szCs w:val="4"/>
              </w:rPr>
            </w:pPr>
            <w:r>
              <w:rPr>
                <w:sz w:val="4"/>
                <w:szCs w:val="4"/>
              </w:rPr>
            </w:r>
          </w:p>
        </w:tc>
      </w:tr>
      <w:tr>
        <w:trPr/>
        <w:tc>
          <w:tcPr>
            <w:tcW w:w="1214" w:type="dxa"/>
            <w:tcBorders>
              <w:top w:val="single" w:sz="4" w:space="0" w:color="000000"/>
              <w:left w:val="single" w:sz="4" w:space="0" w:color="000000"/>
              <w:bottom w:val="single" w:sz="4" w:space="0" w:color="000000"/>
              <w:right w:val="single" w:sz="4" w:space="0" w:color="000000"/>
            </w:tcBorders>
            <w:shd w:fill="D9EDFF" w:val="cle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Country</w:t>
            </w:r>
          </w:p>
        </w:tc>
        <w:tc>
          <w:tcPr>
            <w:tcW w:w="1970" w:type="dxa"/>
            <w:tcBorders>
              <w:top w:val="single" w:sz="4" w:space="0" w:color="000000"/>
              <w:bottom w:val="single" w:sz="4" w:space="0" w:color="000000"/>
              <w:right w:val="single" w:sz="4" w:space="0" w:color="000000"/>
            </w:tcBorders>
            <w:shd w:fill="D9EDFF" w:val="clear"/>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Name</w:t>
            </w:r>
          </w:p>
        </w:tc>
        <w:tc>
          <w:tcPr>
            <w:tcW w:w="7021" w:type="dxa"/>
            <w:tcBorders>
              <w:top w:val="single" w:sz="4" w:space="0" w:color="000000"/>
              <w:bottom w:val="single" w:sz="4" w:space="0" w:color="000000"/>
              <w:right w:val="single" w:sz="4" w:space="0" w:color="000000"/>
            </w:tcBorders>
            <w:shd w:fill="D9EDFF" w:val="clear"/>
            <w:tcMar>
              <w:lef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Contact details</w:t>
            </w:r>
          </w:p>
        </w:tc>
      </w:tr>
      <w:tr>
        <w:trPr/>
        <w:tc>
          <w:tcPr>
            <w:tcW w:w="1214"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Canada</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pPr>
            <w:r>
              <w:rPr/>
              <w:t> </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of the Privacy Officer:</w:t>
            </w:r>
          </w:p>
          <w:p>
            <w:pPr>
              <w:pStyle w:val="TableContents"/>
              <w:bidi w:val="0"/>
              <w:jc w:val="left"/>
              <w:rPr>
                <w:rFonts w:ascii="Times New Roman" w:hAnsi="Times New Roman"/>
                <w:color w:val="000000"/>
                <w:sz w:val="22"/>
              </w:rPr>
            </w:pPr>
            <w:r>
              <w:rPr>
                <w:rFonts w:ascii="Times New Roman" w:hAnsi="Times New Roman"/>
                <w:color w:val="000000"/>
                <w:sz w:val="22"/>
              </w:rPr>
              <w:t>130 King St W, Exchange Tower, Suite 1500</w:t>
            </w:r>
          </w:p>
          <w:p>
            <w:pPr>
              <w:pStyle w:val="TableContents"/>
              <w:bidi w:val="0"/>
              <w:jc w:val="left"/>
              <w:rPr>
                <w:rFonts w:ascii="Times New Roman" w:hAnsi="Times New Roman"/>
                <w:color w:val="000000"/>
                <w:sz w:val="22"/>
              </w:rPr>
            </w:pPr>
            <w:r>
              <w:rPr>
                <w:rFonts w:ascii="Times New Roman" w:hAnsi="Times New Roman"/>
                <w:color w:val="000000"/>
                <w:sz w:val="22"/>
              </w:rPr>
              <w:t>P.O. Box 424</w:t>
            </w:r>
          </w:p>
          <w:p>
            <w:pPr>
              <w:pStyle w:val="TableContents"/>
              <w:bidi w:val="0"/>
              <w:jc w:val="left"/>
              <w:rPr>
                <w:rFonts w:ascii="Times New Roman" w:hAnsi="Times New Roman"/>
                <w:color w:val="000000"/>
                <w:sz w:val="22"/>
              </w:rPr>
            </w:pPr>
            <w:r>
              <w:rPr>
                <w:rFonts w:ascii="Times New Roman" w:hAnsi="Times New Roman"/>
                <w:color w:val="000000"/>
                <w:sz w:val="22"/>
              </w:rPr>
              <w:t>Toronto, ON M5X 1E3</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Email: privacy@wtwco.com</w:t>
            </w:r>
          </w:p>
          <w:p>
            <w:pPr>
              <w:pStyle w:val="TableContents"/>
              <w:bidi w:val="0"/>
              <w:spacing w:before="0" w:after="283"/>
              <w:jc w:val="left"/>
              <w:rPr/>
            </w:pPr>
            <w:r>
              <w:rPr/>
              <w:t> </w:t>
            </w:r>
          </w:p>
        </w:tc>
      </w:tr>
      <w:tr>
        <w:trPr/>
        <w:tc>
          <w:tcPr>
            <w:tcW w:w="1214"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Nigeria</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Adewunmi Akinmodiro</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Adewunmi.Akinmodiro@willistowerswatson.com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Willis Towers Watson Nigeria Limited</w:t>
            </w:r>
          </w:p>
          <w:p>
            <w:pPr>
              <w:pStyle w:val="TableContents"/>
              <w:bidi w:val="0"/>
              <w:jc w:val="left"/>
              <w:rPr>
                <w:rFonts w:ascii="Times New Roman" w:hAnsi="Times New Roman"/>
                <w:color w:val="000000"/>
                <w:sz w:val="22"/>
              </w:rPr>
            </w:pPr>
            <w:r>
              <w:rPr>
                <w:rFonts w:ascii="Times New Roman" w:hAnsi="Times New Roman"/>
                <w:color w:val="000000"/>
                <w:sz w:val="22"/>
              </w:rPr>
              <w:t>6th Floor, Africa RE Building. Plot 1679 Karimu Kotun Street,</w:t>
              <w:br/>
              <w:t>Victoria Island Lagos, Nigeria.</w:t>
            </w:r>
          </w:p>
          <w:p>
            <w:pPr>
              <w:pStyle w:val="TableContents"/>
              <w:bidi w:val="0"/>
              <w:spacing w:before="0" w:after="283"/>
              <w:jc w:val="left"/>
              <w:rPr/>
            </w:pPr>
            <w:r>
              <w:rPr/>
              <w:t> </w:t>
            </w:r>
          </w:p>
        </w:tc>
      </w:tr>
      <w:tr>
        <w:trPr/>
        <w:tc>
          <w:tcPr>
            <w:tcW w:w="1214" w:type="dxa"/>
            <w:vMerge w:val="restart"/>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South Africa</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André Wild</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Andre.Wild@willistowerswatson.com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Towers Watson (Pty) Ltd</w:t>
            </w:r>
          </w:p>
          <w:p>
            <w:pPr>
              <w:pStyle w:val="TableContents"/>
              <w:bidi w:val="0"/>
              <w:jc w:val="left"/>
              <w:rPr>
                <w:rFonts w:ascii="Times New Roman" w:hAnsi="Times New Roman"/>
                <w:color w:val="000000"/>
                <w:sz w:val="22"/>
              </w:rPr>
            </w:pPr>
            <w:r>
              <w:rPr>
                <w:rFonts w:ascii="Times New Roman" w:hAnsi="Times New Roman"/>
                <w:color w:val="000000"/>
                <w:sz w:val="22"/>
              </w:rPr>
              <w:t>Level 4, MontClare Place, 23 Main Road, Claremont, Cape Town, 7708</w:t>
            </w:r>
          </w:p>
          <w:p>
            <w:pPr>
              <w:pStyle w:val="TableContents"/>
              <w:bidi w:val="0"/>
              <w:jc w:val="left"/>
              <w:rPr>
                <w:rFonts w:ascii="Times New Roman" w:hAnsi="Times New Roman"/>
                <w:color w:val="000000"/>
                <w:sz w:val="22"/>
              </w:rPr>
            </w:pPr>
            <w:r>
              <w:rPr>
                <w:rFonts w:ascii="Times New Roman" w:hAnsi="Times New Roman"/>
                <w:color w:val="000000"/>
                <w:sz w:val="22"/>
              </w:rPr>
              <w:t>Private Bag X30, Rondebosch, 7701</w:t>
            </w:r>
          </w:p>
          <w:p>
            <w:pPr>
              <w:pStyle w:val="TableContents"/>
              <w:bidi w:val="0"/>
              <w:spacing w:before="0" w:after="283"/>
              <w:jc w:val="left"/>
              <w:rPr/>
            </w:pPr>
            <w:r>
              <w:rPr/>
              <w:t> </w:t>
            </w:r>
          </w:p>
        </w:tc>
      </w:tr>
      <w:tr>
        <w:trPr/>
        <w:tc>
          <w:tcPr>
            <w:tcW w:w="1214" w:type="dxa"/>
            <w:vMerge w:val="continue"/>
            <w:tcBorders>
              <w:left w:val="single" w:sz="4" w:space="0" w:color="000000"/>
              <w:bottom w:val="single" w:sz="4" w:space="0" w:color="000000"/>
              <w:right w:val="single" w:sz="4" w:space="0" w:color="000000"/>
            </w:tcBorders>
            <w:shd w:fill="D9EDFF" w:val="clear"/>
            <w:tcMar>
              <w:top w:w="0" w:type="dxa"/>
            </w:tcMar>
            <w:vAlign w:val="center"/>
          </w:tcPr>
          <w:p>
            <w:pPr>
              <w:pStyle w:val="Normal"/>
              <w:bidi w:val="0"/>
              <w:jc w:val="left"/>
              <w:rPr/>
            </w:pPr>
            <w:r>
              <w:rPr/>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Pasha Karodia</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Pasha.Karodia@willistowerswatson.com</w:t>
            </w:r>
          </w:p>
          <w:p>
            <w:pPr>
              <w:pStyle w:val="TableContents"/>
              <w:bidi w:val="0"/>
              <w:jc w:val="left"/>
              <w:rPr>
                <w:rFonts w:ascii="Times New Roman" w:hAnsi="Times New Roman"/>
                <w:color w:val="000000"/>
                <w:sz w:val="22"/>
              </w:rPr>
            </w:pPr>
            <w:r>
              <w:rPr>
                <w:rFonts w:ascii="Times New Roman" w:hAnsi="Times New Roman"/>
                <w:color w:val="000000"/>
                <w:sz w:val="22"/>
              </w:rPr>
              <w:t>Willis South Africa (Pty) Ltd</w:t>
            </w:r>
          </w:p>
          <w:p>
            <w:pPr>
              <w:pStyle w:val="TableContents"/>
              <w:bidi w:val="0"/>
              <w:jc w:val="left"/>
              <w:rPr>
                <w:rFonts w:ascii="Times New Roman" w:hAnsi="Times New Roman"/>
                <w:color w:val="000000"/>
                <w:sz w:val="22"/>
              </w:rPr>
            </w:pPr>
            <w:r>
              <w:rPr>
                <w:rFonts w:ascii="Times New Roman" w:hAnsi="Times New Roman"/>
                <w:color w:val="000000"/>
                <w:sz w:val="22"/>
              </w:rPr>
              <w:t>Illovo Edge, 1 Harries Road, Illovo, Johannesburg 2196</w:t>
            </w:r>
          </w:p>
          <w:p>
            <w:pPr>
              <w:pStyle w:val="TableContents"/>
              <w:bidi w:val="0"/>
              <w:spacing w:before="0" w:after="283"/>
              <w:jc w:val="left"/>
              <w:rPr/>
            </w:pPr>
            <w:r>
              <w:rPr/>
              <w:t> </w:t>
            </w:r>
          </w:p>
        </w:tc>
      </w:tr>
      <w:tr>
        <w:trPr/>
        <w:tc>
          <w:tcPr>
            <w:tcW w:w="1214"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Saudi Arabia</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Paul Green</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privacy@wtwco.com</w:t>
            </w:r>
          </w:p>
          <w:p>
            <w:pPr>
              <w:pStyle w:val="TableContents"/>
              <w:bidi w:val="0"/>
              <w:jc w:val="left"/>
              <w:rPr>
                <w:rFonts w:ascii="Times New Roman" w:hAnsi="Times New Roman"/>
                <w:color w:val="000000"/>
                <w:sz w:val="22"/>
              </w:rPr>
            </w:pPr>
            <w:r>
              <w:rPr>
                <w:rFonts w:ascii="Times New Roman" w:hAnsi="Times New Roman"/>
                <w:color w:val="000000"/>
                <w:sz w:val="22"/>
              </w:rPr>
              <w:t>AE Dubai - Business Central Tower</w:t>
            </w:r>
          </w:p>
          <w:p>
            <w:pPr>
              <w:pStyle w:val="TableContents"/>
              <w:bidi w:val="0"/>
              <w:jc w:val="left"/>
              <w:rPr>
                <w:rFonts w:ascii="Times New Roman" w:hAnsi="Times New Roman"/>
                <w:color w:val="000000"/>
                <w:sz w:val="22"/>
              </w:rPr>
            </w:pPr>
            <w:r>
              <w:rPr>
                <w:rFonts w:ascii="Times New Roman" w:hAnsi="Times New Roman"/>
                <w:color w:val="000000"/>
                <w:sz w:val="22"/>
              </w:rPr>
              <w:t>Tower A Floor 37, Dubai Media City, PO Box 500082, Dubai, United Arab Emirates</w:t>
            </w:r>
          </w:p>
          <w:p>
            <w:pPr>
              <w:pStyle w:val="TableContents"/>
              <w:bidi w:val="0"/>
              <w:jc w:val="left"/>
              <w:rPr>
                <w:rFonts w:ascii="Times New Roman" w:hAnsi="Times New Roman"/>
                <w:color w:val="000000"/>
                <w:sz w:val="22"/>
              </w:rPr>
            </w:pPr>
            <w:r>
              <w:rPr>
                <w:rFonts w:ascii="Times New Roman" w:hAnsi="Times New Roman"/>
                <w:color w:val="000000"/>
                <w:sz w:val="22"/>
              </w:rPr>
              <w:t>+971 4 455 1700</w:t>
            </w:r>
          </w:p>
          <w:p>
            <w:pPr>
              <w:pStyle w:val="TableContents"/>
              <w:bidi w:val="0"/>
              <w:spacing w:before="0" w:after="283"/>
              <w:jc w:val="left"/>
              <w:rPr/>
            </w:pPr>
            <w:r>
              <w:rPr/>
              <w:t> </w:t>
            </w:r>
          </w:p>
        </w:tc>
      </w:tr>
      <w:tr>
        <w:trPr/>
        <w:tc>
          <w:tcPr>
            <w:tcW w:w="1214"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Bermuda</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pPr>
            <w:r>
              <w:rPr/>
              <w:t> </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Attention of the Privacy Officer:</w:t>
            </w:r>
          </w:p>
          <w:p>
            <w:pPr>
              <w:pStyle w:val="TableContents"/>
              <w:bidi w:val="0"/>
              <w:jc w:val="left"/>
              <w:rPr>
                <w:rFonts w:ascii="Times New Roman" w:hAnsi="Times New Roman"/>
                <w:color w:val="000000"/>
                <w:sz w:val="22"/>
              </w:rPr>
            </w:pPr>
            <w:r>
              <w:rPr>
                <w:rFonts w:ascii="Times New Roman" w:hAnsi="Times New Roman"/>
                <w:color w:val="000000"/>
                <w:sz w:val="22"/>
              </w:rPr>
              <w:t xml:space="preserve">90 Pitts Bay Road </w:t>
            </w:r>
          </w:p>
          <w:p>
            <w:pPr>
              <w:pStyle w:val="TableContents"/>
              <w:bidi w:val="0"/>
              <w:jc w:val="left"/>
              <w:rPr>
                <w:rFonts w:ascii="Times New Roman" w:hAnsi="Times New Roman"/>
                <w:color w:val="000000"/>
                <w:sz w:val="22"/>
              </w:rPr>
            </w:pPr>
            <w:r>
              <w:rPr>
                <w:rFonts w:ascii="Times New Roman" w:hAnsi="Times New Roman"/>
                <w:color w:val="000000"/>
                <w:sz w:val="22"/>
              </w:rPr>
              <w:t xml:space="preserve">Wellesley House, Floor 2 </w:t>
            </w:r>
          </w:p>
          <w:p>
            <w:pPr>
              <w:pStyle w:val="TableContents"/>
              <w:bidi w:val="0"/>
              <w:jc w:val="left"/>
              <w:rPr>
                <w:rFonts w:ascii="Times New Roman" w:hAnsi="Times New Roman"/>
                <w:color w:val="000000"/>
                <w:sz w:val="22"/>
              </w:rPr>
            </w:pPr>
            <w:r>
              <w:rPr>
                <w:rFonts w:ascii="Times New Roman" w:hAnsi="Times New Roman"/>
                <w:color w:val="000000"/>
                <w:sz w:val="22"/>
              </w:rPr>
              <w:t xml:space="preserve">Hamilton HM 08 </w:t>
            </w:r>
          </w:p>
          <w:p>
            <w:pPr>
              <w:pStyle w:val="TableContents"/>
              <w:bidi w:val="0"/>
              <w:jc w:val="left"/>
              <w:rPr>
                <w:rFonts w:ascii="Times New Roman" w:hAnsi="Times New Roman"/>
                <w:b/>
                <w:color w:val="000000"/>
                <w:sz w:val="22"/>
              </w:rPr>
            </w:pPr>
            <w:r>
              <w:rPr>
                <w:rFonts w:ascii="Times New Roman" w:hAnsi="Times New Roman"/>
                <w:b/>
                <w:color w:val="000000"/>
                <w:sz w:val="22"/>
              </w:rPr>
              <w:t>privacy@wtwco.com</w:t>
            </w:r>
          </w:p>
          <w:p>
            <w:pPr>
              <w:pStyle w:val="TableContents"/>
              <w:bidi w:val="0"/>
              <w:spacing w:before="0" w:after="283"/>
              <w:jc w:val="left"/>
              <w:rPr/>
            </w:pPr>
            <w:r>
              <w:rPr/>
              <w:t> </w:t>
            </w:r>
          </w:p>
        </w:tc>
      </w:tr>
      <w:tr>
        <w:trPr/>
        <w:tc>
          <w:tcPr>
            <w:tcW w:w="1214" w:type="dxa"/>
            <w:tcBorders>
              <w:left w:val="single" w:sz="4" w:space="0" w:color="000000"/>
              <w:bottom w:val="single" w:sz="4" w:space="0" w:color="000000"/>
              <w:right w:val="single" w:sz="4" w:space="0" w:color="000000"/>
            </w:tcBorders>
            <w:shd w:fill="D9EDFF" w:val="clear"/>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Brazil</w:t>
            </w:r>
          </w:p>
        </w:tc>
        <w:tc>
          <w:tcPr>
            <w:tcW w:w="1970" w:type="dxa"/>
            <w:tcBorders>
              <w:bottom w:val="single" w:sz="4" w:space="0" w:color="000000"/>
              <w:right w:val="single" w:sz="4" w:space="0" w:color="000000"/>
            </w:tcBorders>
            <w:shd w:fill="D9EDFF" w:val="clear"/>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Lucas Paglia</w:t>
            </w:r>
          </w:p>
        </w:tc>
        <w:tc>
          <w:tcPr>
            <w:tcW w:w="7021" w:type="dxa"/>
            <w:tcBorders>
              <w:bottom w:val="single" w:sz="4" w:space="0" w:color="000000"/>
              <w:right w:val="single" w:sz="4" w:space="0" w:color="000000"/>
            </w:tcBorders>
            <w:shd w:fill="D9EDFF" w:val="clear"/>
            <w:tcMar>
              <w:top w:w="0" w:type="dxa"/>
              <w:lef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lucas.paglia@wtwco.com</w:t>
            </w:r>
            <w:r>
              <w:rPr>
                <w:rFonts w:ascii="Times New Roman" w:hAnsi="Times New Roman"/>
                <w:color w:val="0000FF"/>
                <w:sz w:val="22"/>
              </w:rPr>
              <w:t xml:space="preserve"> </w:t>
            </w:r>
            <w:r>
              <w:rPr>
                <w:rFonts w:ascii="Times New Roman" w:hAnsi="Times New Roman"/>
                <w:color w:val="000000"/>
                <w:sz w:val="22"/>
              </w:rPr>
              <w:t>or</w:t>
            </w:r>
          </w:p>
          <w:p>
            <w:pPr>
              <w:pStyle w:val="TableContents"/>
              <w:bidi w:val="0"/>
              <w:jc w:val="left"/>
              <w:rPr>
                <w:rFonts w:ascii="Times New Roman" w:hAnsi="Times New Roman"/>
                <w:color w:val="000000"/>
                <w:sz w:val="22"/>
              </w:rPr>
            </w:pPr>
            <w:r>
              <w:rPr>
                <w:rFonts w:ascii="Times New Roman" w:hAnsi="Times New Roman"/>
                <w:color w:val="000000"/>
                <w:sz w:val="22"/>
              </w:rPr>
              <w:t>privacy.brasil@wtwco.com</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4A116E"/>
          <w:sz w:val="22"/>
          <w:u w:val="single"/>
        </w:rPr>
      </w:pPr>
      <w:r>
        <w:rPr>
          <w:rFonts w:ascii="Times New Roman" w:hAnsi="Times New Roman"/>
          <w:b/>
          <w:color w:val="4A116E"/>
          <w:sz w:val="22"/>
          <w:u w:val="single"/>
        </w:rPr>
        <w:t>ANNEX 1</w:t>
      </w:r>
    </w:p>
    <w:p>
      <w:pPr>
        <w:pStyle w:val="TextBody"/>
        <w:bidi w:val="0"/>
        <w:spacing w:before="0" w:after="240"/>
        <w:jc w:val="left"/>
        <w:rPr>
          <w:rFonts w:ascii="Times New Roman" w:hAnsi="Times New Roman"/>
          <w:b/>
          <w:color w:val="6F2F9F"/>
          <w:sz w:val="22"/>
        </w:rPr>
      </w:pPr>
      <w:r>
        <w:rPr>
          <w:rFonts w:ascii="Times New Roman" w:hAnsi="Times New Roman"/>
          <w:b/>
          <w:color w:val="6F2F9F"/>
          <w:sz w:val="22"/>
        </w:rPr>
        <w:t>Categories of Personal Information Collected About Employees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Generally, we may collect the below categories of Personal Information about Employees:</w:t>
      </w:r>
    </w:p>
    <w:p>
      <w:pPr>
        <w:pStyle w:val="TextBody"/>
        <w:bidi w:val="0"/>
        <w:spacing w:before="0" w:after="240"/>
        <w:jc w:val="left"/>
        <w:rPr>
          <w:rFonts w:ascii="Times New Roman" w:hAnsi="Times New Roman"/>
          <w:sz w:val="20"/>
        </w:rPr>
      </w:pPr>
      <w:r>
        <w:rPr>
          <w:rFonts w:ascii="Times New Roman" w:hAnsi="Times New Roman"/>
          <w:b/>
          <w:color w:val="6F2F9F"/>
          <w:sz w:val="22"/>
        </w:rPr>
        <w:t>Name, Contact Info and other Identifiers</w:t>
      </w:r>
      <w:r>
        <w:rPr>
          <w:rFonts w:ascii="Times New Roman" w:hAnsi="Times New Roman"/>
          <w:color w:val="000000"/>
          <w:sz w:val="22"/>
        </w:rPr>
        <w:t>: identifiers including, but not limited to</w:t>
      </w:r>
      <w:r>
        <w:rPr>
          <w:rFonts w:ascii="Times New Roman" w:hAnsi="Times New Roman"/>
          <w:i/>
          <w:color w:val="000000"/>
          <w:sz w:val="22"/>
        </w:rPr>
        <w: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Documentation Required under Immigration Laws: Citizenship, passport data, details of residency or work permit.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pStyle w:val="TextBody"/>
        <w:bidi w:val="0"/>
        <w:spacing w:before="0" w:after="120"/>
        <w:jc w:val="both"/>
        <w:rPr>
          <w:rFonts w:ascii="Times New Roman" w:hAnsi="Times New Roman"/>
          <w:sz w:val="20"/>
        </w:rPr>
      </w:pPr>
      <w:r>
        <w:rPr>
          <w:rFonts w:ascii="Times New Roman" w:hAnsi="Times New Roman"/>
          <w:b/>
          <w:color w:val="6F2F9F"/>
          <w:sz w:val="22"/>
        </w:rPr>
        <w:t>Protected Classifications</w:t>
      </w:r>
      <w:r>
        <w:rPr>
          <w:rFonts w:ascii="Times New Roman" w:hAnsi="Times New Roman"/>
          <w:color w:val="000000"/>
          <w:sz w:val="22"/>
        </w:rPr>
        <w:t>: characteristics of protected classifications (including those under California or federal law) such as: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Citizenship information, as well as residency and work permit details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Medical information and disability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pStyle w:val="TextBody"/>
        <w:bidi w:val="0"/>
        <w:spacing w:before="0" w:after="120"/>
        <w:jc w:val="both"/>
        <w:rPr>
          <w:rFonts w:ascii="Times New Roman" w:hAnsi="Times New Roman"/>
          <w:sz w:val="20"/>
        </w:rPr>
      </w:pPr>
      <w:r>
        <w:rPr>
          <w:rFonts w:ascii="Times New Roman" w:hAnsi="Times New Roman"/>
          <w:b/>
          <w:color w:val="6F2F9F"/>
          <w:sz w:val="22"/>
        </w:rPr>
        <w:t>Usage Data</w:t>
      </w:r>
      <w:r>
        <w:rPr>
          <w:rFonts w:ascii="Times New Roman" w:hAnsi="Times New Roman"/>
          <w:color w:val="000000"/>
          <w:sz w:val="22"/>
        </w:rPr>
        <w:t xml:space="preserve">: internet or other electronic network activity information including, but not limited to, browsing history, search history, email activity, and information regarding a user’s interaction with a system, website, or application. </w:t>
      </w:r>
      <w:r>
        <w:rPr>
          <w:rFonts w:ascii="Times New Roman" w:hAnsi="Times New Roman"/>
          <w:i/>
          <w:color w:val="000000"/>
          <w:sz w:val="22"/>
        </w:rPr>
        <w:t>This includes: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Access logs and usage details regarding activities at WTW locations and on WTW networks, systems and devices, including but not limited to website and browsing history.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Physical access logs and call logs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Electronic content produced using WTW systems</w:t>
      </w:r>
    </w:p>
    <w:p>
      <w:pPr>
        <w:pStyle w:val="TextBody"/>
        <w:bidi w:val="0"/>
        <w:spacing w:before="0" w:after="240"/>
        <w:jc w:val="both"/>
        <w:rPr>
          <w:rFonts w:ascii="Times New Roman" w:hAnsi="Times New Roman"/>
          <w:sz w:val="20"/>
        </w:rPr>
      </w:pPr>
      <w:r>
        <w:rPr>
          <w:rFonts w:ascii="Times New Roman" w:hAnsi="Times New Roman"/>
          <w:b/>
          <w:color w:val="6F2F9F"/>
          <w:sz w:val="22"/>
        </w:rPr>
        <w:t xml:space="preserve">Biometric information: </w:t>
      </w:r>
      <w:r>
        <w:rPr>
          <w:rFonts w:ascii="Times New Roman" w:hAnsi="Times New Roman"/>
          <w:color w:val="000000"/>
          <w:sz w:val="22"/>
        </w:rPr>
        <w:t>an individual’s physiological, biological or behavioral characteristics including information pertaining to an 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 authorised by local regulations to do so and subject to implementing appropriate safeguards as required by applicable law.</w:t>
      </w:r>
    </w:p>
    <w:p>
      <w:pPr>
        <w:pStyle w:val="TextBody"/>
        <w:bidi w:val="0"/>
        <w:spacing w:before="0" w:after="240"/>
        <w:jc w:val="both"/>
        <w:rPr>
          <w:rFonts w:ascii="Times New Roman" w:hAnsi="Times New Roman"/>
          <w:sz w:val="20"/>
        </w:rPr>
      </w:pPr>
      <w:r>
        <w:rPr>
          <w:rFonts w:ascii="Times New Roman" w:hAnsi="Times New Roman"/>
          <w:b/>
          <w:color w:val="6F2F9F"/>
          <w:sz w:val="22"/>
        </w:rPr>
        <w:t>Geolocation Data</w:t>
      </w:r>
      <w:r>
        <w:rPr>
          <w:rFonts w:ascii="Times New Roman" w:hAnsi="Times New Roman"/>
          <w:color w:val="000000"/>
          <w:sz w:val="22"/>
        </w:rPr>
        <w:t>: precise geographic location information about a particular WTW device.</w:t>
      </w:r>
    </w:p>
    <w:p>
      <w:pPr>
        <w:pStyle w:val="TextBody"/>
        <w:bidi w:val="0"/>
        <w:spacing w:before="0" w:after="240"/>
        <w:jc w:val="both"/>
        <w:rPr>
          <w:rFonts w:ascii="Times New Roman" w:hAnsi="Times New Roman"/>
          <w:sz w:val="20"/>
        </w:rPr>
      </w:pPr>
      <w:r>
        <w:rPr>
          <w:rFonts w:ascii="Times New Roman" w:hAnsi="Times New Roman"/>
          <w:b/>
          <w:color w:val="6F2F9F"/>
          <w:sz w:val="22"/>
        </w:rPr>
        <w:t>Audio, Video and other Electronic Data</w:t>
      </w:r>
      <w:r>
        <w:rPr>
          <w:rFonts w:ascii="Times New Roman" w:hAnsi="Times New Roman"/>
          <w:color w:val="000000"/>
          <w:sz w:val="22"/>
        </w:rPr>
        <w:t xml:space="preserve">: audio, electronic, visual, thermal, olfactory, or similar information. </w:t>
      </w:r>
      <w:r>
        <w:rPr>
          <w:rFonts w:ascii="Times New Roman" w:hAnsi="Times New Roman"/>
          <w:i/>
          <w:color w:val="000000"/>
          <w:sz w:val="22"/>
        </w:rPr>
        <w:t>This includes: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CCTV footage and photographs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Call recordings and other audio recording (e.g., recorded meetings and webinars)</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b/>
          <w:color w:val="6F2F9F"/>
          <w:sz w:val="22"/>
        </w:rPr>
        <w:t>Employment History</w:t>
      </w:r>
      <w:r>
        <w:rPr>
          <w:rFonts w:ascii="Times New Roman" w:hAnsi="Times New Roman"/>
          <w:color w:val="000000"/>
          <w:sz w:val="22"/>
        </w:rPr>
        <w:t xml:space="preserve">: professional or employment-related information. </w:t>
      </w:r>
      <w:r>
        <w:rPr>
          <w:rFonts w:ascii="Times New Roman" w:hAnsi="Times New Roman"/>
          <w:i/>
          <w:color w:val="000000"/>
          <w:sz w:val="22"/>
        </w:rPr>
        <w:t>This includes, but is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Management Records: Details of any shares of common stock or directorships.</w:t>
      </w:r>
    </w:p>
    <w:p>
      <w:pPr>
        <w:pStyle w:val="TextBody"/>
        <w:bidi w:val="0"/>
        <w:spacing w:before="0" w:after="120"/>
        <w:jc w:val="both"/>
        <w:rPr>
          <w:rFonts w:ascii="Times New Roman" w:hAnsi="Times New Roman"/>
          <w:sz w:val="20"/>
        </w:rPr>
      </w:pPr>
      <w:r>
        <w:rPr>
          <w:rFonts w:ascii="Times New Roman" w:hAnsi="Times New Roman"/>
          <w:b/>
          <w:color w:val="6F2F9F"/>
          <w:sz w:val="22"/>
        </w:rPr>
        <w:t>Education Information</w:t>
      </w:r>
      <w:r>
        <w:rPr>
          <w:rFonts w:ascii="Times New Roman" w:hAnsi="Times New Roman"/>
          <w:color w:val="000000"/>
          <w:sz w:val="22"/>
        </w:rPr>
        <w:t xml:space="preserve">: information about education history or background, including such information that is not publicly available personally identifiable information as defined in the federal Family Educational Rights and Privacy Act (20 U.S.C. section 1232g, 34 C.F.R. Part 99). </w:t>
      </w:r>
      <w:r>
        <w:rPr>
          <w:rFonts w:ascii="Times New Roman" w:hAnsi="Times New Roman"/>
          <w:i/>
          <w:color w:val="000000"/>
          <w:sz w:val="22"/>
        </w:rPr>
        <w:t>This includes, but is not limited to:</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Degrees, certificates or other training completed, schools attended and relevant dates.</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Details contained in letters of application and resume/CV, previous employment background.</w:t>
      </w:r>
    </w:p>
    <w:p>
      <w:pPr>
        <w:pStyle w:val="TextBody"/>
        <w:bidi w:val="0"/>
        <w:spacing w:before="0" w:after="240"/>
        <w:jc w:val="both"/>
        <w:rPr>
          <w:rFonts w:ascii="Times New Roman" w:hAnsi="Times New Roman"/>
          <w:sz w:val="20"/>
        </w:rPr>
      </w:pPr>
      <w:r>
        <w:rPr>
          <w:rFonts w:ascii="Times New Roman" w:hAnsi="Times New Roman"/>
          <w:b/>
          <w:color w:val="6F2F9F"/>
          <w:sz w:val="22"/>
        </w:rPr>
        <w:t>Profiles and Inferences</w:t>
      </w:r>
      <w:r>
        <w:rPr>
          <w:rFonts w:ascii="Times New Roman" w:hAnsi="Times New Roman"/>
          <w:color w:val="000000"/>
          <w:sz w:val="22"/>
        </w:rPr>
        <w:t>: inferences drawn from any of the information identified above to create a profile about an employee reflecting their preferences, characteristics, psychological trends, predispositions, behaviour, attitudes, intelligence, abilities, and aptitudes.</w:t>
      </w:r>
    </w:p>
    <w:p>
      <w:pPr>
        <w:pStyle w:val="TextBody"/>
        <w:bidi w:val="0"/>
        <w:spacing w:before="0" w:after="240"/>
        <w:jc w:val="both"/>
        <w:rPr>
          <w:rFonts w:ascii="Times New Roman" w:hAnsi="Times New Roman"/>
          <w:sz w:val="20"/>
        </w:rPr>
      </w:pPr>
      <w:r>
        <w:rPr>
          <w:rFonts w:ascii="Times New Roman" w:hAnsi="Times New Roman"/>
          <w:b/>
          <w:color w:val="6F2F9F"/>
          <w:sz w:val="22"/>
        </w:rPr>
        <w:t>Logins and Account Access Information</w:t>
      </w:r>
      <w:r>
        <w:rPr>
          <w:rFonts w:ascii="Times New Roman" w:hAnsi="Times New Roman"/>
          <w:color w:val="000000"/>
          <w:sz w:val="22"/>
        </w:rPr>
        <w:t>: information which reveals account login, financial account, debit or credit card in combination with any required security or access code, password or credential allowing access.</w:t>
      </w:r>
    </w:p>
    <w:p>
      <w:pPr>
        <w:pStyle w:val="TextBody"/>
        <w:bidi w:val="0"/>
        <w:spacing w:before="0" w:after="240"/>
        <w:jc w:val="both"/>
        <w:rPr>
          <w:rFonts w:ascii="Times New Roman" w:hAnsi="Times New Roman"/>
          <w:b/>
          <w:color w:val="6F2F9F"/>
          <w:sz w:val="22"/>
        </w:rPr>
      </w:pPr>
      <w:r>
        <w:rPr>
          <w:rFonts w:ascii="Times New Roman" w:hAnsi="Times New Roman"/>
          <w:b/>
          <w:color w:val="6F2F9F"/>
          <w:sz w:val="22"/>
        </w:rPr>
        <w:t>What About Sensitive Information?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may also collect certain types of information that is considered sensitive data or sensitive personal information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Please be assured that, as explained in the following section, we will only use such sensitive information for the following purposes and as provided by law.</w:t>
      </w:r>
    </w:p>
    <w:p>
      <w:pPr>
        <w:pStyle w:val="TextBody"/>
        <w:bidi w:val="0"/>
        <w:spacing w:before="0" w:after="120"/>
        <w:jc w:val="both"/>
        <w:rPr>
          <w:rFonts w:ascii="Times New Roman" w:hAnsi="Times New Roman"/>
          <w:sz w:val="20"/>
        </w:rPr>
      </w:pPr>
      <w:r>
        <w:rPr>
          <w:rFonts w:ascii="Times New Roman" w:hAnsi="Times New Roman"/>
          <w:b/>
          <w:color w:val="6F2F9F"/>
          <w:sz w:val="22"/>
        </w:rPr>
        <w:t>The Purposes for which we may collect, use, transfer and disclose Personal Information</w:t>
      </w:r>
      <w:r>
        <w:rPr>
          <w:rFonts w:ascii="Times New Roman" w:hAnsi="Times New Roman"/>
          <w:b/>
          <w:color w:val="000000"/>
          <w:sz w:val="22"/>
        </w:rPr>
        <w: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Managing Workforce</w:t>
      </w:r>
      <w:r>
        <w:rPr>
          <w:rFonts w:ascii="Times New Roman" w:hAnsi="Times New Roman"/>
          <w:color w:val="000000"/>
          <w:sz w:val="22"/>
        </w:rPr>
        <w:t xml:space="preserve">: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and reimbursements, planning and monitoring of training requirements and career development activities and skills, and creating and maintaining one or more internal employee directories.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Communications and Emergencies</w:t>
      </w:r>
      <w:r>
        <w:rPr>
          <w:rFonts w:ascii="Times New Roman" w:hAnsi="Times New Roman"/>
          <w:color w:val="000000"/>
          <w:sz w:val="22"/>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Business Operations</w:t>
      </w:r>
      <w:r>
        <w:rPr>
          <w:rFonts w:ascii="Times New Roman" w:hAnsi="Times New Roman"/>
          <w:color w:val="000000"/>
          <w:sz w:val="22"/>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 enhancing services.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Compliance</w:t>
      </w:r>
      <w:r>
        <w:rPr>
          <w:rFonts w:ascii="Times New Roman" w:hAnsi="Times New Roman"/>
          <w:color w:val="000000"/>
          <w:sz w:val="22"/>
        </w:rPr>
        <w:t>: Complying with legal and other requirements and otherwise protecting the company’s legal interests, such as income tax and national insurance deductions, record-keeping and reporting obligations, conducting audits, reporting corporate governance, compliance with government inspections and other requests from 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Monitoring</w:t>
      </w:r>
      <w:r>
        <w:rPr>
          <w:rFonts w:ascii="Times New Roman" w:hAnsi="Times New Roman"/>
          <w:color w:val="000000"/>
          <w:sz w:val="22"/>
        </w:rPr>
        <w:t>: Monitoring use of Company assets,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u w:val="single"/>
        </w:rPr>
        <w:t>Complying with record keeping requirements</w:t>
      </w:r>
      <w:r>
        <w:rPr>
          <w:rFonts w:ascii="Times New Roman" w:hAnsi="Times New Roman"/>
          <w:color w:val="000000"/>
          <w:sz w:val="22"/>
        </w:rPr>
        <w:t>: Complying with record keeping requirements, including retention requirements mandated by statute or governmental regulatory agencies in the geographies where we do business, as defined in our agreements, or per client instructions.</w:t>
      </w:r>
    </w:p>
    <w:p>
      <w:pPr>
        <w:pStyle w:val="TextBody"/>
        <w:bidi w:val="0"/>
        <w:spacing w:before="0" w:after="240"/>
        <w:jc w:val="both"/>
        <w:rPr>
          <w:rFonts w:ascii="Times New Roman" w:hAnsi="Times New Roman"/>
          <w:sz w:val="20"/>
        </w:rPr>
      </w:pPr>
      <w:r>
        <w:rPr>
          <w:rFonts w:ascii="Times New Roman" w:hAnsi="Times New Roman"/>
          <w:b/>
          <w:color w:val="6F2F9F"/>
          <w:sz w:val="22"/>
        </w:rPr>
        <w:t>Aggregate and de-identified information</w:t>
      </w:r>
      <w:r>
        <w:rPr>
          <w:rFonts w:ascii="Times New Roman" w:hAnsi="Times New Roman"/>
          <w:color w:val="000000"/>
          <w:sz w:val="22"/>
        </w:rPr>
        <w:t>. To the extent permitted by law, we may de-identify Personal Information and create 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 identified data cannot be associated with any individual or client. We will only maintain and use such data in a de-identified manner and do not attempt to re-identify the data, except as permitted by law.</w:t>
      </w:r>
    </w:p>
    <w:p>
      <w:pPr>
        <w:pStyle w:val="TextBody"/>
        <w:bidi w:val="0"/>
        <w:spacing w:before="0" w:after="120"/>
        <w:jc w:val="left"/>
        <w:rPr>
          <w:rFonts w:ascii="Times New Roman" w:hAnsi="Times New Roman"/>
          <w:b/>
          <w:color w:val="6F2F9F"/>
          <w:sz w:val="22"/>
        </w:rPr>
      </w:pPr>
      <w:r>
        <w:rPr>
          <w:rFonts w:ascii="Times New Roman" w:hAnsi="Times New Roman"/>
          <w:b/>
          <w:color w:val="6F2F9F"/>
          <w:sz w:val="22"/>
        </w:rPr>
        <w:t>The categories of unaffiliated third parties with whom WTW may share Personal Information: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Professional Advisors</w:t>
      </w:r>
      <w:r>
        <w:rPr>
          <w:rFonts w:ascii="Times New Roman" w:hAnsi="Times New Roman"/>
          <w:color w:val="000000"/>
          <w:sz w:val="22"/>
        </w:rPr>
        <w:t>: Accountants, auditors, lawyers, insurers, bankers, and other outside professional advisors in all of the countries in which the WTW operates.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Service Providers</w:t>
      </w:r>
      <w:r>
        <w:rPr>
          <w:rFonts w:ascii="Times New Roman" w:hAnsi="Times New Roman"/>
          <w:color w:val="000000"/>
          <w:sz w:val="22"/>
        </w:rPr>
        <w:t>: Companies that provide products and services to WTW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u w:val="single"/>
        </w:rPr>
        <w:t>Public and Governmental Authorities</w:t>
      </w:r>
      <w:r>
        <w:rPr>
          <w:rFonts w:ascii="Times New Roman" w:hAnsi="Times New Roman"/>
          <w:color w:val="000000"/>
          <w:sz w:val="22"/>
        </w:rPr>
        <w:t>: Entities that regulate or have jurisdiction over companies in WTW such as regulatory authorities, law enforcement, public bodies, and judicial bodies (who may be located in other countries around the world).</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u w:val="single"/>
        </w:rPr>
        <w:t>Corporate Transaction</w:t>
      </w:r>
      <w:r>
        <w:rPr>
          <w:rFonts w:ascii="Times New Roman" w:hAnsi="Times New Roman"/>
          <w:color w:val="000000"/>
          <w:sz w:val="22"/>
        </w:rPr>
        <w:t>: A third party in connection with any proposed or actual reorganization, merger, amalgamation, sale, joint venture, assignment, transfer or other disposition of all or any portion of WTW's business, assets or stock (including in connection with any bankruptcy or similar proceedings).</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4A116E"/>
          <w:sz w:val="22"/>
          <w:u w:val="single"/>
        </w:rPr>
      </w:pPr>
      <w:r>
        <w:rPr>
          <w:rFonts w:ascii="Times New Roman" w:hAnsi="Times New Roman"/>
          <w:b/>
          <w:color w:val="4A116E"/>
          <w:sz w:val="22"/>
          <w:u w:val="single"/>
        </w:rPr>
        <w:t>ANNEX 2– Processing of Personal Information Related to Internal Investigations</w:t>
      </w:r>
    </w:p>
    <w:p>
      <w:pPr>
        <w:pStyle w:val="TextBody"/>
        <w:bidi w:val="0"/>
        <w:spacing w:before="0" w:after="240"/>
        <w:jc w:val="both"/>
        <w:rPr>
          <w:rFonts w:ascii="Times New Roman" w:hAnsi="Times New Roman"/>
          <w:sz w:val="20"/>
        </w:rPr>
      </w:pPr>
      <w:r>
        <w:rPr>
          <w:rFonts w:ascii="Times New Roman" w:hAnsi="Times New Roman"/>
          <w:color w:val="000000"/>
          <w:sz w:val="22"/>
        </w:rPr>
        <w:t>An internal investigation may arise for a variety of reasons, such as when the Legal or Compliance teams receive a report related to colleague actions or omissions that could constitute abuse, harassment, discrimination, wrongdoing, or violations of law or WTW policy. During an internal investigation, WTW may collect, use and process your Personal Information in accordance with the Global Employee Personal Information Protection Notice</w:t>
      </w:r>
      <w:r>
        <w:rPr>
          <w:rFonts w:ascii="Times New Roman" w:hAnsi="Times New Roman"/>
          <w:color w:val="0000FF"/>
          <w:sz w:val="20"/>
        </w:rPr>
        <w:t xml:space="preserve"> </w:t>
      </w:r>
      <w:r>
        <w:rPr>
          <w:rFonts w:ascii="Times New Roman" w:hAnsi="Times New Roman"/>
          <w:color w:val="000000"/>
          <w:sz w:val="22"/>
        </w:rPr>
        <w:t>generally and also the provisions of this Annex 2.</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an internal investigation, your Personal Information will be processed for the purposes of conducting the investigation. In addition, it may be processed for purposes of WTW ensuring compliance with its ethical and legal responsibilities, and for WTW to act based on the findings of the investigation. The lawful basis for this processing is the legitimate interest of WTW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Personal Information obtained during an internal investigation will be accessible only to those authorized WTW colleagues involved with the investigation. It may also be shared with third parties engaged by WTW who are assisting with the investigation such as legal counsel. Under appropriate circumstances, Personal Information obtained during an investigation may also be shared with legal authorities, regulators and/or the courts.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Personal Information related to the investigation will be maintained for as long as necessary for the purposes set forth above and in accordance with our Records Management Policy. For example, if you are interviewed, the Personal Information related to your interview will be retained, archived, and ultimately deleted in accordance with the WTW Records Management Policy.</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4A116E"/>
          <w:sz w:val="22"/>
          <w:u w:val="single"/>
        </w:rPr>
      </w:pPr>
      <w:r>
        <w:rPr>
          <w:rFonts w:ascii="Times New Roman" w:hAnsi="Times New Roman"/>
          <w:b/>
          <w:color w:val="4A116E"/>
          <w:sz w:val="22"/>
          <w:u w:val="single"/>
        </w:rPr>
        <w:t>ANNEX 3 – Information for California Residents</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publicly available information made lawfully available by state or federal governments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personal information we collect about job applicants or independent contractors at WTW</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pStyle w:val="TextBody"/>
        <w:bidi w:val="0"/>
        <w:spacing w:before="0" w:after="240"/>
        <w:jc w:val="both"/>
        <w:rPr>
          <w:rFonts w:ascii="Times New Roman" w:hAnsi="Times New Roman"/>
          <w:sz w:val="20"/>
        </w:rPr>
      </w:pPr>
      <w:r>
        <w:rPr>
          <w:rFonts w:ascii="Times New Roman" w:hAnsi="Times New Roman"/>
          <w:b/>
          <w:color w:val="6F2F9F"/>
          <w:sz w:val="22"/>
        </w:rPr>
        <w:t>Categories of personal information we collect, disclose, sell, or share</w:t>
      </w:r>
      <w:r>
        <w:rPr>
          <w:rFonts w:ascii="Times New Roman" w:hAnsi="Times New Roman"/>
          <w:color w:val="000000"/>
          <w:sz w:val="22"/>
        </w:rPr>
        <w:t>. Our collection, use and disclosure of personal information about a 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pStyle w:val="TextBody"/>
        <w:bidi w:val="0"/>
        <w:spacing w:before="0" w:after="120"/>
        <w:jc w:val="both"/>
        <w:rPr>
          <w:rFonts w:ascii="Times New Roman" w:hAnsi="Times New Roman"/>
          <w:sz w:val="20"/>
        </w:rPr>
      </w:pPr>
      <w:r>
        <w:rPr>
          <w:rFonts w:ascii="Times New Roman" w:hAnsi="Times New Roman"/>
          <w:b/>
          <w:color w:val="6F2F9F"/>
          <w:sz w:val="22"/>
        </w:rPr>
        <w:t>Rights of California residents</w:t>
      </w:r>
      <w:r>
        <w:rPr>
          <w:rFonts w:ascii="Times New Roman" w:hAnsi="Times New Roman"/>
          <w:b/>
          <w:color w:val="000000"/>
          <w:sz w:val="22"/>
        </w:rPr>
        <w:t xml:space="preserve">. </w:t>
      </w:r>
      <w:r>
        <w:rPr>
          <w:rFonts w:ascii="Times New Roman" w:hAnsi="Times New Roman"/>
          <w:color w:val="000000"/>
          <w:sz w:val="22"/>
        </w:rPr>
        <w:t>California law grants California residents certain rights and imposes restrictions on particular business practices as set forth below.</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Do-Not-Sell</w:t>
      </w:r>
      <w:r>
        <w:rPr>
          <w:rFonts w:ascii="Times New Roman" w:hAnsi="Times New Roman"/>
          <w:color w:val="000000"/>
          <w:sz w:val="22"/>
        </w:rPr>
        <w:t>: California residents have the right to opt-out of our sale of their personal information. We do not “sell” personal information subject to this Notice.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Initial Notice</w:t>
      </w:r>
      <w:r>
        <w:rPr>
          <w:rFonts w:ascii="Times New Roman" w:hAnsi="Times New Roman"/>
          <w:color w:val="000000"/>
          <w:sz w:val="22"/>
        </w:rPr>
        <w:t>: We are required to notify California residents, at or before the point of collection of their personal information, the categories of personal information collected and the purposes for which such information is used.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Request to Delete</w:t>
      </w:r>
      <w:r>
        <w:rPr>
          <w:rFonts w:ascii="Times New Roman" w:hAnsi="Times New Roman"/>
          <w:i/>
          <w:color w:val="000000"/>
          <w:sz w:val="22"/>
        </w:rPr>
        <w:t xml:space="preserve">: </w:t>
      </w:r>
      <w:r>
        <w:rPr>
          <w:rFonts w:ascii="Times New Roman" w:hAnsi="Times New Roman"/>
          <w:color w:val="000000"/>
          <w:sz w:val="22"/>
        </w:rPr>
        <w:t>California residents have the right to request deletion of their personal information that we have collected about 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 xml:space="preserve">Limit the Use of Sensitive Personal Information: </w:t>
      </w:r>
      <w:r>
        <w:rPr>
          <w:rFonts w:ascii="Times New Roman" w:hAnsi="Times New Roman"/>
          <w:color w:val="000000"/>
          <w:sz w:val="22"/>
        </w:rPr>
        <w:t>California residents have the right in certain instances to request that we limit the 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Request to Know</w:t>
      </w:r>
      <w:r>
        <w:rPr>
          <w:rFonts w:ascii="Times New Roman" w:hAnsi="Times New Roman"/>
          <w:color w:val="000000"/>
          <w:sz w:val="22"/>
        </w:rPr>
        <w:t>: California residents have the right to request and, subject to certain exemptions, receive a copy of the specific 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categories of personal information collected;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categories of sources of personal information;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business and/or commercial purposes for collecting and selling their personal information;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categories of third parties with whom we have shared their personal information;</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categories of personal information that we have sold in the preceding 12 months, and for each category identified, the categories of third parties to which we sold that particular category of information;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categories of personal information disclosed for a business purpose in the preceding 12 months, and for each category identified, the categories of third parties to which we disclosed that particular category of personal information.</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Request to Correct</w:t>
      </w:r>
      <w:r>
        <w:rPr>
          <w:rFonts w:ascii="Times New Roman" w:hAnsi="Times New Roman"/>
          <w:color w:val="000000"/>
          <w:sz w:val="22"/>
        </w:rPr>
        <w:t>: California residents have the right to request that we correct inaccurate personal information that we maintain.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Right to Non-Discrimination</w:t>
      </w:r>
      <w:r>
        <w:rPr>
          <w:rFonts w:ascii="Times New Roman" w:hAnsi="Times New Roman"/>
          <w:color w:val="000000"/>
          <w:sz w:val="22"/>
        </w:rPr>
        <w:t>: The CCPA prohibits discrimination against California residents for exercising their rights under the 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i/>
          <w:color w:val="000000"/>
          <w:sz w:val="22"/>
        </w:rPr>
        <w:t>Financial Incentives</w:t>
      </w:r>
      <w:r>
        <w:rPr>
          <w:rFonts w:ascii="Times New Roman" w:hAnsi="Times New Roman"/>
          <w:color w:val="000000"/>
          <w:sz w:val="22"/>
        </w:rPr>
        <w:t>: A business may offer financial incentives for the collection, sale or deletion of California residents’ personal 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i/>
          <w:color w:val="000000"/>
          <w:sz w:val="22"/>
        </w:rPr>
        <w:t>Submitting Requests</w:t>
      </w:r>
      <w:r>
        <w:rPr>
          <w:rFonts w:ascii="Times New Roman" w:hAnsi="Times New Roman"/>
          <w:color w:val="000000"/>
          <w:sz w:val="22"/>
        </w:rPr>
        <w:t>. Do-Not-Sell (Opt-out) Requests, Requests to Know, Requests to Delete, Requests to Limit, and Requests to Correct may be submitted:</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By contacting us at 1-800-889-9288 (toll free)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submitting a Consumer Request through this link</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We will respond to verifiable requests received from California residents as required by law. For more information about our privacy practices, you may contact us as set forth above.</w:t>
      </w:r>
    </w:p>
    <w:p>
      <w:pPr>
        <w:pStyle w:val="TextBody"/>
        <w:bidi w:val="0"/>
        <w:spacing w:before="0" w:after="240"/>
        <w:jc w:val="both"/>
        <w:rPr>
          <w:rFonts w:ascii="Times New Roman" w:hAnsi="Times New Roman"/>
          <w:sz w:val="20"/>
        </w:rPr>
      </w:pPr>
      <w:r>
        <w:rPr>
          <w:rFonts w:ascii="Times New Roman" w:hAnsi="Times New Roman"/>
          <w:b/>
          <w:color w:val="000000"/>
          <w:sz w:val="22"/>
        </w:rPr>
        <w:t>Consumer Requests Received</w:t>
      </w:r>
      <w:r>
        <w:rPr>
          <w:rFonts w:ascii="Times New Roman" w:hAnsi="Times New Roman"/>
          <w:color w:val="000000"/>
          <w:sz w:val="22"/>
        </w:rPr>
        <w:t>. For information about the consumer requests we have received, please see this page.</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6F2F9F"/>
          <w:sz w:val="22"/>
        </w:rPr>
      </w:pPr>
      <w:r>
        <w:rPr>
          <w:rFonts w:ascii="Times New Roman" w:hAnsi="Times New Roman"/>
          <w:b/>
          <w:color w:val="6F2F9F"/>
          <w:sz w:val="22"/>
        </w:rPr>
        <w:t>Opt-Out Preference Signals and “Do-Not-Track” Signals.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4A116E"/>
          <w:sz w:val="22"/>
          <w:u w:val="single"/>
        </w:rPr>
      </w:pPr>
      <w:r>
        <w:rPr>
          <w:rFonts w:ascii="Times New Roman" w:hAnsi="Times New Roman"/>
          <w:b/>
          <w:color w:val="4A116E"/>
          <w:sz w:val="22"/>
          <w:u w:val="single"/>
        </w:rPr>
        <w:t>ANNEX 4 – Information for Residents of the Kingdom of Saudi Arabia</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What do we do? </w:t>
      </w:r>
      <w:r>
        <w:rPr>
          <w:rFonts w:ascii="Times New Roman" w:hAnsi="Times New Roman"/>
          <w:color w:val="000000"/>
          <w:sz w:val="22"/>
        </w:rPr>
        <w:t>At WTW we provide data-driven, insight-led solutions in the areas of people, risk and capital.</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Additional legal basis. </w:t>
      </w:r>
      <w:r>
        <w:rPr>
          <w:rFonts w:ascii="Times New Roman" w:hAnsi="Times New Roman"/>
          <w:color w:val="000000"/>
          <w:sz w:val="22"/>
        </w:rPr>
        <w:t>The PDPL provides for several sets of legal bases for processing personal information. In addition to those listed above, and in the event that personal information is to be processed in accordance with the PDPL, we may process your personal information on the basis of your actual interests – this would be the case where the processing would serve your actual interests, but communicating with you becomes difficult, or even impossible.</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Additional rights. </w:t>
      </w:r>
      <w:r>
        <w:rPr>
          <w:rFonts w:ascii="Times New Roman" w:hAnsi="Times New Roman"/>
          <w:color w:val="000000"/>
          <w:sz w:val="22"/>
        </w:rPr>
        <w:t>You may have the right to claim compensation for material or moral damage if you are harmed as a result of our violation of the PDPL or its implementing regulations.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outlined in the section entitled "Access and correction requests, questions, and complaints" you can complain to us and if you are not satisfied with how we handle your complaint, you can file a complaint to the Saudi Data and Artificial Intelligence Authority at this link: https://sdaia.gov.sa/en/Contact/Pages/ContactUs.aspx</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olor w:val="4A116E"/>
          <w:sz w:val="22"/>
          <w:u w:val="single"/>
        </w:rPr>
      </w:pPr>
      <w:r>
        <w:rPr>
          <w:rFonts w:ascii="Times New Roman" w:hAnsi="Times New Roman"/>
          <w:b/>
          <w:color w:val="4A116E"/>
          <w:sz w:val="22"/>
          <w:u w:val="single"/>
        </w:rPr>
        <w:t>ANNEX 5 - Information for Residents of Bermuda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following information applies to any individual’s personal information used in Bermuda in accordance with PIPA:</w:t>
      </w:r>
    </w:p>
    <w:p>
      <w:pPr>
        <w:pStyle w:val="TextBody"/>
        <w:bidi w:val="0"/>
        <w:spacing w:before="0" w:after="120"/>
        <w:jc w:val="left"/>
        <w:rPr>
          <w:rFonts w:ascii="Times New Roman" w:hAnsi="Times New Roman"/>
          <w:b/>
          <w:color w:val="000000"/>
          <w:sz w:val="22"/>
        </w:rPr>
      </w:pPr>
      <w:r>
        <w:rPr>
          <w:rFonts w:ascii="Times New Roman" w:hAnsi="Times New Roman"/>
          <w:b/>
          <w:color w:val="000000"/>
          <w:sz w:val="22"/>
        </w:rPr>
        <w:t>Individual Rights under PIPA:</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Right to Access</w:t>
      </w:r>
      <w:r>
        <w:rPr>
          <w:rFonts w:ascii="Times New Roman" w:hAnsi="Times New Roman"/>
          <w:color w:val="000000"/>
          <w:sz w:val="22"/>
        </w:rPr>
        <w:t>: You have the right to request access: (i) your personal information in the custody or under the control of the Willis Towers Watson; (ii) the purposes for which your personal information has been and is being used by us; and (iii) the names of the persons or types of persons to whom and circumstances in which your personal information has been and is being disclosed.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Right to Access Medical Records</w:t>
      </w:r>
      <w:r>
        <w:rPr>
          <w:rFonts w:ascii="Times New Roman" w:hAnsi="Times New Roman"/>
          <w:color w:val="000000"/>
          <w:sz w:val="22"/>
        </w:rPr>
        <w:t>: You have the right to request access to personal information (i) of a medical or psychiatric nature; or (ii) kept for the purposes of, or obtained in the course of, the carrying out of social work in relation to the individual.</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Right of Correction</w:t>
      </w:r>
      <w:r>
        <w:rPr>
          <w:rFonts w:ascii="Times New Roman" w:hAnsi="Times New Roman"/>
          <w:color w:val="000000"/>
          <w:sz w:val="22"/>
        </w:rPr>
        <w:t>: You have the right to request us to correct an error or omission in your personal information which is under the control of Willis Towers Watson.</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Right of Erasure or Destruction</w:t>
      </w:r>
      <w:r>
        <w:rPr>
          <w:rFonts w:ascii="Times New Roman" w:hAnsi="Times New Roman"/>
          <w:color w:val="000000"/>
          <w:sz w:val="22"/>
        </w:rPr>
        <w:t>: You have the right to request us to erase or destroy personal information about you where that personal information is no longer relevant for the purposes of its use.</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b/>
          <w:color w:val="000000"/>
          <w:sz w:val="22"/>
        </w:rPr>
        <w:t>Right of Blocking</w:t>
      </w:r>
      <w:r>
        <w:rPr>
          <w:rFonts w:ascii="Times New Roman" w:hAnsi="Times New Roman"/>
          <w:color w:val="000000"/>
          <w:sz w:val="22"/>
        </w:rPr>
        <w:t>: You have the right to request us to cease, or not to begin, using your personal information for the purposes of advertising, marketing or public relations, or where the use of that personal information is causing or is likely to cause substantial damage or substantial distress to you or to another individual.</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b/>
          <w:color w:val="000000"/>
          <w:sz w:val="22"/>
        </w:rPr>
        <w:t>Right to Review or Initiate a Complaint</w:t>
      </w:r>
      <w:r>
        <w:rPr>
          <w:rFonts w:ascii="Times New Roman" w:hAnsi="Times New Roman"/>
          <w:color w:val="000000"/>
          <w:sz w:val="22"/>
        </w:rPr>
        <w:t>: Where an individual has made a request of us in respect of their personal information they may ask the Privacy Commissioner for Bermuda to review our decision, action or failure to act.</w:t>
      </w:r>
    </w:p>
    <w:p>
      <w:pPr>
        <w:pStyle w:val="TextBody"/>
        <w:bidi w:val="0"/>
        <w:spacing w:before="0" w:after="120"/>
        <w:jc w:val="left"/>
        <w:rPr>
          <w:rFonts w:ascii="Times New Roman" w:hAnsi="Times New Roman"/>
          <w:sz w:val="20"/>
        </w:rPr>
      </w:pPr>
      <w:r>
        <w:rPr>
          <w:rFonts w:ascii="Times New Roman" w:hAnsi="Times New Roman"/>
          <w:b/>
          <w:color w:val="000000"/>
          <w:sz w:val="22"/>
        </w:rPr>
        <w:t>Submitting Requests</w:t>
      </w:r>
      <w:r>
        <w:rPr>
          <w:rFonts w:ascii="Times New Roman" w:hAnsi="Times New Roman"/>
          <w:color w:val="000000"/>
          <w:sz w:val="22"/>
        </w:rPr>
        <w:t>: You can exercise your rights by submitting a written request setting out sufficient detail to enable us to reasonably identify the personal information in the request:</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By emailing us at dataaccessrequest@wtwco.com</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submitting a request through this link.</w:t>
      </w:r>
    </w:p>
    <w:p>
      <w:pPr>
        <w:pStyle w:val="TextBody"/>
        <w:bidi w:val="0"/>
        <w:spacing w:before="0" w:after="240"/>
        <w:jc w:val="both"/>
        <w:rPr>
          <w:rFonts w:ascii="Times New Roman" w:hAnsi="Times New Roman"/>
          <w:sz w:val="20"/>
        </w:rPr>
      </w:pPr>
      <w:r>
        <w:rPr>
          <w:rFonts w:ascii="Times New Roman" w:hAnsi="Times New Roman"/>
          <w:b/>
          <w:color w:val="000000"/>
          <w:sz w:val="22"/>
        </w:rPr>
        <w:t>Compensation for financial loss or distress</w:t>
      </w:r>
      <w:r>
        <w:rPr>
          <w:rFonts w:ascii="Times New Roman" w:hAnsi="Times New Roman"/>
          <w:color w:val="000000"/>
          <w:sz w:val="22"/>
        </w:rPr>
        <w:t>: An individual who suffers financial loss or emotional distress by reason of failure to comply with any of the requirements of PIPA by WTW is entitled to compensation from Willis Towers Watson.</w:t>
      </w:r>
    </w:p>
    <w:p>
      <w:pPr>
        <w:pStyle w:val="TextBody"/>
        <w:bidi w:val="0"/>
        <w:spacing w:before="0" w:after="240"/>
        <w:jc w:val="both"/>
        <w:rPr>
          <w:rFonts w:ascii="Times New Roman" w:hAnsi="Times New Roman"/>
          <w:sz w:val="20"/>
        </w:rPr>
      </w:pPr>
      <w:r>
        <w:rPr>
          <w:rFonts w:ascii="Times New Roman" w:hAnsi="Times New Roman"/>
          <w:b/>
          <w:color w:val="000000"/>
          <w:sz w:val="22"/>
        </w:rPr>
        <w:t>How to contact us in Bermuda</w:t>
      </w:r>
      <w:r>
        <w:rPr>
          <w:rFonts w:ascii="Times New Roman" w:hAnsi="Times New Roman"/>
          <w:color w:val="000000"/>
          <w:sz w:val="22"/>
        </w:rPr>
        <w:t>: If you have any questions or comments about this privacy notice regarding PIPA or our uses of personal information, please contact our Privacy Officer by writing to privacy@wtwco.com.</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6 – Special categories of personal Information</w:t>
      </w:r>
    </w:p>
    <w:p>
      <w:pPr>
        <w:pStyle w:val="TextBody"/>
        <w:bidi w:val="0"/>
        <w:spacing w:before="237" w:after="283"/>
        <w:jc w:val="center"/>
        <w:rPr>
          <w:rFonts w:ascii="Times New Roman" w:hAnsi="Times New Roman"/>
          <w:b/>
          <w:color w:val="4A116E"/>
          <w:sz w:val="22"/>
          <w:u w:val="single"/>
        </w:rPr>
      </w:pPr>
      <w:r>
        <w:rPr>
          <w:rFonts w:ascii="Times New Roman" w:hAnsi="Times New Roman"/>
          <w:b/>
          <w:color w:val="4A116E"/>
          <w:sz w:val="22"/>
          <w:u w:val="single"/>
        </w:rPr>
        <w:t>Policy Document Related to the United Kingdom</w:t>
      </w:r>
    </w:p>
    <w:p>
      <w:pPr>
        <w:pStyle w:val="TextBody"/>
        <w:bidi w:val="0"/>
        <w:spacing w:before="234" w:after="283"/>
        <w:jc w:val="right"/>
        <w:rPr>
          <w:rFonts w:ascii="Times New Roman" w:hAnsi="Times New Roman"/>
          <w:sz w:val="20"/>
        </w:rPr>
      </w:pPr>
      <w:r>
        <w:rPr>
          <w:rFonts w:ascii="Times New Roman" w:hAnsi="Times New Roman"/>
          <w:b/>
          <w:smallCaps/>
          <w:color w:val="000000"/>
          <w:sz w:val="22"/>
          <w:u w:val="single"/>
        </w:rPr>
        <w:t>Last updated</w:t>
      </w:r>
      <w:r>
        <w:rPr>
          <w:rFonts w:ascii="Times New Roman" w:hAnsi="Times New Roman"/>
          <w:b/>
          <w:smallCaps/>
          <w:color w:val="000000"/>
          <w:sz w:val="22"/>
        </w:rPr>
        <w:t>: June 2024</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objective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w:t>
      </w:r>
    </w:p>
    <w:p>
      <w:pPr>
        <w:pStyle w:val="TextBody"/>
        <w:bidi w:val="0"/>
        <w:spacing w:before="240" w:after="283"/>
        <w:jc w:val="both"/>
        <w:rPr/>
      </w:pPr>
      <w:r>
        <w:rPr>
          <w:rFonts w:ascii="Times New Roman" w:hAnsi="Times New Roman"/>
          <w:color w:val="000000"/>
          <w:sz w:val="22"/>
        </w:rPr>
        <w:t>This Special categories of personal information Policy Document (the "</w:t>
      </w:r>
      <w:r>
        <w:rPr>
          <w:rFonts w:ascii="Times New Roman" w:hAnsi="Times New Roman"/>
          <w:b/>
          <w:color w:val="000000"/>
          <w:sz w:val="22"/>
        </w:rPr>
        <w:t>Policy</w:t>
      </w:r>
      <w:r>
        <w:rPr>
          <w:rFonts w:ascii="Times New Roman" w:hAnsi="Times New Roman"/>
          <w:color w:val="000000"/>
          <w:sz w:val="22"/>
        </w:rPr>
        <w:t>") has been established to ensure that WTW processes special categories of personal information in a way which complies with the UK Data Protection Act 2018 (the "</w:t>
      </w:r>
      <w:r>
        <w:rPr>
          <w:rFonts w:ascii="Times New Roman" w:hAnsi="Times New Roman"/>
          <w:b/>
          <w:color w:val="000000"/>
          <w:sz w:val="22"/>
        </w:rPr>
        <w:t>Act</w:t>
      </w:r>
      <w:r>
        <w:rPr>
          <w:rFonts w:ascii="Times New Roman" w:hAnsi="Times New Roman"/>
          <w:color w:val="000000"/>
          <w:sz w:val="22"/>
        </w:rPr>
        <w:t>"), where it applies.</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Scope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pStyle w:val="TextBody"/>
        <w:bidi w:val="0"/>
        <w:spacing w:before="240" w:after="283"/>
        <w:jc w:val="both"/>
        <w:rPr/>
      </w:pPr>
      <w:r>
        <w:rPr>
          <w:rFonts w:ascii="Times New Roman" w:hAnsi="Times New Roman"/>
          <w:color w:val="000000"/>
          <w:sz w:val="22"/>
        </w:rPr>
        <w:t xml:space="preserve">This Policy applies to all subsidiary companies of WTW PLC based in the </w:t>
      </w:r>
      <w:r>
        <w:rPr>
          <w:rFonts w:ascii="Times New Roman" w:hAnsi="Times New Roman"/>
          <w:b/>
          <w:color w:val="000000"/>
          <w:sz w:val="22"/>
        </w:rPr>
        <w:t xml:space="preserve">United Kingdom </w:t>
      </w:r>
      <w:r>
        <w:rPr>
          <w:rFonts w:ascii="Times New Roman" w:hAnsi="Times New Roman"/>
          <w:color w:val="000000"/>
          <w:sz w:val="22"/>
        </w:rPr>
        <w:t>(collectively, the "</w:t>
      </w:r>
      <w:r>
        <w:rPr>
          <w:rFonts w:ascii="Times New Roman" w:hAnsi="Times New Roman"/>
          <w:b/>
          <w:color w:val="000000"/>
          <w:sz w:val="22"/>
        </w:rPr>
        <w:t>Company</w:t>
      </w:r>
      <w:r>
        <w:rPr>
          <w:rFonts w:ascii="Times New Roman" w:hAnsi="Times New Roman"/>
          <w:color w:val="000000"/>
          <w:sz w:val="22"/>
        </w:rPr>
        <w:t>" or "</w:t>
      </w:r>
      <w:r>
        <w:rPr>
          <w:rFonts w:ascii="Times New Roman" w:hAnsi="Times New Roman"/>
          <w:b/>
          <w:color w:val="000000"/>
          <w:sz w:val="22"/>
        </w:rPr>
        <w:t>Willis Towers Watson</w:t>
      </w:r>
      <w:r>
        <w:rPr>
          <w:rFonts w:ascii="Times New Roman" w:hAnsi="Times New Roman"/>
          <w:color w:val="000000"/>
          <w:sz w:val="22"/>
        </w:rPr>
        <w:t>"). All permanent and temporary employees, officers and directors (collectively, "</w:t>
      </w:r>
      <w:r>
        <w:rPr>
          <w:rFonts w:ascii="Times New Roman" w:hAnsi="Times New Roman"/>
          <w:b/>
          <w:color w:val="000000"/>
          <w:sz w:val="22"/>
        </w:rPr>
        <w:t>Employees</w:t>
      </w:r>
      <w:r>
        <w:rPr>
          <w:rFonts w:ascii="Times New Roman" w:hAnsi="Times New Roman"/>
          <w:color w:val="000000"/>
          <w:sz w:val="22"/>
        </w:rPr>
        <w:t>") of WTW operations in the United Kingdom are expected to comply with this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Outside the United Kingdom, some jurisdictions may have laws that impose additional requirements as to the way in which WTW processes special categories of personal information. It is the responsibility of WTW entities to ensure compliance with all relevant country, regional and/or state laws, governmental regulations, professional practice obligations and regulatory guidance which relate to data privacy compliance.</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Governance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Owners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Policy Owner is the Chief Privacy Officer. The Chief Privacy Officer will be responsible for liaising with the local supervisory authority in connection with any questions arising in relation to this Policy.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Approval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WTW Chief Privacy Officer is responsible for approval of this Policy.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3.3</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Policy review/material changes to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Policy will be reviewed at least annually, and the Policy Owner will be required to attest to policy adherence with material changes advised to the Privacy Team, for their approval. Global Privacy Office shall agree if such changes require escalation.</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4.</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Background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4.1</w:t>
      </w:r>
    </w:p>
    <w:p>
      <w:pPr>
        <w:pStyle w:val="TextBody"/>
        <w:bidi w:val="0"/>
        <w:spacing w:before="240" w:after="283"/>
        <w:jc w:val="both"/>
        <w:rPr/>
      </w:pPr>
      <w:r>
        <w:rPr>
          <w:rFonts w:ascii="Times New Roman" w:hAnsi="Times New Roman"/>
          <w:color w:val="000000"/>
          <w:sz w:val="22"/>
        </w:rPr>
        <w:t>"</w:t>
      </w:r>
      <w:r>
        <w:rPr>
          <w:rFonts w:ascii="Times New Roman" w:hAnsi="Times New Roman"/>
          <w:b/>
          <w:color w:val="000000"/>
          <w:sz w:val="22"/>
        </w:rPr>
        <w:t>Special categories of personal information</w:t>
      </w:r>
      <w:r>
        <w:rPr>
          <w:rFonts w:ascii="Times New Roman" w:hAnsi="Times New Roman"/>
          <w:color w:val="000000"/>
          <w:sz w:val="22"/>
        </w:rPr>
        <w:t>" is personal data revealing racial or ethnic origin, political opinions, religious or philosophical beliefs, or trade union membership, genetic data or biometric data processed for the purpose of uniquely identifying a natural person, data concerning health or data concerning a natural person’s sex life or sexual orientation. WTW also treats information relating to criminal convictions and offences as falling within the definition of special categories of personal information.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4.2</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WTW collects the following types of special categories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and criminal convictions and offences for insurance purposes and claims handling in relation to insured individuals, claimants and related third parties.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for actuarial, pension scheme, and other benefits consultancy services.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health and criminal convictions and offences for human resources management purposes in relation to employees, contractors and agents.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racial or ethnic origin, religion and sexual orientation for diversity monitoring purposes in relation to job applicants, employees, contractors and agents.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Given the sensitive nature of this information, data privacy law imposes certain restrictions on how special categories of personal information should be collected, used and protected. Failure to comply with data privacy law could lead to complaints from individuals, compensation claims, fines from regulators, and reputational risk for Willis Towers Watson. Failure to observe this Policy by any employee or contractor may result in disciplinary 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4.4</w:t>
      </w:r>
    </w:p>
    <w:p>
      <w:pPr>
        <w:pStyle w:val="TextBody"/>
        <w:bidi w:val="0"/>
        <w:spacing w:before="240" w:after="283"/>
        <w:jc w:val="both"/>
        <w:rPr/>
      </w:pPr>
      <w:r>
        <w:rPr>
          <w:rFonts w:ascii="Times New Roman" w:hAnsi="Times New Roman"/>
          <w:color w:val="000000"/>
          <w:sz w:val="22"/>
        </w:rPr>
        <w:t xml:space="preserve">This Policy is a key element of Willis Towers Watson's Global Privacy Framework and as such it applies in conjunction with all other policies and procedures established by WTW at group, regional and local country level which address the legal requirements and business needs applicable to the processing of data. </w:t>
      </w:r>
      <w:r>
        <w:rPr>
          <w:rFonts w:ascii="Times New Roman" w:hAnsi="Times New Roman"/>
          <w:b/>
          <w:color w:val="000000"/>
          <w:sz w:val="22"/>
        </w:rPr>
        <w:t>In particular, the principles in this document must be applied in accordance with the WTW Global Privacy Policy, the Information Security Policy and the Global Records Management Policy</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policies and procedures that comprise the WTW Global Privacy Framework, including the WTW Global Privacy Policy are available from the Chief Privacy Officer.</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Further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you require more information about data privacy and how the rules set out in this Policy affect WTW companies, you, or third parties, please contact the Chief Privacy Officer.</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5.</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Rules on processing special categories of personal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WTW Global Privacy Policy must be followed when processing special categories of personal information. This contains the following rules and sets out the practical steps that apply in relation to each rule: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C3F3FF" w:val="clear"/>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2"/>
              </w:rPr>
            </w:pPr>
            <w:r>
              <w:rPr>
                <w:rFonts w:ascii="Times New Roman" w:hAnsi="Times New Roman"/>
                <w:b/>
                <w:color w:val="000000"/>
                <w:sz w:val="22"/>
              </w:rPr>
              <w:t>The Rules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Transparency: </w:t>
            </w:r>
            <w:r>
              <w:rPr>
                <w:rFonts w:ascii="Times New Roman" w:hAnsi="Times New Roman"/>
                <w:color w:val="000000"/>
                <w:sz w:val="22"/>
              </w:rPr>
              <w:t>We must be transparent about the way in which we use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Collecting and using personal data for a lawful purpose only: </w:t>
            </w:r>
            <w:r>
              <w:rPr>
                <w:rFonts w:ascii="Times New Roman" w:hAnsi="Times New Roman"/>
                <w:color w:val="000000"/>
                <w:sz w:val="22"/>
              </w:rPr>
              <w:t>We must only collect and use the minimum amount of personal data which is necessary for one or more legitimate business purposes, which must be lawful and justifiable.</w:t>
            </w:r>
          </w:p>
          <w:p>
            <w:pPr>
              <w:pStyle w:val="TableContents"/>
              <w:bidi w:val="0"/>
              <w:spacing w:before="120" w:after="283"/>
              <w:jc w:val="both"/>
              <w:rPr>
                <w:color w:val="000000"/>
              </w:rPr>
            </w:pPr>
            <w:r>
              <w:rPr>
                <w:color w:val="000000"/>
              </w:rPr>
              <w:t>•</w:t>
            </w:r>
          </w:p>
          <w:p>
            <w:pPr>
              <w:pStyle w:val="TableContents"/>
              <w:bidi w:val="0"/>
              <w:spacing w:before="120" w:after="283"/>
              <w:jc w:val="both"/>
              <w:rPr/>
            </w:pPr>
            <w:r>
              <w:rPr>
                <w:rFonts w:ascii="Times New Roman" w:hAnsi="Times New Roman"/>
                <w:b/>
                <w:color w:val="000000"/>
                <w:sz w:val="22"/>
              </w:rPr>
              <w:t xml:space="preserve">Safeguarding special categories of data: </w:t>
            </w:r>
            <w:r>
              <w:rPr>
                <w:rFonts w:ascii="Times New Roman" w:hAnsi="Times New Roman"/>
                <w:color w:val="000000"/>
                <w:sz w:val="22"/>
              </w:rPr>
              <w:t>We must only process special categories of data when it is necessary to do so, and we have explicit consent from individuals or another legal basis to legitimise the processing.</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Data protection impact assessments: </w:t>
            </w:r>
            <w:r>
              <w:rPr>
                <w:rFonts w:ascii="Times New Roman" w:hAnsi="Times New Roman"/>
                <w:color w:val="000000"/>
                <w:sz w:val="22"/>
              </w:rPr>
              <w:t>Where the collection and use of personal data is likely to result in significant risks to the rights and freedoms of individuals, we must carry out an assessment into the impact of the proposed collection and use on individuals.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Ensuring data quality: </w:t>
            </w:r>
            <w:r>
              <w:rPr>
                <w:rFonts w:ascii="Times New Roman" w:hAnsi="Times New Roman"/>
                <w:color w:val="000000"/>
                <w:sz w:val="22"/>
              </w:rPr>
              <w:t>We must keep personal data accurate and up to date.</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Retaining and disposing of data: </w:t>
            </w:r>
            <w:r>
              <w:rPr>
                <w:rFonts w:ascii="Times New Roman" w:hAnsi="Times New Roman"/>
                <w:color w:val="000000"/>
                <w:sz w:val="22"/>
              </w:rPr>
              <w:t>We must keep personal data only for as long as is necessary for a specific business purpose and ensure that it is disposed of securely.</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Respecting individuals' rights: </w:t>
            </w:r>
            <w:r>
              <w:rPr>
                <w:rFonts w:ascii="Times New Roman" w:hAnsi="Times New Roman"/>
                <w:color w:val="000000"/>
                <w:sz w:val="22"/>
              </w:rPr>
              <w:t>We must be receptive to any queries, requests or complaints made by individuals in connection with their personal data in accordance with applicable law.</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Taking appropriate security measures: </w:t>
            </w:r>
            <w:r>
              <w:rPr>
                <w:rFonts w:ascii="Times New Roman" w:hAnsi="Times New Roman"/>
                <w:color w:val="000000"/>
                <w:sz w:val="22"/>
              </w:rPr>
              <w:t>We must implement appropriate technical and organisational security measures to protect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Adopting privacy by design: </w:t>
            </w:r>
            <w:r>
              <w:rPr>
                <w:rFonts w:ascii="Times New Roman" w:hAnsi="Times New Roman"/>
                <w:color w:val="000000"/>
                <w:sz w:val="22"/>
              </w:rPr>
              <w:t>We must adopt privacy by design and privacy by default in systems, databases, tools and features that process personal data.</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Using subcontractors/vendors: </w:t>
            </w:r>
            <w:r>
              <w:rPr>
                <w:rFonts w:ascii="Times New Roman" w:hAnsi="Times New Roman"/>
                <w:color w:val="000000"/>
                <w:sz w:val="22"/>
              </w:rPr>
              <w:t>We must ensure that providers of services to us also adopt appropriate and equivalent security measures.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Disclosing to third parties: </w:t>
            </w:r>
            <w:r>
              <w:rPr>
                <w:rFonts w:ascii="Times New Roman" w:hAnsi="Times New Roman"/>
                <w:color w:val="000000"/>
                <w:sz w:val="22"/>
              </w:rPr>
              <w:t>We must only comply with requests for disclosure of personal data to third parties where we have a legal basis on which to do so, or with the consent of affected individuals.</w:t>
            </w:r>
          </w:p>
          <w:p>
            <w:pPr>
              <w:pStyle w:val="TableContents"/>
              <w:bidi w:val="0"/>
              <w:spacing w:before="120" w:after="283"/>
              <w:jc w:val="left"/>
              <w:rPr>
                <w:color w:val="000000"/>
              </w:rPr>
            </w:pPr>
            <w:r>
              <w:rPr>
                <w:color w:val="000000"/>
              </w:rPr>
              <w:t>•</w:t>
            </w:r>
          </w:p>
          <w:p>
            <w:pPr>
              <w:pStyle w:val="TableContents"/>
              <w:bidi w:val="0"/>
              <w:spacing w:before="120" w:after="283"/>
              <w:jc w:val="left"/>
              <w:rPr/>
            </w:pPr>
            <w:r>
              <w:rPr>
                <w:rFonts w:ascii="Times New Roman" w:hAnsi="Times New Roman"/>
                <w:b/>
                <w:color w:val="000000"/>
                <w:sz w:val="22"/>
              </w:rPr>
              <w:t xml:space="preserve">Ensuring adequate protection for international transfers: </w:t>
            </w:r>
            <w:r>
              <w:rPr>
                <w:rFonts w:ascii="Times New Roman" w:hAnsi="Times New Roman"/>
                <w:color w:val="000000"/>
                <w:sz w:val="22"/>
              </w:rPr>
              <w:t>We must ensure that adequate protection is put in place when making transfers of personal data from one country to another country.</w:t>
            </w:r>
          </w:p>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In particular, we must only collect and use special categories of personal information where necessary and where we have a lawful basis to do so. The lawful basis for processing is usually explicit consent, but the Act permits some processing of special category personal data without consent in the circumstances set out in the table below. In addition, we may be able to process special category personal data personal data without explicit consent when we are co-operating in criminal or other government investigations or inquiries. Prior to processing special category personal data for criminal or other government investigations or inquiries you must consult the local Compliance Team and local Legal counsel who in turn may consult with the Chief Privacy Officer if necessary. All exceptions must be authorised by the Global Head of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When relying on explicit consent, we must ensure that suitable and explicit wording expressing the individual’s consent is provided in any consent forms. Where consent is not relied upon, we must be able to demonstrate that there is another lawful basis under applicable law for the collection and use of such information and make a record of the basis on which such processing is undertaken.</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5.4</w:t>
      </w:r>
    </w:p>
    <w:p>
      <w:pPr>
        <w:pStyle w:val="TextBody"/>
        <w:bidi w:val="0"/>
        <w:spacing w:before="240" w:after="283"/>
        <w:jc w:val="both"/>
        <w:rPr/>
      </w:pPr>
      <w:r>
        <w:rPr>
          <w:rFonts w:ascii="Times New Roman" w:hAnsi="Times New Roman"/>
          <w:color w:val="000000"/>
          <w:sz w:val="22"/>
        </w:rPr>
        <w:t xml:space="preserve">We may process special categories of personal information </w:t>
      </w:r>
      <w:r>
        <w:rPr>
          <w:rFonts w:ascii="Times New Roman" w:hAnsi="Times New Roman"/>
          <w:color w:val="000000"/>
          <w:sz w:val="22"/>
          <w:u w:val="single"/>
        </w:rPr>
        <w:t xml:space="preserve">without </w:t>
      </w:r>
      <w:r>
        <w:rPr>
          <w:rFonts w:ascii="Times New Roman" w:hAnsi="Times New Roman"/>
          <w:color w:val="000000"/>
          <w:sz w:val="22"/>
        </w:rPr>
        <w:t>the explicit consent of the individual affected if the processing is for one of the following purposes: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3165"/>
        <w:gridCol w:w="5863"/>
      </w:tblGrid>
      <w:tr>
        <w:trPr/>
        <w:tc>
          <w:tcPr>
            <w:tcW w:w="1177"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5863" w:type="dxa"/>
            <w:tcBorders/>
            <w:vAlign w:val="center"/>
          </w:tcPr>
          <w:p>
            <w:pPr>
              <w:pStyle w:val="TableContents"/>
              <w:bidi w:val="0"/>
              <w:spacing w:before="0" w:after="283"/>
              <w:jc w:val="left"/>
              <w:rPr>
                <w:sz w:val="4"/>
                <w:szCs w:val="4"/>
              </w:rPr>
            </w:pPr>
            <w:r>
              <w:rPr>
                <w:sz w:val="4"/>
                <w:szCs w:val="4"/>
              </w:rPr>
            </w:r>
          </w:p>
        </w:tc>
      </w:tr>
      <w:tr>
        <w:trPr/>
        <w:tc>
          <w:tcPr>
            <w:tcW w:w="1177" w:type="dxa"/>
            <w:tcBorders>
              <w:top w:val="single" w:sz="4" w:space="0" w:color="000000"/>
              <w:left w:val="single" w:sz="4" w:space="0" w:color="000000"/>
              <w:bottom w:val="single" w:sz="4" w:space="0" w:color="000000"/>
              <w:right w:val="single" w:sz="4" w:space="0" w:color="000000"/>
            </w:tcBorders>
            <w:shd w:fill="6BC8FF" w:val="cle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Act Ref in</w:t>
              <w:br/>
              <w:t>Schedule 1</w:t>
            </w:r>
          </w:p>
        </w:tc>
        <w:tc>
          <w:tcPr>
            <w:tcW w:w="3165" w:type="dxa"/>
            <w:tcBorders>
              <w:top w:val="single" w:sz="4" w:space="0" w:color="000000"/>
              <w:bottom w:val="single" w:sz="4" w:space="0" w:color="000000"/>
              <w:right w:val="single" w:sz="4" w:space="0" w:color="000000"/>
            </w:tcBorders>
            <w:shd w:fill="6BC8FF" w:val="clear"/>
            <w:tcMar>
              <w:lef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Purpose</w:t>
            </w:r>
          </w:p>
        </w:tc>
        <w:tc>
          <w:tcPr>
            <w:tcW w:w="5863" w:type="dxa"/>
            <w:tcBorders>
              <w:top w:val="single" w:sz="4" w:space="0" w:color="000000"/>
              <w:bottom w:val="single" w:sz="4" w:space="0" w:color="000000"/>
              <w:right w:val="single" w:sz="4" w:space="0" w:color="000000"/>
            </w:tcBorders>
            <w:shd w:fill="6BC8FF" w:val="clear"/>
            <w:tcMar>
              <w:lef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Examples</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Employment, social security and social protection</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health information for managing employee sick leave and pay</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2</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Health or social care purposes</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disability information for assessing the working capability of employees</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8</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Equality of opportunity or treatment</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information about racial and ethnic origin, religion, health and sexual orientation for diversity monitoring</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9</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Racial and ethnic diversity at senior levels of organisations</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information about racial and ethnic origin to identify individuals suitable to hold senior positions to promote racial/ethnic diversity</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10</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Preventing or detecting unlawful acts</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health information to detect insurance fraud</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12</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Regulatory requirements relating to unlawful acts and dishonesty</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crime-related information to control insider risk</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14</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Preventing fraud</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crime-related information to prevent fraud</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15</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Suspicion of terrorist financing or money laundering</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crime-related information to identify potential terrorist financing or money laundering</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19</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Safeguarding of economic well- being of certain individuals</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health information about vulnerable customers to protect the economic well-being of the customers</w:t>
            </w:r>
          </w:p>
        </w:tc>
      </w:tr>
      <w:tr>
        <w:trPr/>
        <w:tc>
          <w:tcPr>
            <w:tcW w:w="1177"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Paragraph 20</w:t>
            </w:r>
          </w:p>
        </w:tc>
        <w:tc>
          <w:tcPr>
            <w:tcW w:w="3165"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Insurance</w:t>
            </w:r>
          </w:p>
        </w:tc>
        <w:tc>
          <w:tcPr>
            <w:tcW w:w="5863"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Processing health information or crime- related information for an insurance purpose</w:t>
            </w:r>
          </w:p>
        </w:tc>
      </w:tr>
    </w:tbl>
    <w:p>
      <w:pPr>
        <w:pStyle w:val="TextBody"/>
        <w:bidi w:val="0"/>
        <w:spacing w:before="17" w:after="283"/>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local Data Protection Officer and the Chief Privacy Officer should be informed of any planned significant use of special categories of data. Where the processing of special category data is likely to pose significant risks to the rights and freedoms of individuals, a Data Protection Impact Assessment (DPIA) must be carried out. Based on the results of the DPIA, the local Data Protection Officer together with Local Compliance or Legal Teams or the Chief Privacy Officer can advise whether the processing is legitimate and advise how to mitigate any potential risks in this regard. In certain circumstances we may need to consult with the local supervisory authority regarding the use of such data.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Access to special categories of personal information must be limited to appropriate persons on a need to know basis, in addition other controls should be considered to protect special categories of personal information, including encryption, masking or making the personal data anonymous, in line with Willis Towers Watson’s Information Security Policy and practices.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Special categories of personal information must only be kept where there is a business or legal need to do so and in accordance with Willis Towers Watson's global Records Management Policy, which takes into account that certain categories of data that may be subject to law, regulations, contractual obligations, on-going business relationships and legal claims that will determine the length of time for which data may be retained. When we dispose of personal data, this must be done in a secure manner in line with Willis Towers Watson’s Information Security policies and procedures. Any questions about data retention or disposing of data must be referred to the Global Privacy Office, the local Data Protection Officer, or local Compliance or Legal Team.</w:t>
      </w:r>
    </w:p>
    <w:p>
      <w:pPr>
        <w:pStyle w:val="TextBody"/>
        <w:bidi w:val="0"/>
        <w:spacing w:before="0" w:after="0"/>
        <w:jc w:val="left"/>
        <w:rPr>
          <w:rFonts w:ascii="Times New Roman" w:hAnsi="Times New Roman"/>
          <w:b/>
          <w:smallCaps/>
          <w:color w:val="6F2F9F"/>
          <w:sz w:val="22"/>
        </w:rPr>
      </w:pPr>
      <w:r>
        <w:rPr>
          <w:rFonts w:ascii="Times New Roman" w:hAnsi="Times New Roman"/>
          <w:b/>
          <w:smallCaps/>
          <w:color w:val="6F2F9F"/>
          <w:sz w:val="22"/>
        </w:rPr>
        <w:t>6.</w:t>
      </w:r>
    </w:p>
    <w:p>
      <w:pPr>
        <w:pStyle w:val="TextBody"/>
        <w:bidi w:val="0"/>
        <w:jc w:val="left"/>
        <w:rPr>
          <w:rFonts w:ascii="Times New Roman" w:hAnsi="Times New Roman"/>
          <w:smallCaps/>
          <w:color w:val="000000"/>
          <w:sz w:val="22"/>
        </w:rPr>
      </w:pPr>
      <w:r>
        <w:rPr>
          <w:rFonts w:ascii="Times New Roman" w:hAnsi="Times New Roman"/>
          <w:smallCaps/>
          <w:color w:val="000000"/>
          <w:sz w:val="22"/>
        </w:rPr>
        <w:t>Verifying Compliance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Local Data Protection Officer will undertake periodic compliance reviews in relation to processing of special category personal data and communicate the results to the Chief Privacy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Internal Audit team may also conduct periodic audits to ensure compliance with this Policy. All employees must cooperate with such audits and any outcomes, including remediation plans.</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7.</w:t>
      </w:r>
    </w:p>
    <w:p>
      <w:pPr>
        <w:pStyle w:val="TextBody"/>
        <w:bidi w:val="0"/>
        <w:spacing w:before="240" w:after="283"/>
        <w:jc w:val="left"/>
        <w:rPr>
          <w:rFonts w:ascii="Times New Roman" w:hAnsi="Times New Roman"/>
          <w:smallCaps/>
          <w:color w:val="000000"/>
          <w:sz w:val="22"/>
        </w:rPr>
      </w:pPr>
      <w:r>
        <w:rPr>
          <w:rFonts w:ascii="Times New Roman" w:hAnsi="Times New Roman"/>
          <w:smallCaps/>
          <w:color w:val="000000"/>
          <w:sz w:val="22"/>
        </w:rPr>
        <w:t>Training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Employees and contractors who have access to special categories of personal information, or who are involved in the collection of personal data, or the development of tools that collect and process personal data must undertake appropriate training relevant to their roles and responsibilities as may be assigned from time to time.</w:t>
      </w:r>
    </w:p>
    <w:p>
      <w:pPr>
        <w:pStyle w:val="TextBody"/>
        <w:bidi w:val="0"/>
        <w:spacing w:before="240" w:after="283"/>
        <w:jc w:val="left"/>
        <w:rPr>
          <w:rFonts w:ascii="Times New Roman" w:hAnsi="Times New Roman"/>
          <w:b/>
          <w:smallCaps/>
          <w:color w:val="6F2F9F"/>
          <w:sz w:val="22"/>
        </w:rPr>
      </w:pPr>
      <w:r>
        <w:rPr>
          <w:rFonts w:ascii="Times New Roman" w:hAnsi="Times New Roman"/>
          <w:b/>
          <w:smallCaps/>
          <w:color w:val="6F2F9F"/>
          <w:sz w:val="22"/>
        </w:rPr>
        <w:t>8.</w:t>
      </w:r>
    </w:p>
    <w:p>
      <w:pPr>
        <w:pStyle w:val="TextBody"/>
        <w:bidi w:val="0"/>
        <w:spacing w:before="240" w:after="283"/>
        <w:jc w:val="left"/>
        <w:rPr>
          <w:rFonts w:ascii="Times New Roman" w:hAnsi="Times New Roman"/>
          <w:smallCaps/>
          <w:color w:val="000000"/>
          <w:sz w:val="22"/>
        </w:rPr>
      </w:pPr>
      <w:r>
        <w:rPr>
          <w:rFonts w:ascii="Times New Roman" w:hAnsi="Times New Roman"/>
          <w:smallCaps/>
          <w:color w:val="000000"/>
          <w:sz w:val="22"/>
        </w:rPr>
        <w:t>Maintenance and Contact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review and maintenance of this Policy is the responsibility of the Chief Privacy Officer. Queries and feedback should be directed to the Chief Privacy Officer.</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7 – Information for Residents of Canada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You may have certain rights under applicable Canadian data privacy laws, PIPEDA”), and other similar laws provincial or local laws in relation to personal data. Subject to applicable law, you may request: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Access to your personal information, in a reasonably portable format.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Correction or deletion of your personal information (unless we are required to retain it in accordance with applicable law).</w:t>
      </w:r>
    </w:p>
    <w:p>
      <w:pPr>
        <w:pStyle w:val="TextBody"/>
        <w:bidi w:val="0"/>
        <w:spacing w:before="240" w:after="283"/>
        <w:jc w:val="left"/>
        <w:rPr>
          <w:rFonts w:ascii="Times New Roman" w:hAnsi="Times New Roman"/>
          <w:sz w:val="20"/>
        </w:rPr>
      </w:pPr>
      <w:r>
        <w:rPr>
          <w:rFonts w:ascii="Times New Roman" w:hAnsi="Times New Roman"/>
          <w:color w:val="000000"/>
          <w:sz w:val="22"/>
          <w:u w:val="single"/>
        </w:rPr>
        <w:t>Submitting Requests</w:t>
      </w:r>
      <w:r>
        <w:rPr>
          <w:rFonts w:ascii="Times New Roman" w:hAnsi="Times New Roman"/>
          <w:color w:val="000000"/>
          <w:sz w:val="22"/>
        </w:rPr>
        <w:t>: Requests to exercise privacy rights under Canadian laws may be submitted using this form, by contacting us at 1-800-889-9288 (toll free), or by emailing us at dataaccessrequest@wtwco.com.</w:t>
      </w:r>
    </w:p>
    <w:p>
      <w:pPr>
        <w:pStyle w:val="TextBody"/>
        <w:bidi w:val="0"/>
        <w:spacing w:before="240" w:after="283"/>
        <w:jc w:val="left"/>
        <w:rPr>
          <w:rFonts w:ascii="Times New Roman" w:hAnsi="Times New Roman"/>
          <w:sz w:val="20"/>
        </w:rPr>
      </w:pPr>
      <w:r>
        <w:rPr>
          <w:rFonts w:ascii="Times New Roman" w:hAnsi="Times New Roman"/>
          <w:color w:val="000000"/>
          <w:sz w:val="22"/>
        </w:rPr>
        <w:t>Depending on applicable laws, if your request to exercise a right is denied or not responded to within a reasonable time, you may appeal that decision through this link</w:t>
      </w:r>
      <w:r>
        <w:rPr>
          <w:rFonts w:ascii="Times New Roman" w:hAnsi="Times New Roman"/>
          <w:color w:val="0000FF"/>
          <w:sz w:val="20"/>
        </w:rPr>
        <w:t xml:space="preserve"> </w:t>
      </w:r>
      <w:r>
        <w:rPr>
          <w:rFonts w:ascii="Times New Roman" w:hAnsi="Times New Roman"/>
          <w:color w:val="000000"/>
          <w:sz w:val="22"/>
        </w:rPr>
        <w:t>or emailing privacy@wtwco.com.</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4A116E"/>
          <w:sz w:val="22"/>
          <w:u w:val="single"/>
        </w:rPr>
      </w:pPr>
      <w:r>
        <w:rPr>
          <w:rFonts w:ascii="Times New Roman" w:hAnsi="Times New Roman"/>
          <w:b/>
          <w:color w:val="4A116E"/>
          <w:sz w:val="22"/>
          <w:u w:val="single"/>
        </w:rPr>
        <w:t>ANNEX 8 – Information for Residents of Brazil</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following information applies to any individual’s personal information used in Brazil in accordance with the Brazilian General Data Protection Law (LGPD):</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Legal Bases for Processing Personal Information under the LGPD: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Pursuant to the LGPD, we use or process personal information in accordance with the following legal bases: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fulfil our contractual obligations to you in connection with your employment contract with us;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comply with our legal obligations, for example for complying with social security requirements, or health and safety obligations that we must comply with as your employer or to a third party (e.g. the taxation authorities);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for the regular exercise of our rights in administrative, judicial or arbitration proceedings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protect your or another person's life or physical integrity, for example by providing your health information to a doctor in a medical emergency;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our DPO.</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Individual Rights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Under the LGPD, individuals have certain rights related to their personal data, subject to other limitations in this law,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Confirmation of the existence of data processing;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Access to your personal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Correction of incomplete, inaccurate, or out-of-date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Anonymization, blocking, or deletion of unnecessary or excessive data, or data processed in non-compliance with LGPD;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Portability of data to another service or product provider, subject to our commercial or industrial secrets;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Deletion of personal data processed with basis on your consent, to the extent permitted by the LGPD;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the entities with whom we have shared personal data;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about the possibility of denying consent and consequences of such denial;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Revocation of consent;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Objection to any processing of personal data to the extent that we rely on legal bases other than your consent, in case of violation of the LGPD;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Revision of decisions taken solely on the basis of automated processing of your personal data which affects your interests, including decisions intended to define personal, professional, consumer or credit profile or aspects of your personality;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Lodging a complaint with the National Authority (“ANPD”) if you consider that the processing of your personal data infringes the LGPD provisions.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Transfer of Personal Information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Please find below consolidated information on cross-border transfer of personal data that we may carry out under LGPD, as set out in Section 5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Form, Duration and Specific Purpose of the Cross-border Transfer: We may transfer personal information relating to you from Brazil via our internal networks, for the purposes described in Annex 1 of this Notice, and your Personal Data will be retained in relation to the international transfer as described in Section 7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Country of Destination: Your Personal Data may be stored or accessed in any of the countries where we operate, including Canada, the United States, Mexico, the European Union, India, and the Philippines.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Identification of the controller: See Section 1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shared used and the purpose of sharing: See purposes described in Annex 1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responsibilities of the processing agents and the security measures adopted: the data controller shall be responsible for (i) publishing information on the cross- border transfer; (ii) responding to data subjects’ requests; and (iii) notifying ANPD and data subjects of security incidents which may cause significant risk or damage to data subjects. See security measures described in Section 6 of this Notice.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The rights of the data subject and the means of exercising them: See Individual rights listed above and contact information for submitting requests in section 11 of this Notice.</w:t>
      </w:r>
    </w:p>
    <w:p>
      <w:pPr>
        <w:pStyle w:val="HorizontalLine"/>
        <w:pBdr>
          <w:bottom w:val="double" w:sz="2" w:space="0" w:color="808080"/>
        </w:pBdr>
        <w:bidi w:val="0"/>
        <w:spacing w:before="0" w:after="283"/>
        <w:jc w:val="left"/>
        <w:rPr/>
      </w:pPr>
      <w:r>
        <w:rPr/>
      </w:r>
    </w:p>
    <w:p>
      <w:pPr>
        <w:pStyle w:val="TextBody"/>
        <w:bidi w:val="0"/>
        <w:jc w:val="left"/>
        <w:rPr/>
      </w:pPr>
      <w:bookmarkStart w:id="62" w:name="wtw-ex10_4.htm"/>
      <w:bookmarkStart w:id="63" w:name="kswtwex10_4"/>
      <w:bookmarkEnd w:id="62"/>
      <w:bookmarkEnd w:id="63"/>
      <w:r>
        <w:rPr/>
        <w:t> </w:t>
      </w:r>
      <w:r>
        <w:br w:type="page"/>
      </w:r>
    </w:p>
    <w:p>
      <w:pPr>
        <w:pStyle w:val="Heading1"/>
        <w:bidi w:val="0"/>
        <w:spacing w:before="68" w:after="283"/>
        <w:jc w:val="right"/>
        <w:rPr>
          <w:rFonts w:ascii="Times New Roman" w:hAnsi="Times New Roman"/>
          <w:color w:val="000000"/>
          <w:sz w:val="24"/>
        </w:rPr>
      </w:pPr>
      <w:r>
        <w:rPr>
          <w:rFonts w:ascii="Times New Roman" w:hAnsi="Times New Roman"/>
          <w:color w:val="000000"/>
          <w:sz w:val="24"/>
        </w:rPr>
        <w:t>Exhibit 10.4</w:t>
      </w:r>
    </w:p>
    <w:p>
      <w:pPr>
        <w:pStyle w:val="Heading1"/>
        <w:bidi w:val="0"/>
        <w:spacing w:before="68" w:after="283"/>
        <w:jc w:val="center"/>
        <w:rPr/>
      </w:pPr>
      <w:r>
        <w:rPr/>
        <w:t> </w:t>
      </w:r>
    </w:p>
    <w:p>
      <w:pPr>
        <w:pStyle w:val="Heading1"/>
        <w:bidi w:val="0"/>
        <w:spacing w:before="68" w:after="283"/>
        <w:jc w:val="center"/>
        <w:rPr>
          <w:rFonts w:ascii="Times New Roman" w:hAnsi="Times New Roman"/>
          <w:color w:val="000000"/>
          <w:sz w:val="24"/>
        </w:rPr>
      </w:pPr>
      <w:r>
        <w:rPr>
          <w:rFonts w:ascii="Times New Roman" w:hAnsi="Times New Roman"/>
          <w:color w:val="000000"/>
          <w:sz w:val="24"/>
        </w:rPr>
        <w:t>WILLIS TOWERS WATSON PUBLIC LIMITED COMPANY COMPENSATION POLICY AND SHARE OWNERSHIP GUIDELINES FOR NON-EMPLOYEE DIRECTORS</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May 20, 2026</w:t>
      </w:r>
    </w:p>
    <w:p>
      <w:pPr>
        <w:pStyle w:val="TextBody"/>
        <w:bidi w:val="0"/>
        <w:spacing w:before="180" w:after="283"/>
        <w:jc w:val="both"/>
        <w:rPr>
          <w:rFonts w:ascii="Times New Roman" w:hAnsi="Times New Roman"/>
          <w:sz w:val="20"/>
        </w:rPr>
      </w:pPr>
      <w:r>
        <w:rPr>
          <w:rFonts w:ascii="Times New Roman" w:hAnsi="Times New Roman"/>
          <w:color w:val="000000"/>
          <w:sz w:val="24"/>
        </w:rPr>
        <w:t>The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of Willis Towers Watson Public Limited Company, a company organized under the laws of Ireland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has deemed it advisable and in the best interests of the Company to formalize the current Non-Employee Director compensation package and share ownership guidelines through the adoption of this Compensation and Ownership Policy (the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pPr>
      <w:r>
        <w:rPr>
          <w:rFonts w:ascii="Times New Roman" w:hAnsi="Times New Roman"/>
          <w:b/>
          <w:color w:val="000000"/>
          <w:sz w:val="24"/>
        </w:rPr>
        <w:t>Definitions</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b/>
          <w:color w:val="000000"/>
          <w:sz w:val="24"/>
        </w:rPr>
        <w:t>Non-Employee Director</w:t>
      </w:r>
      <w:r>
        <w:rPr>
          <w:color w:val="000000"/>
        </w:rPr>
        <w:t xml:space="preserve">” </w:t>
      </w:r>
      <w:r>
        <w:rPr>
          <w:rFonts w:ascii="Times New Roman" w:hAnsi="Times New Roman"/>
          <w:color w:val="000000"/>
          <w:sz w:val="24"/>
        </w:rPr>
        <w:t>means a member of the Board who is not an employee of the Company or any of its subsidiaries or affiliates.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b/>
          <w:color w:val="000000"/>
          <w:sz w:val="24"/>
        </w:rPr>
        <w:t>Specified Currency</w:t>
      </w:r>
      <w:r>
        <w:rPr>
          <w:color w:val="000000"/>
        </w:rPr>
        <w:t xml:space="preserve">” </w:t>
      </w:r>
      <w:r>
        <w:rPr>
          <w:rFonts w:ascii="Times New Roman" w:hAnsi="Times New Roman"/>
          <w:color w:val="000000"/>
          <w:sz w:val="24"/>
        </w:rPr>
        <w:t>means United States Dollars (“</w:t>
      </w:r>
      <w:r>
        <w:rPr>
          <w:rFonts w:ascii="Times New Roman" w:hAnsi="Times New Roman"/>
          <w:b/>
          <w:color w:val="000000"/>
          <w:sz w:val="24"/>
        </w:rPr>
        <w:t>USD</w:t>
      </w:r>
      <w:r>
        <w:rPr>
          <w:color w:val="000000"/>
        </w:rPr>
        <w:t>”</w:t>
      </w:r>
      <w:r>
        <w:rPr>
          <w:rFonts w:ascii="Times New Roman" w:hAnsi="Times New Roman"/>
          <w:color w:val="000000"/>
          <w:sz w:val="24"/>
        </w:rPr>
        <w:t>), Euros (“</w:t>
      </w:r>
      <w:r>
        <w:rPr>
          <w:rFonts w:ascii="Times New Roman" w:hAnsi="Times New Roman"/>
          <w:b/>
          <w:color w:val="000000"/>
          <w:sz w:val="24"/>
        </w:rPr>
        <w:t>EUR</w:t>
      </w:r>
      <w:r>
        <w:rPr>
          <w:color w:val="000000"/>
        </w:rPr>
        <w:t>”</w:t>
      </w:r>
      <w:r>
        <w:rPr>
          <w:rFonts w:ascii="Times New Roman" w:hAnsi="Times New Roman"/>
          <w:color w:val="000000"/>
          <w:sz w:val="24"/>
        </w:rPr>
        <w:t>), Great British Pounds (“</w:t>
      </w:r>
      <w:r>
        <w:rPr>
          <w:rFonts w:ascii="Times New Roman" w:hAnsi="Times New Roman"/>
          <w:b/>
          <w:color w:val="000000"/>
          <w:sz w:val="24"/>
        </w:rPr>
        <w:t>GBP</w:t>
      </w:r>
      <w:r>
        <w:rPr>
          <w:color w:val="000000"/>
        </w:rPr>
        <w:t>”</w:t>
      </w:r>
      <w:r>
        <w:rPr>
          <w:rFonts w:ascii="Times New Roman" w:hAnsi="Times New Roman"/>
          <w:color w:val="000000"/>
          <w:sz w:val="24"/>
        </w:rPr>
        <w:t>), or the Non-Employee Director’s Primary Currency (as defined in Section 6(a) below).</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Times New Roman" w:hAnsi="Times New Roman"/>
          <w:b/>
          <w:color w:val="000000"/>
          <w:sz w:val="24"/>
        </w:rPr>
        <w:t>Term of Service</w:t>
      </w:r>
      <w:r>
        <w:rPr>
          <w:color w:val="000000"/>
        </w:rPr>
        <w:t xml:space="preserve">” </w:t>
      </w:r>
      <w:r>
        <w:rPr>
          <w:rFonts w:ascii="Times New Roman" w:hAnsi="Times New Roman"/>
          <w:b/>
          <w:color w:val="000000"/>
          <w:sz w:val="24"/>
        </w:rPr>
        <w:t xml:space="preserve">or </w:t>
      </w: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with Respect to Non-Employee Directors means the period of time from his or her annual election at the Annual General Meeting of Shareholders (“</w:t>
      </w:r>
      <w:r>
        <w:rPr>
          <w:rFonts w:ascii="Times New Roman" w:hAnsi="Times New Roman"/>
          <w:b/>
          <w:color w:val="000000"/>
          <w:sz w:val="24"/>
        </w:rPr>
        <w:t>AGM</w:t>
      </w:r>
      <w:r>
        <w:rPr>
          <w:color w:val="000000"/>
        </w:rPr>
        <w:t>”</w:t>
      </w:r>
      <w:r>
        <w:rPr>
          <w:rFonts w:ascii="Times New Roman" w:hAnsi="Times New Roman"/>
          <w:color w:val="000000"/>
          <w:sz w:val="24"/>
        </w:rPr>
        <w:t>) (or such later date if the Non-Employee Director is appointed following the date of an AGM) until the next AGM.</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Times New Roman" w:hAnsi="Times New Roman"/>
          <w:b/>
          <w:color w:val="000000"/>
          <w:sz w:val="24"/>
        </w:rPr>
        <w:t xml:space="preserve">Term of Service” or “Term” </w:t>
      </w:r>
      <w:r>
        <w:rPr>
          <w:rFonts w:ascii="Times New Roman" w:hAnsi="Times New Roman"/>
          <w:color w:val="000000"/>
          <w:sz w:val="24"/>
        </w:rPr>
        <w:t>with Respect to the Board and Committee Chairs means the period commencing on his or her appointment by the Board to such position and ending on the date of reappointment if the Non-Employee Director is reappointed (or ending on the date of the next AGM if the Non-Employee Director is not reappointed).</w:t>
      </w:r>
    </w:p>
    <w:p>
      <w:pPr>
        <w:pStyle w:val="TextBody"/>
        <w:bidi w:val="0"/>
        <w:spacing w:before="10"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 w:after="283"/>
        <w:jc w:val="left"/>
        <w:rPr/>
      </w:pPr>
      <w:r>
        <w:rPr>
          <w:rFonts w:ascii="Times New Roman" w:hAnsi="Times New Roman"/>
          <w:b/>
          <w:color w:val="000000"/>
          <w:sz w:val="24"/>
        </w:rPr>
        <w:t>Term Cash Fees</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b/>
          <w:color w:val="000000"/>
          <w:sz w:val="24"/>
        </w:rPr>
        <w:t>Non-Employee Director Base Fee</w:t>
      </w:r>
      <w:r>
        <w:rPr>
          <w:rFonts w:ascii="Times New Roman" w:hAnsi="Times New Roman"/>
          <w:color w:val="000000"/>
          <w:sz w:val="24"/>
        </w:rPr>
        <w:t xml:space="preserve">. For each term of service as a Non-Employee Director, a cash fee of $125,000 shall be paid to each Non-Employee Director. </w:t>
      </w:r>
      <w:r>
        <w:rPr>
          <w:rFonts w:ascii="Times New Roman" w:hAnsi="Times New Roman"/>
          <w:i/>
          <w:color w:val="000000"/>
          <w:sz w:val="24"/>
        </w:rPr>
        <w:t>Each Non-Employee Director may elect to receive such fee 100% in equity on the same terms and conditions as the equity granted under Section 3 below.</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Committee Chair Premium Fees</w:t>
      </w:r>
      <w:r>
        <w:rPr>
          <w:rFonts w:ascii="Times New Roman" w:hAnsi="Times New Roman"/>
          <w:color w:val="000000"/>
          <w:sz w:val="24"/>
        </w:rPr>
        <w:t>. The additional fees set forth below shall be paid to a Non-Employee Director for each term of service that he or she serves as the Board Chair or chair of a Board committee, as set forth below. For the avoidance of any doubt, no additional or separate fees or other compensation shall be paid to a Non-Employee Director for services provided as a member of a Board committee.</w:t>
      </w:r>
    </w:p>
    <w:p>
      <w:pPr>
        <w:pStyle w:val="TextBody"/>
        <w:bidi w:val="0"/>
        <w:spacing w:before="9"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1"/>
        <w:gridCol w:w="8793"/>
        <w:gridCol w:w="1051"/>
      </w:tblGrid>
      <w:tr>
        <w:trPr/>
        <w:tc>
          <w:tcPr>
            <w:tcW w:w="361" w:type="dxa"/>
            <w:tcBorders/>
            <w:vAlign w:val="center"/>
          </w:tcPr>
          <w:p>
            <w:pPr>
              <w:pStyle w:val="TableContents"/>
              <w:bidi w:val="0"/>
              <w:spacing w:before="0" w:after="283"/>
              <w:jc w:val="left"/>
              <w:rPr>
                <w:sz w:val="4"/>
                <w:szCs w:val="4"/>
              </w:rPr>
            </w:pPr>
            <w:r>
              <w:rPr>
                <w:sz w:val="4"/>
                <w:szCs w:val="4"/>
              </w:rPr>
            </w:r>
          </w:p>
        </w:tc>
        <w:tc>
          <w:tcPr>
            <w:tcW w:w="879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ind w:left="0" w:right="0" w:firstLine="50"/>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color w:val="000000"/>
                <w:sz w:val="24"/>
              </w:rPr>
            </w:pPr>
            <w:r>
              <w:rPr>
                <w:rFonts w:ascii="Times New Roman" w:hAnsi="Times New Roman"/>
                <w:color w:val="000000"/>
                <w:sz w:val="24"/>
              </w:rPr>
              <w:t>i.</w:t>
            </w:r>
          </w:p>
        </w:tc>
        <w:tc>
          <w:tcPr>
            <w:tcW w:w="87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Chair of the Board:</w:t>
            </w:r>
          </w:p>
          <w:p>
            <w:pPr>
              <w:pStyle w:val="TableContents"/>
              <w:bidi w:val="0"/>
              <w:jc w:val="left"/>
              <w:rPr>
                <w:rFonts w:ascii="Times New Roman" w:hAnsi="Times New Roman"/>
                <w:i/>
                <w:color w:val="000000"/>
                <w:sz w:val="22"/>
              </w:rPr>
            </w:pPr>
            <w:r>
              <w:rPr>
                <w:rFonts w:ascii="Times New Roman" w:hAnsi="Times New Roman"/>
                <w:i/>
                <w:color w:val="000000"/>
                <w:sz w:val="22"/>
              </w:rPr>
              <w:t>provided, however, that the Chair may elect to receive such fee 100% in equity on the same terms and conditions as the equity granted under Section 3 below.</w:t>
            </w:r>
          </w:p>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$100,000</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ii.</w:t>
            </w:r>
          </w:p>
        </w:tc>
        <w:tc>
          <w:tcPr>
            <w:tcW w:w="87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Chair of the Audit Committee:</w:t>
            </w:r>
          </w:p>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$35,000</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iii.</w:t>
            </w:r>
          </w:p>
        </w:tc>
        <w:tc>
          <w:tcPr>
            <w:tcW w:w="87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Chair of the Risk and Operational Oversight Committee:</w:t>
            </w:r>
          </w:p>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$35,000</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iv.</w:t>
            </w:r>
          </w:p>
        </w:tc>
        <w:tc>
          <w:tcPr>
            <w:tcW w:w="87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Chair of the Human Capital and Compensation Committee:</w:t>
            </w:r>
          </w:p>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$27,500</w:t>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v.</w:t>
            </w:r>
          </w:p>
        </w:tc>
        <w:tc>
          <w:tcPr>
            <w:tcW w:w="879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Chair of the Corporate Governance &amp; Nominating Committee:</w:t>
            </w:r>
          </w:p>
          <w:p>
            <w:pPr>
              <w:pStyle w:val="TableContents"/>
              <w:bidi w:val="0"/>
              <w:spacing w:before="0" w:after="283"/>
              <w:jc w:val="left"/>
              <w:rPr/>
            </w:pPr>
            <w:r>
              <w:rPr/>
              <w:t> </w:t>
            </w:r>
          </w:p>
        </w:tc>
        <w:tc>
          <w:tcPr>
            <w:tcW w:w="1051" w:type="dxa"/>
            <w:tcBorders/>
            <w:tcMar>
              <w:top w:w="0" w:type="dxa"/>
              <w:left w:w="0" w:type="dxa"/>
              <w:bottom w:w="0" w:type="dxa"/>
              <w:right w:w="0" w:type="dxa"/>
            </w:tcMar>
            <w:vAlign w:val="center"/>
          </w:tcPr>
          <w:p>
            <w:pPr>
              <w:pStyle w:val="TableContents"/>
              <w:bidi w:val="0"/>
              <w:jc w:val="right"/>
              <w:rPr>
                <w:rFonts w:ascii="Times New Roman" w:hAnsi="Times New Roman"/>
                <w:color w:val="000000"/>
                <w:sz w:val="24"/>
              </w:rPr>
            </w:pPr>
            <w:r>
              <w:rPr>
                <w:rFonts w:ascii="Times New Roman" w:hAnsi="Times New Roman"/>
                <w:color w:val="000000"/>
                <w:sz w:val="24"/>
              </w:rPr>
              <w:t>$22,500</w:t>
            </w:r>
          </w:p>
          <w:p>
            <w:pPr>
              <w:pStyle w:val="TableContents"/>
              <w:bidi w:val="0"/>
              <w:spacing w:before="0" w:after="283"/>
              <w:jc w:val="left"/>
              <w:rPr/>
            </w:pPr>
            <w:r>
              <w:rPr/>
              <w:t> </w:t>
            </w:r>
          </w:p>
        </w:tc>
      </w:tr>
    </w:tbl>
    <w:p>
      <w:pPr>
        <w:pStyle w:val="TextBody"/>
        <w:bidi w:val="0"/>
        <w:spacing w:before="8" w:after="283"/>
        <w:jc w:val="left"/>
        <w:rPr/>
      </w:pPr>
      <w:r>
        <w:rPr/>
        <w:t> </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90" w:after="283"/>
        <w:jc w:val="both"/>
        <w:rPr>
          <w:rFonts w:ascii="Times New Roman" w:hAnsi="Times New Roman"/>
          <w:color w:val="000000"/>
          <w:sz w:val="24"/>
        </w:rPr>
      </w:pPr>
      <w:r>
        <w:rPr>
          <w:rFonts w:ascii="Times New Roman" w:hAnsi="Times New Roman"/>
          <w:color w:val="000000"/>
          <w:sz w:val="24"/>
        </w:rPr>
        <w:t>If, for an upcoming term, a Non-Employee Director elects to receive his/her:</w:t>
      </w:r>
    </w:p>
    <w:p>
      <w:pPr>
        <w:pStyle w:val="TextBody"/>
        <w:bidi w:val="0"/>
        <w:spacing w:before="10" w:after="283"/>
        <w:jc w:val="left"/>
        <w:rPr/>
      </w:pPr>
      <w:r>
        <w:rPr/>
        <w:t> </w:t>
      </w:r>
    </w:p>
    <w:tbl>
      <w:tblPr>
        <w:tblW w:w="8747" w:type="dxa"/>
        <w:jc w:val="left"/>
        <w:tblInd w:w="0" w:type="dxa"/>
        <w:tblLayout w:type="fixed"/>
        <w:tblCellMar>
          <w:top w:w="28" w:type="dxa"/>
          <w:left w:w="28" w:type="dxa"/>
          <w:bottom w:w="28" w:type="dxa"/>
          <w:right w:w="28" w:type="dxa"/>
        </w:tblCellMar>
      </w:tblPr>
      <w:tblGrid>
        <w:gridCol w:w="301"/>
        <w:gridCol w:w="8446"/>
      </w:tblGrid>
      <w:tr>
        <w:trPr/>
        <w:tc>
          <w:tcPr>
            <w:tcW w:w="301" w:type="dxa"/>
            <w:tcBorders/>
            <w:vAlign w:val="center"/>
          </w:tcPr>
          <w:p>
            <w:pPr>
              <w:pStyle w:val="TableContents"/>
              <w:bidi w:val="0"/>
              <w:spacing w:before="0" w:after="283"/>
              <w:jc w:val="left"/>
              <w:rPr>
                <w:sz w:val="4"/>
                <w:szCs w:val="4"/>
              </w:rPr>
            </w:pPr>
            <w:r>
              <w:rPr>
                <w:sz w:val="4"/>
                <w:szCs w:val="4"/>
              </w:rPr>
            </w:r>
          </w:p>
        </w:tc>
        <w:tc>
          <w:tcPr>
            <w:tcW w:w="8446"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w:t>
            </w:r>
          </w:p>
        </w:tc>
        <w:tc>
          <w:tcPr>
            <w:tcW w:w="84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Base Fee, set forth under Section 2(a), 100% in equity; and/or</w:t>
            </w:r>
          </w:p>
          <w:p>
            <w:pPr>
              <w:pStyle w:val="TableContents"/>
              <w:bidi w:val="0"/>
              <w:spacing w:before="0" w:after="283"/>
              <w:jc w:val="left"/>
              <w:rPr/>
            </w:pPr>
            <w:r>
              <w:rPr/>
              <w:t> </w:t>
            </w:r>
          </w:p>
        </w:tc>
      </w:tr>
      <w:tr>
        <w:trPr/>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ii.</w:t>
            </w:r>
          </w:p>
        </w:tc>
        <w:tc>
          <w:tcPr>
            <w:tcW w:w="8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Board Chair Premium Fee, if applicable, set forth under Section 2(b)(i), 100% in equity,</w:t>
            </w:r>
          </w:p>
        </w:tc>
      </w:tr>
    </w:tbl>
    <w:p>
      <w:pPr>
        <w:pStyle w:val="TextBody"/>
        <w:bidi w:val="0"/>
        <w:spacing w:before="10"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then such election(s) shall be made in writing, substantially in the form attached hereto as </w:t>
      </w:r>
      <w:r>
        <w:rPr>
          <w:rFonts w:ascii="Times New Roman" w:hAnsi="Times New Roman"/>
          <w:color w:val="000000"/>
          <w:sz w:val="24"/>
          <w:u w:val="single"/>
        </w:rPr>
        <w:t>Exhibit A</w:t>
      </w:r>
      <w:r>
        <w:rPr>
          <w:rFonts w:ascii="Times New Roman" w:hAnsi="Times New Roman"/>
          <w:color w:val="000000"/>
          <w:sz w:val="24"/>
        </w:rPr>
        <w:t>, and sent to the Company Secretary during an “open window” (as defined by the Company’s Insider Trading Policy), when the Non-Employee Director does not possess any material, non-public information, and by December 31st of the calendar year immediately preceding the calendar year in which the upcoming term is scheduled to commence. If no election is made by the Non-Employee Director, he/she will receive the applicable fee(s) in cash.</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b/>
          <w:color w:val="000000"/>
          <w:sz w:val="24"/>
        </w:rPr>
        <w:t>Vesting; Accelerated Vesting</w:t>
      </w:r>
      <w:r>
        <w:rPr>
          <w:rFonts w:ascii="Times New Roman" w:hAnsi="Times New Roman"/>
          <w:color w:val="000000"/>
          <w:sz w:val="24"/>
        </w:rPr>
        <w:t xml:space="preserve">. Cash fees shall vest and be payable in four equal quarterly installments at the end of each calendar quarter;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if any Non-Employee Director is appointed, in accordance with applicable law and the Company’s Memorandum and Articles of Association and other corporate governance documents, to fill a vacancy after an AGM or if the Chair of the Board, Chair of a Committee or Member of any Board Committee is appointed in the middle of a term, then, in the discretion of the Human Capital and Compensation Committee, such Non-Employee Director may be entitled to a prorated portion of the cash fees based on the portion of a calendar quarter during which the Non-Employee Director served in the relevant position. Notwithstanding the foregoing, if a Non-Employee Director ceases to serve through one or more quarterly vesting dates due to death, disability, removal, resignation or retirement, the Human Capital and Compensation Committee shall have the discretion to accelerate the vesting of all or a portion of the cash fees as of the date of such cessation of service. Otherwise, the unvested cash fees in respect of the remainder of the relevant term shall be forfeited.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b/>
          <w:color w:val="000000"/>
          <w:sz w:val="24"/>
        </w:rPr>
        <w:t>Multiple Roles</w:t>
      </w:r>
      <w:r>
        <w:rPr>
          <w:rFonts w:ascii="Times New Roman" w:hAnsi="Times New Roman"/>
          <w:color w:val="000000"/>
          <w:sz w:val="24"/>
        </w:rPr>
        <w:t>. If a Non-Employee Director serves in more than one of the roles noted in Section 2(b), he/she shall be entitled to receive compensation for each role, provided that no additional compensation shall be payable to a Non-Employee Director serving as the Board Chair for services performed as a Board committee chair.</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58"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58" w:after="283"/>
        <w:jc w:val="left"/>
        <w:rPr/>
      </w:pPr>
      <w:r>
        <w:rPr>
          <w:rFonts w:ascii="Times New Roman" w:hAnsi="Times New Roman"/>
          <w:b/>
          <w:color w:val="000000"/>
          <w:sz w:val="24"/>
        </w:rPr>
        <w:t>Annual Equity Grant</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b/>
          <w:color w:val="000000"/>
          <w:sz w:val="24"/>
        </w:rPr>
        <w:t>Non-Employee Directors</w:t>
      </w:r>
      <w:r>
        <w:rPr>
          <w:rFonts w:ascii="Times New Roman" w:hAnsi="Times New Roman"/>
          <w:color w:val="000000"/>
          <w:sz w:val="24"/>
        </w:rPr>
        <w:t>. Each Non-Employee Director who is elected at the Company’s AGM shall, in addition to the cash fees referred to in Section 2, be granted a time-based equity award covering a number of ordinary shares having an approximate aggregate value of</w:t>
      </w:r>
    </w:p>
    <w:p>
      <w:pPr>
        <w:pStyle w:val="TextBody"/>
        <w:bidi w:val="0"/>
        <w:jc w:val="both"/>
        <w:rPr>
          <w:rFonts w:ascii="Times New Roman" w:hAnsi="Times New Roman"/>
          <w:sz w:val="20"/>
        </w:rPr>
      </w:pPr>
      <w:r>
        <w:rPr>
          <w:rFonts w:ascii="Times New Roman" w:hAnsi="Times New Roman"/>
          <w:color w:val="000000"/>
          <w:sz w:val="24"/>
        </w:rPr>
        <w:t xml:space="preserve">$235,000,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Non-Employee Director is appointed, in accordance with applicable law and the Company’s Memorandum and Articles of Association and other</w:t>
      </w:r>
    </w:p>
    <w:p>
      <w:pPr>
        <w:pStyle w:val="TextBody"/>
        <w:bidi w:val="0"/>
        <w:spacing w:before="68" w:after="283"/>
        <w:jc w:val="both"/>
        <w:rPr>
          <w:rFonts w:ascii="Times New Roman" w:hAnsi="Times New Roman"/>
          <w:color w:val="000000"/>
          <w:sz w:val="24"/>
        </w:rPr>
      </w:pPr>
      <w:r>
        <w:rPr>
          <w:rFonts w:ascii="Times New Roman" w:hAnsi="Times New Roman"/>
          <w:color w:val="000000"/>
          <w:sz w:val="24"/>
        </w:rPr>
        <w:t>corporate governance documents, to fill a vacancy after an AGM, then, in the discretion of the Human Capital and Compensation Committee, such Non-Employee Director may be entitled to receive a prorated equity award on such terms and conditions, including a grant date, approved by the Human Capital and Compensation Committee. The equity award shall be calculated based on the closing price of the Company’s ordinary shares on the date of the grant as reported on NASDAQ and rounded down to the nearest whole ordinary share. The terms of the equity grant shall be as set forth in this Section 3.</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Board Chair</w:t>
      </w:r>
      <w:r>
        <w:rPr>
          <w:rFonts w:ascii="Times New Roman" w:hAnsi="Times New Roman"/>
          <w:color w:val="000000"/>
          <w:sz w:val="24"/>
        </w:rPr>
        <w:t xml:space="preserve">. In addition to the equity award set forth in Section 3(a), in consideration for the services performed in his/her capacity as the Board Chair, the Board Chair shall be granted, at the same time and on the same terms and conditions as the equity granted under Section 3(a) above, an equity award covering a number of ordinary shares having an approximate aggregate value of $100,000,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any Chair is appointed in the middle of the term, then, in the discretion of the Human Capital and Compensation Committee, such Board Chair may be entitled to receive a prorated equity award on such terms and conditions, including a grant date, approved by the Human Capital and Compensation Committee.</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b/>
          <w:color w:val="000000"/>
          <w:sz w:val="24"/>
        </w:rPr>
        <w:t>Form of Equity Award</w:t>
      </w:r>
      <w:r>
        <w:rPr>
          <w:rFonts w:ascii="Times New Roman" w:hAnsi="Times New Roman"/>
          <w:color w:val="000000"/>
          <w:sz w:val="24"/>
        </w:rPr>
        <w:t>. The equity award shall be made in the form of restricted share units (“</w:t>
      </w:r>
      <w:r>
        <w:rPr>
          <w:rFonts w:ascii="Times New Roman" w:hAnsi="Times New Roman"/>
          <w:b/>
          <w:color w:val="000000"/>
          <w:sz w:val="24"/>
        </w:rPr>
        <w:t>RSUs</w:t>
      </w:r>
      <w:r>
        <w:rPr>
          <w:color w:val="000000"/>
        </w:rPr>
        <w:t>”</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b/>
          <w:color w:val="000000"/>
          <w:sz w:val="24"/>
        </w:rPr>
        <w:t>Grant Date</w:t>
      </w:r>
      <w:r>
        <w:rPr>
          <w:rFonts w:ascii="Times New Roman" w:hAnsi="Times New Roman"/>
          <w:color w:val="000000"/>
          <w:sz w:val="24"/>
        </w:rPr>
        <w:t>. The equity award granted pursuant to Sections 3(a) and 3(b) shall be granted on the date of the AGM.</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b/>
          <w:color w:val="000000"/>
          <w:sz w:val="24"/>
        </w:rPr>
        <w:t>Vesting; Accelerated Vesting</w:t>
      </w:r>
      <w:r>
        <w:rPr>
          <w:rFonts w:ascii="Times New Roman" w:hAnsi="Times New Roman"/>
          <w:color w:val="000000"/>
          <w:sz w:val="24"/>
        </w:rPr>
        <w:t xml:space="preserve">. The equity award granted under this Section 3 shall vest 100% in full on the one-year anniversary of the grant date unless the next subsequent AGM following the grant date occurs prior to the one-year anniversary of the grant date, in which case the equity award will vest 100% in full on the date of the AGM;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equity granted by the Human Capital and Compensation Committee to a Non-Employee Director appointed to the Company after an AGM or to a Chair appointed in the middle of the term, may vest at such time as determined by the Human Capital and Compensation Committee as long as that Non-Employee Director or the Board Chair continues to serve in such capacity through the vesting date. Notwithstanding the foregoing, if a Non-Employee Director ceases to serve through the vesting date due to death, disability, removal, resignation or retirement, the Human Capital and Compensation Committee shall have the discretion to accelerate the vesting of the equity as of the date of such Non- Employee Director’s cessation of service. Otherwise, such equity award shall be forfeited.</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b/>
          <w:color w:val="000000"/>
          <w:sz w:val="24"/>
        </w:rPr>
        <w:t>Change in Control</w:t>
      </w:r>
      <w:r>
        <w:rPr>
          <w:rFonts w:ascii="Times New Roman" w:hAnsi="Times New Roman"/>
          <w:color w:val="000000"/>
          <w:sz w:val="24"/>
        </w:rPr>
        <w:t>. The Human Capital and Compensation Committee shall have the discretion to accelerate the vesting of the equity granted under this Section 3 or take other steps specified in the 2012 Plan in the event of a change of control (as defined in the 2012 Plan).</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1" w:after="283"/>
        <w:jc w:val="both"/>
        <w:rPr/>
      </w:pPr>
      <w:r>
        <w:rPr>
          <w:rFonts w:ascii="Times New Roman" w:hAnsi="Times New Roman"/>
          <w:b/>
          <w:color w:val="000000"/>
          <w:sz w:val="24"/>
        </w:rPr>
        <w:t>Dividend Equivalents</w:t>
      </w:r>
      <w:r>
        <w:rPr>
          <w:rFonts w:ascii="Times New Roman" w:hAnsi="Times New Roman"/>
          <w:color w:val="000000"/>
          <w:sz w:val="24"/>
        </w:rPr>
        <w:t>. There will be no dividend equivalents on the RSUs granted under Section 3.</w:t>
      </w:r>
    </w:p>
    <w:p>
      <w:pPr>
        <w:pStyle w:val="TextBody"/>
        <w:bidi w:val="0"/>
        <w:spacing w:before="9"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1" w:after="283"/>
        <w:jc w:val="both"/>
        <w:rPr/>
      </w:pPr>
      <w:r>
        <w:rPr>
          <w:rFonts w:ascii="Times New Roman" w:hAnsi="Times New Roman"/>
          <w:b/>
          <w:color w:val="000000"/>
          <w:sz w:val="24"/>
        </w:rPr>
        <w:t>Tax-Related Items</w:t>
      </w:r>
      <w:r>
        <w:rPr>
          <w:rFonts w:ascii="Times New Roman" w:hAnsi="Times New Roman"/>
          <w:color w:val="000000"/>
          <w:sz w:val="24"/>
        </w:rPr>
        <w:t>. Each Non-Employee Director must make full payment to the Company of all Tax-Related Items (as defined in the 2012 Plan), which under federal, state, local or foreign law, the Company or any subsidiary is required to withhold upon vesting, settlement or other taxable event applicable to the equity awards granted to the Non-Employee Director. In this regard, the Non-Employee Director authorizes the Company or its respective agents, to satisfy the obligations for all Tax-Related Items by withholding in shares to be issued at</w:t>
      </w:r>
    </w:p>
    <w:p>
      <w:pPr>
        <w:pStyle w:val="TextBody"/>
        <w:bidi w:val="0"/>
        <w:spacing w:before="68" w:after="283"/>
        <w:jc w:val="both"/>
        <w:rPr>
          <w:rFonts w:ascii="Times New Roman" w:hAnsi="Times New Roman"/>
          <w:color w:val="000000"/>
          <w:sz w:val="24"/>
        </w:rPr>
      </w:pPr>
      <w:r>
        <w:rPr>
          <w:rFonts w:ascii="Times New Roman" w:hAnsi="Times New Roman"/>
          <w:color w:val="000000"/>
          <w:sz w:val="24"/>
        </w:rPr>
        <w:t>settlement of the equity awards. In the alternative, the Non-Employee Director may satisfy the obligations for the Tax-Related Items by payment of cash or check by notifying the Company of such election at least fourteen (14) days (or such other notice period as is determined by the Company and communicated to the Non-Employee Director) in advance of, and making arrangements for such alternative payment to be effective as of, the date of the taxable event.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b/>
          <w:color w:val="000000"/>
          <w:sz w:val="24"/>
        </w:rPr>
        <w:t>The Plan</w:t>
      </w:r>
      <w:r>
        <w:rPr>
          <w:rFonts w:ascii="Times New Roman" w:hAnsi="Times New Roman"/>
          <w:color w:val="000000"/>
          <w:sz w:val="24"/>
        </w:rPr>
        <w:t>. The equity granted under this Policy shall be made in accordance with the Willis Towers Watson Public Limited Company 2012 Equity Incentive Plan or any successor plan thereto (the “</w:t>
      </w:r>
      <w:r>
        <w:rPr>
          <w:rFonts w:ascii="Times New Roman" w:hAnsi="Times New Roman"/>
          <w:b/>
          <w:color w:val="000000"/>
          <w:sz w:val="24"/>
        </w:rPr>
        <w:t>2012 Plan</w:t>
      </w:r>
      <w:r>
        <w:rPr>
          <w:color w:val="000000"/>
        </w:rPr>
        <w:t>”</w:t>
      </w:r>
      <w:r>
        <w:rPr>
          <w:rFonts w:ascii="Times New Roman" w:hAnsi="Times New Roman"/>
          <w:color w:val="000000"/>
          <w:sz w:val="24"/>
        </w:rPr>
        <w:t>). All applicable terms of the 2012 Plan apply to this Policy as if fully set forth herein except to the extent such other provisions are inconsistent with this Policy, and all grants of equity hereby are subject in all respect to the terms of the 2012 Plan.</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rFonts w:ascii="Times New Roman" w:hAnsi="Times New Roman"/>
          <w:b/>
          <w:color w:val="000000"/>
          <w:sz w:val="24"/>
        </w:rPr>
        <w:t>Nominal Value</w:t>
      </w:r>
      <w:r>
        <w:rPr>
          <w:rFonts w:ascii="Times New Roman" w:hAnsi="Times New Roman"/>
          <w:color w:val="000000"/>
          <w:sz w:val="24"/>
        </w:rPr>
        <w:t>. The ordinary shares to be issued upon vesting of the equity granted under this Section 3 must be fully paid up in accordance with the requirements of applicable law and the Company’s Memorandum and Articles of Association and other corporate governance documents by payment of the nominal value per ordinary share. The Human Capital and Compensation Committee shall ensure that payment of the nominal value for any such ordinary shares is received by the Company on behalf of the Non-Employee Director in accordance with the foregoing requirements.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k.</w:t>
      </w:r>
    </w:p>
    <w:p>
      <w:pPr>
        <w:pStyle w:val="TextBody"/>
        <w:bidi w:val="0"/>
        <w:jc w:val="both"/>
        <w:rPr/>
      </w:pPr>
      <w:r>
        <w:rPr>
          <w:rFonts w:ascii="Times New Roman" w:hAnsi="Times New Roman"/>
          <w:b/>
          <w:color w:val="000000"/>
          <w:sz w:val="24"/>
        </w:rPr>
        <w:t>Written Grant Agreement</w:t>
      </w:r>
      <w:r>
        <w:rPr>
          <w:rFonts w:ascii="Times New Roman" w:hAnsi="Times New Roman"/>
          <w:color w:val="000000"/>
          <w:sz w:val="24"/>
        </w:rPr>
        <w:t>. The award of equity under this Policy shall be made solely by and subject to the terms set forth in a written agreement in a form duly executed by an executive officer of the Company, provided, however, that to the extent that the terms of this Policy are inconsistent with any such written agreement, the terms of this Policy shall prevail.</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b/>
          <w:color w:val="000000"/>
          <w:sz w:val="24"/>
        </w:rPr>
        <w:t>Share Ownership Guidelines</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1" w:after="283"/>
        <w:jc w:val="both"/>
        <w:rPr/>
      </w:pPr>
      <w:r>
        <w:rPr>
          <w:rFonts w:ascii="Times New Roman" w:hAnsi="Times New Roman"/>
          <w:color w:val="000000"/>
          <w:sz w:val="24"/>
        </w:rPr>
        <w:t>Non-Employee Directors are required to accumulate shares at least equal to five times the annual cash retainer (</w:t>
      </w:r>
      <w:r>
        <w:rPr>
          <w:rFonts w:ascii="Times New Roman" w:hAnsi="Times New Roman"/>
          <w:i/>
          <w:color w:val="000000"/>
          <w:sz w:val="24"/>
        </w:rPr>
        <w:t>i.e.</w:t>
      </w:r>
      <w:r>
        <w:rPr>
          <w:rFonts w:ascii="Times New Roman" w:hAnsi="Times New Roman"/>
          <w:color w:val="000000"/>
          <w:sz w:val="24"/>
        </w:rPr>
        <w:t xml:space="preserve">, $625,000), valued based on the average daily share price over the last 30 business days of the Company’s fiscal year. Each Non-Employee Director has eight years from the date of appointment to the legacy Willis Group Holdings Public Limited Company Board, the legacy Towers Watson &amp; Co. Board or the Willis Towers Watson Public Limited Company Board, as applicable, to achieve compliance with such share ownership requirements. Until the ownership level is reached, Non-Employee Directors should not sell shares in excess of the amount needed to pay applicable taxes associated with the equity granted. Once a Non-Employee Director accumulates sufficient shares to meet the $625,000 requirement, he/she is not required to retain shares above the threshold. If as a result of a share price decline subsequent to a Non-Employee Director meeting the ownership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requirements the Non-Employee Director does not satisfy the requirements as of the Company’s fiscal year-end, he/she is not required to “buy up” to a new number of shares needed to meet the ownership requirements. However, he/she is required to retain the number of shares that originally were acquired to reach the share ownership threshold until such time as he/she is once again above the threshold.</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In case of financial hardship, the ownership requirements may be waived until the hardship no longer applies or such appropriate time as the Human Capital and Compensation Committee shall determine.</w:t>
      </w:r>
    </w:p>
    <w:p>
      <w:pPr>
        <w:pStyle w:val="TextBody"/>
        <w:bidi w:val="0"/>
        <w:spacing w:before="6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68" w:after="283"/>
        <w:jc w:val="both"/>
        <w:rPr>
          <w:rFonts w:ascii="Times New Roman" w:hAnsi="Times New Roman"/>
          <w:color w:val="000000"/>
          <w:sz w:val="24"/>
        </w:rPr>
      </w:pPr>
      <w:r>
        <w:rPr>
          <w:rFonts w:ascii="Times New Roman" w:hAnsi="Times New Roman"/>
          <w:color w:val="000000"/>
          <w:sz w:val="24"/>
        </w:rPr>
        <w:t>Ordinary shares, deferred shares, share equivalents, restricted share units and restricted shares all count toward satisfying the requirements. Stock options do not count toward satisfying the requirements.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Non-Employee Directors are required to hold the number of shares needed to meet the ownership requirements until six months after Non-Employee Directors leave Board service (other than to satisfy tax obligations on the vesting/distribution of existing equity awards). In the event a Non-Employee Director has not acquired this threshold of shares, he or she shall be prohibited from transferring any shares (other than to satisfy any tax obligations on the vesting/distribution of existing equity awards).</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Non-Employee Directors are permitted to sell or otherwise transfer any shares in excess of the ownership requirement subject to compliance with the Company’s Insider Trading Policy.</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b/>
          <w:color w:val="000000"/>
          <w:sz w:val="24"/>
        </w:rPr>
        <w:t>Expenses Reimbursements</w:t>
      </w:r>
      <w:r>
        <w:rPr>
          <w:rFonts w:ascii="Times New Roman" w:hAnsi="Times New Roman"/>
          <w:color w:val="000000"/>
          <w:sz w:val="24"/>
        </w:rPr>
        <w:t>. A Non-Employee Director shall be entitled to reimbursement in cash for any reasonable and necessary business expenses incurred in the exercise of such Non-Employee Director’s duties during a given term, subject to the timely submission of proper receipt(s) for such expenses in accordance with the Company’s policies (the “</w:t>
      </w:r>
      <w:r>
        <w:rPr>
          <w:rFonts w:ascii="Times New Roman" w:hAnsi="Times New Roman"/>
          <w:b/>
          <w:color w:val="000000"/>
          <w:sz w:val="24"/>
        </w:rPr>
        <w:t>Expense Reimbursements</w:t>
      </w:r>
      <w:r>
        <w:rPr>
          <w:color w:val="000000"/>
        </w:rPr>
        <w:t>”</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jc w:val="left"/>
        <w:rPr/>
      </w:pPr>
      <w:r>
        <w:rPr>
          <w:rFonts w:ascii="Times New Roman" w:hAnsi="Times New Roman"/>
          <w:b/>
          <w:color w:val="000000"/>
          <w:sz w:val="24"/>
        </w:rPr>
        <w:t>Currency Election - Cash Fees and Expense Reimbursements</w:t>
      </w:r>
      <w:r>
        <w:rPr>
          <w:rFonts w:ascii="Times New Roman" w:hAnsi="Times New Roman"/>
          <w:color w:val="000000"/>
          <w:sz w:val="24"/>
        </w:rPr>
        <w:t>.</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b/>
          <w:color w:val="000000"/>
          <w:sz w:val="24"/>
        </w:rPr>
        <w:t>General</w:t>
      </w:r>
      <w:r>
        <w:rPr>
          <w:rFonts w:ascii="Times New Roman" w:hAnsi="Times New Roman"/>
          <w:color w:val="000000"/>
          <w:sz w:val="24"/>
        </w:rPr>
        <w:t>. All cash fees described in the Policy are denominated in USD. Unless the Non- Employee Director has made a valid and timely Currency Election in accordance with Section 6(b), all cash fees and Expense Reimbursements shall be paid in the local currency of the country in which the Non-Employee Director maintains his/her primary residence, as reflected in the D&amp;O Questionnaire completed by the Non-Employee Director for the applicable term (“</w:t>
      </w:r>
      <w:r>
        <w:rPr>
          <w:rFonts w:ascii="Times New Roman" w:hAnsi="Times New Roman"/>
          <w:b/>
          <w:color w:val="000000"/>
          <w:sz w:val="24"/>
        </w:rPr>
        <w:t>Primary Currency</w:t>
      </w:r>
      <w:r>
        <w:rPr>
          <w:color w:val="000000"/>
        </w:rPr>
        <w:t>”</w:t>
      </w:r>
      <w:r>
        <w:rPr>
          <w:rFonts w:ascii="Times New Roman" w:hAnsi="Times New Roman"/>
          <w:color w:val="000000"/>
          <w:sz w:val="24"/>
        </w:rPr>
        <w:t>). The Non-Employee Director’s “Primary Currency” shall be deemed to be USD if the Non-Employee Director has not communicated to the Corporate Secretary prior to the payment of the cash fees that his or her primary residence is located in a country other than the United States.</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b/>
          <w:color w:val="000000"/>
          <w:sz w:val="24"/>
        </w:rPr>
        <w:t>Currency Election</w:t>
      </w:r>
      <w:r>
        <w:rPr>
          <w:rFonts w:ascii="Times New Roman" w:hAnsi="Times New Roman"/>
          <w:color w:val="000000"/>
          <w:sz w:val="24"/>
        </w:rPr>
        <w:t>. Except as otherwise provided by the Human Capital and Compensation Committee, for an upcoming term, a Non-Employee Director may make an irrevocable election to receive 100% of his/her cash fees and Expense Reimbursements in a single Specified Currency (“</w:t>
      </w:r>
      <w:r>
        <w:rPr>
          <w:rFonts w:ascii="Times New Roman" w:hAnsi="Times New Roman"/>
          <w:b/>
          <w:color w:val="000000"/>
          <w:sz w:val="24"/>
        </w:rPr>
        <w:t>Currency Election</w:t>
      </w:r>
      <w:r>
        <w:rPr>
          <w:color w:val="000000"/>
        </w:rPr>
        <w:t>”</w:t>
      </w:r>
      <w:r>
        <w:rPr>
          <w:rFonts w:ascii="Times New Roman" w:hAnsi="Times New Roman"/>
          <w:color w:val="000000"/>
          <w:sz w:val="24"/>
        </w:rPr>
        <w:t xml:space="preserve">). For the avoidance of any uncertainty, no more than one Specified Currency may be elected pursuant to this Section 6(b). Except as otherwise provided by the Human Capital and Compensation Committee, such Currency Election shall be made in writing, substantially in the form attached hereto as </w:t>
      </w:r>
      <w:r>
        <w:rPr>
          <w:rFonts w:ascii="Times New Roman" w:hAnsi="Times New Roman"/>
          <w:color w:val="000000"/>
          <w:sz w:val="24"/>
          <w:u w:val="single"/>
        </w:rPr>
        <w:t>Exhibit A</w:t>
      </w:r>
      <w:r>
        <w:rPr>
          <w:rFonts w:ascii="Times New Roman" w:hAnsi="Times New Roman"/>
          <w:color w:val="000000"/>
          <w:sz w:val="24"/>
        </w:rPr>
        <w:t xml:space="preserve">, and sent to the Company Secretary, and such election shall apply to all cash fees and Expense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Reimbursements paid during the entire term and all subsequent terms, until a new election has been made by the Non-Employee Director in accordance with Section 6(c). Except as otherwise provided by the Human Capital and Compensation Committee, a Currency Election must be made at the same time as an election that is made pursuant to Section 2(c) without regard to whether the Non-Employee Director makes an election under Section 2(c).</w:t>
      </w:r>
    </w:p>
    <w:p>
      <w:pPr>
        <w:pStyle w:val="TextBody"/>
        <w:bidi w:val="0"/>
        <w:spacing w:before="10"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1" w:after="283"/>
        <w:jc w:val="both"/>
        <w:rPr/>
      </w:pPr>
      <w:r>
        <w:rPr>
          <w:rFonts w:ascii="Times New Roman" w:hAnsi="Times New Roman"/>
          <w:b/>
          <w:color w:val="000000"/>
          <w:sz w:val="24"/>
        </w:rPr>
        <w:t>Change to Currency Election</w:t>
      </w:r>
      <w:r>
        <w:rPr>
          <w:rFonts w:ascii="Times New Roman" w:hAnsi="Times New Roman"/>
          <w:color w:val="000000"/>
          <w:sz w:val="24"/>
        </w:rPr>
        <w:t>. If a Non-Employee Director wishes to make a new Currency Election, he/she may do so only with respect to the next subsequent upcoming term in accordance with the procedures set forth in Section 6(b). For the avoidance of any doubt, a Non-Employee Director may not make any new Currency Election with respect to a current term.</w:t>
      </w:r>
    </w:p>
    <w:p>
      <w:pPr>
        <w:pStyle w:val="TextBody"/>
        <w:bidi w:val="0"/>
        <w:spacing w:before="68"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68" w:after="283"/>
        <w:jc w:val="both"/>
        <w:rPr/>
      </w:pPr>
      <w:r>
        <w:rPr>
          <w:rFonts w:ascii="Times New Roman" w:hAnsi="Times New Roman"/>
          <w:b/>
          <w:color w:val="000000"/>
          <w:sz w:val="24"/>
        </w:rPr>
        <w:t>Currency Conversion</w:t>
      </w:r>
      <w:r>
        <w:rPr>
          <w:rFonts w:ascii="Times New Roman" w:hAnsi="Times New Roman"/>
          <w:color w:val="000000"/>
          <w:sz w:val="24"/>
        </w:rPr>
        <w:t>. With respect to any cash fees and/or Expense Reimbursements to be paid in a Specified Currency pursuant to a Currency Election, such cash fees and/or Expense Reimbursements shall be converted, to the extent required, to the applicable Specified Currency for a given term using the exchange rate at the time of payment determined by the Company.</w:t>
      </w:r>
    </w:p>
    <w:p>
      <w:pPr>
        <w:pStyle w:val="TextBody"/>
        <w:bidi w:val="0"/>
        <w:spacing w:before="10"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rFonts w:ascii="Times New Roman" w:hAnsi="Times New Roman"/>
          <w:b/>
          <w:color w:val="000000"/>
          <w:sz w:val="24"/>
        </w:rPr>
        <w:t>Foreign Exchange Rate Fluctuation and Tax Considerations; Tax Reporting Requirements</w:t>
      </w:r>
      <w:r>
        <w:rPr>
          <w:rFonts w:ascii="Times New Roman" w:hAnsi="Times New Roman"/>
          <w:color w:val="000000"/>
          <w:sz w:val="24"/>
        </w:rPr>
        <w:t>. For the avoidance of any doubt, neither the Company nor any of its subsidiaries or affiliates shall be liable for or provide any gross-up or similar payment to a Non-Employee Director on account of any foreign exchange rate fluctuation that may affect the value of any cash fees and/or Expense Reimbursements payable to such Non-Employee Director. Neither the Company nor any of its subsidiaries or affiliates shall be liable to a Non- Employee Director (or any individual claiming a benefit through a Non-Employee Director) for any tax, interest, or penalties the Non-Employee Director may owe as a result of any Currency Election or change thereto, and the Company and its subsidiaries and affiliates shall have no obligation to indemnify or otherwise hold harmless any Non-Employee Director from the obligation to pay any taxes in connection with any such Currency Election, change thereto or otherwise. Non-Employee Directors may be subject to tax reporting requirements as a result of receiving cash fees and/or Expense Reimbursement payments in a brokerage/bank account or legal entity located outside of the Non-Employee Director’s country or in connection with receiving cash fees and/or Expense Reimbursements in a currency other than their Primary Currency. The applicable laws of the Non-Employee Director’s country may require that the Non-Employee Director report such accounts, assets, the balances therein, the value thereof and/or the transactions related thereto to the applicable authorities in such country. Non- Employee Directors are solely responsible for ensuring compliance with any applicable tax reporting requirements and neither the Company nor any of its subsidiaries or affiliates shall have any liability with respect thereto. Notwithstanding the foregoing, the Company shall not be obligated to pay any cash fees or Expense Reimbursements to a Non-Employee Director in a Specified Currency, to the extent such payment would otherwise violate any applicable law, rule or regulation or the Non-Employee Director has not timely provided the Company Secretary with a valid brokerage or bank account that will accept the applicable Specified Currency.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b/>
          <w:color w:val="000000"/>
          <w:sz w:val="24"/>
        </w:rPr>
        <w:t>Policy Subject to Amendment, Modification and Termination</w:t>
      </w:r>
      <w:r>
        <w:rPr>
          <w:rFonts w:ascii="Times New Roman" w:hAnsi="Times New Roman"/>
          <w:color w:val="000000"/>
          <w:sz w:val="24"/>
        </w:rPr>
        <w:t xml:space="preserve">. This Policy may be amended, modified or terminated by the Human Capital and Compensation Committee in the future at its sole discretion subject to compliance with applicable law and the Company’s Memorandum and Articles of Association and other corporate governance documents, </w:t>
      </w:r>
      <w:r>
        <w:rPr>
          <w:rFonts w:ascii="Times New Roman" w:hAnsi="Times New Roman"/>
          <w:i/>
          <w:color w:val="000000"/>
          <w:sz w:val="24"/>
        </w:rPr>
        <w:t>provided, however</w:t>
      </w:r>
      <w:r>
        <w:rPr>
          <w:rFonts w:ascii="Times New Roman" w:hAnsi="Times New Roman"/>
          <w:color w:val="000000"/>
          <w:sz w:val="24"/>
        </w:rPr>
        <w:t xml:space="preserve">, that any amendment or modification to Sections 2(a), 2(b), 3(a), 3(b) and 4 shall require full Board approval.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 Non-Employee Director shall have any rights under any equity granted under this Policy unless and until the equity is actually granted. Without limiting the generality of the foregoing, the Human Capital and Compensation Committee and the Board hereby expressly reserve the authority to terminate this Policy during any year.</w:t>
      </w:r>
    </w:p>
    <w:p>
      <w:pPr>
        <w:pStyle w:val="TextBody"/>
        <w:bidi w:val="0"/>
        <w:spacing w:before="11"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b/>
          <w:color w:val="000000"/>
          <w:sz w:val="24"/>
        </w:rPr>
        <w:t xml:space="preserve">Effectiveness. </w:t>
      </w:r>
      <w:r>
        <w:rPr>
          <w:rFonts w:ascii="Times New Roman" w:hAnsi="Times New Roman"/>
          <w:color w:val="000000"/>
          <w:sz w:val="24"/>
        </w:rPr>
        <w:t>This Policy shall become effective upon adoption by the Board.</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0" w:after="283"/>
        <w:jc w:val="right"/>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spacing w:before="8" w:after="283"/>
        <w:jc w:val="left"/>
        <w:rPr/>
      </w:pPr>
      <w:r>
        <w:rPr/>
        <w:t> </w:t>
      </w:r>
    </w:p>
    <w:p>
      <w:pPr>
        <w:pStyle w:val="TextBody"/>
        <w:bidi w:val="0"/>
        <w:spacing w:before="92" w:after="283"/>
        <w:jc w:val="center"/>
        <w:rPr>
          <w:rFonts w:ascii="Times New Roman" w:hAnsi="Times New Roman"/>
          <w:color w:val="000000"/>
          <w:sz w:val="22"/>
        </w:rPr>
      </w:pPr>
      <w:r>
        <w:rPr>
          <w:rFonts w:ascii="Times New Roman" w:hAnsi="Times New Roman"/>
          <w:color w:val="000000"/>
          <w:sz w:val="22"/>
        </w:rPr>
        <w:t>WILLIS TOWERS WATSON PUBLIC LIMITED COMPANY</w:t>
      </w:r>
    </w:p>
    <w:p>
      <w:pPr>
        <w:pStyle w:val="TextBody"/>
        <w:bidi w:val="0"/>
        <w:spacing w:before="1" w:after="283"/>
        <w:jc w:val="center"/>
        <w:rPr>
          <w:rFonts w:ascii="Times New Roman" w:hAnsi="Times New Roman"/>
          <w:color w:val="000000"/>
          <w:sz w:val="22"/>
        </w:rPr>
      </w:pPr>
      <w:r>
        <w:rPr>
          <w:rFonts w:ascii="Times New Roman" w:hAnsi="Times New Roman"/>
          <w:color w:val="000000"/>
          <w:sz w:val="22"/>
        </w:rPr>
        <w:t>NON-EMPLOYEE DIRECTOR FEE EQUITY &amp; CURRENCY ELECTION</w:t>
      </w:r>
    </w:p>
    <w:p>
      <w:pPr>
        <w:pStyle w:val="TextBody"/>
        <w:bidi w:val="0"/>
        <w:jc w:val="left"/>
        <w:rPr/>
      </w:pPr>
      <w:r>
        <w:rPr/>
        <w:t> </w:t>
      </w:r>
    </w:p>
    <w:p>
      <w:pPr>
        <w:pStyle w:val="TextBody"/>
        <w:bidi w:val="0"/>
        <w:spacing w:before="157" w:after="283"/>
        <w:jc w:val="left"/>
        <w:rPr>
          <w:rFonts w:ascii="Times New Roman" w:hAnsi="Times New Roman"/>
          <w:color w:val="000000"/>
          <w:sz w:val="22"/>
        </w:rPr>
      </w:pPr>
      <w:r>
        <w:rPr>
          <w:rFonts w:ascii="Times New Roman" w:hAnsi="Times New Roman"/>
          <w:color w:val="000000"/>
          <w:sz w:val="22"/>
        </w:rPr>
        <w:t>Willis Towers Watson Public Limited Company</w:t>
      </w:r>
    </w:p>
    <w:p>
      <w:pPr>
        <w:pStyle w:val="TextBody"/>
        <w:bidi w:val="0"/>
        <w:jc w:val="left"/>
        <w:rPr>
          <w:rFonts w:ascii="Times New Roman" w:hAnsi="Times New Roman"/>
          <w:color w:val="000000"/>
          <w:sz w:val="22"/>
        </w:rPr>
      </w:pPr>
      <w:r>
        <w:rPr>
          <w:rFonts w:ascii="Times New Roman" w:hAnsi="Times New Roman"/>
          <w:color w:val="000000"/>
          <w:sz w:val="22"/>
        </w:rPr>
        <w:t>Attention: Ms. Nicole Napolitano</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Company Secretary &amp; General Counsel, Corporate Governance</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Dear Ms. Napolitano:</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Please be advised that pursuant to the Willis Towers Watson Public Limited Company (“</w:t>
      </w:r>
      <w:r>
        <w:rPr>
          <w:rFonts w:ascii="Times New Roman" w:hAnsi="Times New Roman"/>
          <w:b/>
          <w:color w:val="000000"/>
          <w:sz w:val="22"/>
        </w:rPr>
        <w:t>WTW</w:t>
      </w:r>
      <w:r>
        <w:rPr>
          <w:rFonts w:ascii="Times New Roman" w:hAnsi="Times New Roman"/>
          <w:color w:val="000000"/>
          <w:sz w:val="20"/>
        </w:rPr>
        <w:t>”</w:t>
      </w:r>
      <w:r>
        <w:rPr>
          <w:rFonts w:ascii="Times New Roman" w:hAnsi="Times New Roman"/>
          <w:color w:val="000000"/>
          <w:sz w:val="22"/>
        </w:rPr>
        <w:t>) Compensation Policy and Share Ownership Guidelines for Non-Employee Directors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I hereby make the following elections:</w:t>
      </w:r>
    </w:p>
    <w:p>
      <w:pPr>
        <w:pStyle w:val="TextBody"/>
        <w:bidi w:val="0"/>
        <w:spacing w:before="181" w:after="283"/>
        <w:jc w:val="left"/>
        <w:rPr>
          <w:rFonts w:ascii="Times New Roman" w:hAnsi="Times New Roman"/>
          <w:b/>
          <w:i/>
          <w:color w:val="000000"/>
          <w:sz w:val="22"/>
          <w:u w:val="single"/>
        </w:rPr>
      </w:pPr>
      <w:r>
        <w:rPr>
          <w:rFonts w:ascii="Times New Roman" w:hAnsi="Times New Roman"/>
          <w:b/>
          <w:i/>
          <w:color w:val="000000"/>
          <w:sz w:val="22"/>
          <w:u w:val="single"/>
        </w:rPr>
        <w:t>Equity Election</w:t>
      </w:r>
    </w:p>
    <w:p>
      <w:pPr>
        <w:pStyle w:val="TextBody"/>
        <w:bidi w:val="0"/>
        <w:spacing w:before="181" w:after="283"/>
        <w:jc w:val="both"/>
        <w:rPr>
          <w:color w:val="000000"/>
        </w:rPr>
      </w:pPr>
      <w:r>
        <w:rPr>
          <w:color w:val="000000"/>
        </w:rPr>
        <w:t>☐</w:t>
      </w:r>
    </w:p>
    <w:p>
      <w:pPr>
        <w:pStyle w:val="TextBody"/>
        <w:bidi w:val="0"/>
        <w:spacing w:before="181" w:after="283"/>
        <w:jc w:val="both"/>
        <w:rPr>
          <w:rFonts w:ascii="Times New Roman" w:hAnsi="Times New Roman"/>
          <w:color w:val="000000"/>
          <w:sz w:val="22"/>
        </w:rPr>
      </w:pPr>
      <w:r>
        <w:rPr>
          <w:rFonts w:ascii="Times New Roman" w:hAnsi="Times New Roman"/>
          <w:color w:val="000000"/>
          <w:sz w:val="22"/>
        </w:rPr>
        <w:t>By checking this box, I hereby elect to receive my annual base cash fee, payable under Section 2(a) of the Policy for service as a Non-Employee Director of the Board for the upcoming term, 100% in equity.</w:t>
      </w:r>
    </w:p>
    <w:p>
      <w:pPr>
        <w:pStyle w:val="TextBody"/>
        <w:bidi w:val="0"/>
        <w:spacing w:before="179" w:after="283"/>
        <w:jc w:val="both"/>
        <w:rPr>
          <w:color w:val="000000"/>
        </w:rPr>
      </w:pPr>
      <w:r>
        <w:rPr>
          <w:color w:val="000000"/>
        </w:rPr>
        <w:t>☐</w:t>
      </w:r>
    </w:p>
    <w:p>
      <w:pPr>
        <w:pStyle w:val="TextBody"/>
        <w:bidi w:val="0"/>
        <w:spacing w:before="179" w:after="283"/>
        <w:jc w:val="both"/>
        <w:rPr/>
      </w:pPr>
      <w:r>
        <w:rPr>
          <w:rFonts w:ascii="Times New Roman" w:hAnsi="Times New Roman"/>
          <w:color w:val="000000"/>
          <w:sz w:val="22"/>
        </w:rPr>
        <w:t>[</w:t>
      </w:r>
      <w:r>
        <w:rPr>
          <w:rFonts w:ascii="Times New Roman" w:hAnsi="Times New Roman"/>
          <w:b/>
          <w:color w:val="000000"/>
          <w:sz w:val="22"/>
        </w:rPr>
        <w:t>NOTE</w:t>
      </w:r>
      <w:r>
        <w:rPr>
          <w:rFonts w:ascii="Times New Roman" w:hAnsi="Times New Roman"/>
          <w:color w:val="000000"/>
          <w:sz w:val="22"/>
        </w:rPr>
        <w:t xml:space="preserve">: Applicable </w:t>
      </w:r>
      <w:r>
        <w:rPr>
          <w:rFonts w:ascii="Times New Roman" w:hAnsi="Times New Roman"/>
          <w:color w:val="000000"/>
          <w:sz w:val="22"/>
          <w:u w:val="single"/>
        </w:rPr>
        <w:t>only</w:t>
      </w:r>
      <w:r>
        <w:rPr>
          <w:color w:val="000000"/>
        </w:rPr>
        <w:t xml:space="preserve"> </w:t>
      </w:r>
      <w:r>
        <w:rPr>
          <w:rFonts w:ascii="Times New Roman" w:hAnsi="Times New Roman"/>
          <w:color w:val="000000"/>
          <w:sz w:val="22"/>
        </w:rPr>
        <w:t>to Board Chair] By checking this box, I hereby elect to receive my annual Board Chair premium cash fee payable under Section 2(b)(i) of the Policy for service as Chair of the Board for the upcoming term, 100% in equity.</w:t>
      </w:r>
    </w:p>
    <w:p>
      <w:pPr>
        <w:pStyle w:val="TextBody"/>
        <w:bidi w:val="0"/>
        <w:spacing w:before="179" w:after="283"/>
        <w:jc w:val="left"/>
        <w:rPr>
          <w:rFonts w:ascii="Times New Roman" w:hAnsi="Times New Roman"/>
          <w:b/>
          <w:i/>
          <w:color w:val="000000"/>
          <w:sz w:val="22"/>
          <w:u w:val="single"/>
        </w:rPr>
      </w:pPr>
      <w:r>
        <w:rPr>
          <w:rFonts w:ascii="Times New Roman" w:hAnsi="Times New Roman"/>
          <w:b/>
          <w:i/>
          <w:color w:val="000000"/>
          <w:sz w:val="22"/>
          <w:u w:val="single"/>
        </w:rPr>
        <w:t>Currency Election</w:t>
      </w:r>
    </w:p>
    <w:p>
      <w:pPr>
        <w:pStyle w:val="TextBody"/>
        <w:bidi w:val="0"/>
        <w:spacing w:before="179" w:after="283"/>
        <w:jc w:val="both"/>
        <w:rPr>
          <w:rFonts w:ascii="Times New Roman" w:hAnsi="Times New Roman"/>
          <w:sz w:val="20"/>
        </w:rPr>
      </w:pPr>
      <w:r>
        <w:rPr>
          <w:rFonts w:ascii="Times New Roman" w:hAnsi="Times New Roman"/>
          <w:color w:val="000000"/>
          <w:sz w:val="22"/>
        </w:rPr>
        <w:t>I hereby elect to receive any and all cash fees and Expense Reimbursements payable under the Policy for service as a Non-Employee Director of the Board for the upcoming term, in the following Specified Currency (</w:t>
      </w:r>
      <w:r>
        <w:rPr>
          <w:rFonts w:ascii="Times New Roman" w:hAnsi="Times New Roman"/>
          <w:i/>
          <w:color w:val="000000"/>
          <w:sz w:val="22"/>
        </w:rPr>
        <w:t>only one Specified Currency may be selected</w:t>
      </w:r>
      <w:r>
        <w:rPr>
          <w:rFonts w:ascii="Times New Roman" w:hAnsi="Times New Roman"/>
          <w:color w:val="000000"/>
          <w:sz w:val="22"/>
        </w:rPr>
        <w:t>):</w:t>
      </w:r>
    </w:p>
    <w:p>
      <w:pPr>
        <w:pStyle w:val="TextBody"/>
        <w:bidi w:val="0"/>
        <w:spacing w:before="184" w:after="283"/>
        <w:jc w:val="left"/>
        <w:rPr>
          <w:color w:val="000000"/>
        </w:rPr>
      </w:pPr>
      <w:r>
        <w:rPr>
          <w:color w:val="000000"/>
        </w:rPr>
        <w:t>☐</w:t>
      </w:r>
    </w:p>
    <w:p>
      <w:pPr>
        <w:pStyle w:val="TextBody"/>
        <w:bidi w:val="0"/>
        <w:spacing w:before="184" w:after="283"/>
        <w:jc w:val="left"/>
        <w:rPr/>
      </w:pPr>
      <w:r>
        <w:rPr>
          <w:rFonts w:ascii="Times New Roman" w:hAnsi="Times New Roman"/>
          <w:color w:val="000000"/>
          <w:sz w:val="22"/>
        </w:rPr>
        <w:t xml:space="preserve">Euros (EUR) </w:t>
      </w:r>
      <w:r>
        <w:rPr>
          <w:color w:val="000000"/>
        </w:rPr>
        <w:t xml:space="preserve">☐ </w:t>
      </w:r>
      <w:r>
        <w:rPr>
          <w:rFonts w:ascii="Times New Roman" w:hAnsi="Times New Roman"/>
          <w:color w:val="000000"/>
          <w:sz w:val="22"/>
        </w:rPr>
        <w:t xml:space="preserve">Great British Pounds (GBP) </w:t>
      </w:r>
      <w:r>
        <w:rPr>
          <w:color w:val="000000"/>
        </w:rPr>
        <w:t xml:space="preserve">☐ </w:t>
      </w:r>
      <w:r>
        <w:rPr>
          <w:rFonts w:ascii="Times New Roman" w:hAnsi="Times New Roman"/>
          <w:color w:val="000000"/>
          <w:sz w:val="22"/>
        </w:rPr>
        <w:t>United States Dollars (USD)</w:t>
      </w:r>
    </w:p>
    <w:p>
      <w:pPr>
        <w:pStyle w:val="TextBody"/>
        <w:bidi w:val="0"/>
        <w:spacing w:before="178" w:after="283"/>
        <w:jc w:val="both"/>
        <w:rPr>
          <w:rFonts w:ascii="Times New Roman" w:hAnsi="Times New Roman"/>
          <w:color w:val="000000"/>
          <w:sz w:val="22"/>
        </w:rPr>
      </w:pPr>
      <w:r>
        <w:rPr>
          <w:rFonts w:ascii="Times New Roman" w:hAnsi="Times New Roman"/>
          <w:color w:val="000000"/>
          <w:sz w:val="22"/>
        </w:rPr>
        <w:t>I acknowledge and agree that (i) if I make no Currency Election, my cash fees and Expense Reimbursements will be paid in my Primary Currency (as defined in Section 6(a) of the Policy); (ii) my Currency Election above is subject to Section 6 of the Policy, is irrevocable for the upcoming term, and will remain in effect for all future terms until I change it in accordance with Section 6(c) of the Policy; and (iii) WTW has no obligation to pay me any cash fees or Expense Reimbursements in the Specified Currency to the extent any such payment would otherwise violate any applicable law, rule or regulation or I have not timely provided a valid brokerage or bank account that will accept the applicable payment in the Specified Currency (in which case the fees and payment of my Expense Reimbursements shall be paid in my Primary Currency).</w:t>
      </w:r>
    </w:p>
    <w:p>
      <w:pPr>
        <w:pStyle w:val="TextBody"/>
        <w:bidi w:val="0"/>
        <w:spacing w:before="180" w:after="283"/>
        <w:jc w:val="left"/>
        <w:rPr>
          <w:rFonts w:ascii="Times New Roman" w:hAnsi="Times New Roman"/>
          <w:color w:val="000000"/>
          <w:sz w:val="22"/>
        </w:rPr>
      </w:pPr>
      <w:r>
        <w:rPr>
          <w:rFonts w:ascii="Times New Roman" w:hAnsi="Times New Roman"/>
          <w:color w:val="000000"/>
          <w:sz w:val="22"/>
        </w:rPr>
        <w:t>Sincerely,</w:t>
      </w:r>
    </w:p>
    <w:p>
      <w:pPr>
        <w:pStyle w:val="TextBody"/>
        <w:bidi w:val="0"/>
        <w:spacing w:before="179" w:after="283"/>
        <w:jc w:val="both"/>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to be included</w:t>
      </w:r>
      <w:r>
        <w:rPr>
          <w:rFonts w:ascii="Times New Roman" w:hAnsi="Times New Roman"/>
          <w:color w:val="000000"/>
          <w:sz w:val="22"/>
        </w:rPr>
        <w:t>]</w:t>
      </w:r>
    </w:p>
    <w:p>
      <w:pPr>
        <w:pStyle w:val="TextBody"/>
        <w:bidi w:val="0"/>
        <w:spacing w:before="8"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Name of the [Non-Employee Director]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Date to be included</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cc: General Counsel</w:t>
      </w:r>
    </w:p>
    <w:p>
      <w:pPr>
        <w:pStyle w:val="TextBody"/>
        <w:bidi w:val="0"/>
        <w:jc w:val="left"/>
        <w:rPr>
          <w:rFonts w:ascii="Times New Roman" w:hAnsi="Times New Roman"/>
          <w:color w:val="000000"/>
          <w:sz w:val="22"/>
        </w:rPr>
      </w:pPr>
      <w:r>
        <w:rPr>
          <w:rFonts w:ascii="Times New Roman" w:hAnsi="Times New Roman"/>
          <w:color w:val="000000"/>
          <w:sz w:val="22"/>
        </w:rPr>
        <w:t>Head of Executive Compensation</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pPr>
      <w:bookmarkStart w:id="64" w:name="wtw-ex22_1.htm"/>
      <w:bookmarkStart w:id="65" w:name="kswtwex22_1"/>
      <w:bookmarkEnd w:id="64"/>
      <w:bookmarkEnd w:id="65"/>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22.1</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List of Issuers and Guarantor Subsidiaries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below table sets forth the respective issuers and guarantors of the notes issued or guaranteed by Willis Towers Watson Public Limited Company, Trinity Acquisition plc and Willis North America Inc. and the jurisdiction of incorporation or organization for each such entity. </w:t>
      </w:r>
    </w:p>
    <w:tbl>
      <w:tblPr>
        <w:tblW w:w="10205" w:type="dxa"/>
        <w:jc w:val="left"/>
        <w:tblInd w:w="0" w:type="dxa"/>
        <w:tblLayout w:type="fixed"/>
        <w:tblCellMar>
          <w:top w:w="28" w:type="dxa"/>
          <w:left w:w="28" w:type="dxa"/>
          <w:bottom w:w="28" w:type="dxa"/>
          <w:right w:w="28" w:type="dxa"/>
        </w:tblCellMar>
      </w:tblPr>
      <w:tblGrid>
        <w:gridCol w:w="3444"/>
        <w:gridCol w:w="2796"/>
        <w:gridCol w:w="1880"/>
        <w:gridCol w:w="2085"/>
      </w:tblGrid>
      <w:tr>
        <w:trPr/>
        <w:tc>
          <w:tcPr>
            <w:tcW w:w="3444"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r>
      <w:tr>
        <w:trPr/>
        <w:tc>
          <w:tcPr>
            <w:tcW w:w="344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27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c>
          <w:tcPr>
            <w:tcW w:w="188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Trinity Acquisition plc</w:t>
            </w:r>
            <w:r>
              <w:rPr>
                <w:rFonts w:ascii="Times New Roman" w:hAnsi="Times New Roman"/>
                <w:color w:val="000000"/>
                <w:sz w:val="15"/>
              </w:rPr>
              <w:t xml:space="preserve"> </w:t>
            </w:r>
          </w:p>
        </w:tc>
        <w:tc>
          <w:tcPr>
            <w:tcW w:w="208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Willis North America Inc.</w:t>
            </w:r>
            <w:r>
              <w:rPr>
                <w:rFonts w:ascii="Times New Roman" w:hAnsi="Times New Roman"/>
                <w:color w:val="000000"/>
                <w:sz w:val="15"/>
              </w:rPr>
              <w:t xml:space="preserve"> </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Entity</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Jurisdiction of Incorporation or Organization</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6.125% senior notes due 2043</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4.650% senior notes due 2027</w:t>
            </w:r>
          </w:p>
          <w:p>
            <w:pPr>
              <w:pStyle w:val="TableContents"/>
              <w:bidi w:val="0"/>
              <w:jc w:val="center"/>
              <w:rPr>
                <w:rFonts w:ascii="Times New Roman" w:hAnsi="Times New Roman"/>
                <w:b/>
                <w:color w:val="000000"/>
                <w:sz w:val="15"/>
              </w:rPr>
            </w:pPr>
            <w:r>
              <w:rPr>
                <w:rFonts w:ascii="Times New Roman" w:hAnsi="Times New Roman"/>
                <w:b/>
                <w:color w:val="000000"/>
                <w:sz w:val="15"/>
              </w:rPr>
              <w:t>4.500% senior notes due 2028</w:t>
            </w:r>
          </w:p>
          <w:p>
            <w:pPr>
              <w:pStyle w:val="TableContents"/>
              <w:bidi w:val="0"/>
              <w:jc w:val="center"/>
              <w:rPr>
                <w:rFonts w:ascii="Times New Roman" w:hAnsi="Times New Roman"/>
                <w:b/>
                <w:color w:val="000000"/>
                <w:sz w:val="15"/>
              </w:rPr>
            </w:pPr>
            <w:r>
              <w:rPr>
                <w:rFonts w:ascii="Times New Roman" w:hAnsi="Times New Roman"/>
                <w:b/>
                <w:color w:val="000000"/>
                <w:sz w:val="15"/>
              </w:rPr>
              <w:t>2.950% senior notes due 2029</w:t>
            </w:r>
          </w:p>
          <w:p>
            <w:pPr>
              <w:pStyle w:val="TableContents"/>
              <w:bidi w:val="0"/>
              <w:jc w:val="center"/>
              <w:rPr>
                <w:rFonts w:ascii="Times New Roman" w:hAnsi="Times New Roman"/>
                <w:b/>
                <w:color w:val="000000"/>
                <w:sz w:val="15"/>
              </w:rPr>
            </w:pPr>
            <w:r>
              <w:rPr>
                <w:rFonts w:ascii="Times New Roman" w:hAnsi="Times New Roman"/>
                <w:b/>
                <w:color w:val="000000"/>
                <w:sz w:val="15"/>
              </w:rPr>
              <w:t>4.550% senior notes due 2031</w:t>
            </w:r>
          </w:p>
          <w:p>
            <w:pPr>
              <w:pStyle w:val="TableContents"/>
              <w:bidi w:val="0"/>
              <w:jc w:val="center"/>
              <w:rPr>
                <w:rFonts w:ascii="Times New Roman" w:hAnsi="Times New Roman"/>
                <w:b/>
                <w:color w:val="000000"/>
                <w:sz w:val="15"/>
              </w:rPr>
            </w:pPr>
            <w:r>
              <w:rPr>
                <w:rFonts w:ascii="Times New Roman" w:hAnsi="Times New Roman"/>
                <w:b/>
                <w:color w:val="000000"/>
                <w:sz w:val="15"/>
              </w:rPr>
              <w:t>5.350% senior notes due 2033</w:t>
            </w:r>
          </w:p>
          <w:p>
            <w:pPr>
              <w:pStyle w:val="TableContents"/>
              <w:bidi w:val="0"/>
              <w:jc w:val="center"/>
              <w:rPr>
                <w:rFonts w:ascii="Times New Roman" w:hAnsi="Times New Roman"/>
                <w:b/>
                <w:color w:val="000000"/>
                <w:sz w:val="15"/>
              </w:rPr>
            </w:pPr>
            <w:r>
              <w:rPr>
                <w:rFonts w:ascii="Times New Roman" w:hAnsi="Times New Roman"/>
                <w:b/>
                <w:color w:val="000000"/>
                <w:sz w:val="15"/>
              </w:rPr>
              <w:t>5.150% senior notes due 2036</w:t>
            </w:r>
          </w:p>
          <w:p>
            <w:pPr>
              <w:pStyle w:val="TableContents"/>
              <w:bidi w:val="0"/>
              <w:jc w:val="center"/>
              <w:rPr>
                <w:rFonts w:ascii="Times New Roman" w:hAnsi="Times New Roman"/>
                <w:b/>
                <w:color w:val="000000"/>
                <w:sz w:val="15"/>
              </w:rPr>
            </w:pPr>
            <w:r>
              <w:rPr>
                <w:rFonts w:ascii="Times New Roman" w:hAnsi="Times New Roman"/>
                <w:b/>
                <w:color w:val="000000"/>
                <w:sz w:val="15"/>
              </w:rPr>
              <w:t>5.050% senior notes due 2048</w:t>
            </w:r>
          </w:p>
          <w:p>
            <w:pPr>
              <w:pStyle w:val="TableContents"/>
              <w:bidi w:val="0"/>
              <w:jc w:val="center"/>
              <w:rPr>
                <w:rFonts w:ascii="Times New Roman" w:hAnsi="Times New Roman"/>
                <w:b/>
                <w:color w:val="000000"/>
                <w:sz w:val="15"/>
              </w:rPr>
            </w:pPr>
            <w:r>
              <w:rPr>
                <w:rFonts w:ascii="Times New Roman" w:hAnsi="Times New Roman"/>
                <w:b/>
                <w:color w:val="000000"/>
                <w:sz w:val="15"/>
              </w:rPr>
              <w:t>3.875% senior notes due 2049</w:t>
            </w:r>
          </w:p>
          <w:p>
            <w:pPr>
              <w:pStyle w:val="TableContents"/>
              <w:bidi w:val="0"/>
              <w:spacing w:before="0" w:after="283"/>
              <w:ind w:left="0" w:right="0" w:firstLine="180"/>
              <w:jc w:val="center"/>
              <w:rPr>
                <w:rFonts w:ascii="Times New Roman" w:hAnsi="Times New Roman"/>
                <w:b/>
                <w:color w:val="000000"/>
                <w:sz w:val="15"/>
              </w:rPr>
            </w:pPr>
            <w:r>
              <w:rPr>
                <w:rFonts w:ascii="Times New Roman" w:hAnsi="Times New Roman"/>
                <w:b/>
                <w:color w:val="000000"/>
                <w:sz w:val="15"/>
              </w:rPr>
              <w:t>5.900% senior notes due 2054</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Willis Towers Watson Public Limited Company</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Ireland</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80"/>
              <w:jc w:val="center"/>
              <w:rPr>
                <w:rFonts w:ascii="Times New Roman" w:hAnsi="Times New Roman"/>
                <w:color w:val="000000"/>
                <w:sz w:val="15"/>
              </w:rPr>
            </w:pPr>
            <w:r>
              <w:rPr>
                <w:rFonts w:ascii="Times New Roman" w:hAnsi="Times New Roman"/>
                <w:color w:val="000000"/>
                <w:sz w:val="15"/>
              </w:rPr>
              <w:t>Guarantor</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Trinity Acquisition plc</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United Kingdom</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Issuer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80"/>
              <w:jc w:val="center"/>
              <w:rPr>
                <w:rFonts w:ascii="Times New Roman" w:hAnsi="Times New Roman"/>
                <w:color w:val="000000"/>
                <w:sz w:val="15"/>
              </w:rPr>
            </w:pPr>
            <w:r>
              <w:rPr>
                <w:rFonts w:ascii="Times New Roman" w:hAnsi="Times New Roman"/>
                <w:color w:val="000000"/>
                <w:sz w:val="15"/>
              </w:rPr>
              <w:t>Guarantor</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Willis North America Inc.</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Delaware</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80"/>
              <w:jc w:val="center"/>
              <w:rPr>
                <w:rFonts w:ascii="Times New Roman" w:hAnsi="Times New Roman"/>
                <w:color w:val="000000"/>
                <w:sz w:val="15"/>
              </w:rPr>
            </w:pPr>
            <w:r>
              <w:rPr>
                <w:rFonts w:ascii="Times New Roman" w:hAnsi="Times New Roman"/>
                <w:color w:val="000000"/>
                <w:sz w:val="15"/>
              </w:rPr>
              <w:t>Issuer</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Willis Investment UK Holdings Limited</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United Kingdom</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80"/>
              <w:jc w:val="center"/>
              <w:rPr>
                <w:rFonts w:ascii="Times New Roman" w:hAnsi="Times New Roman"/>
                <w:color w:val="000000"/>
                <w:sz w:val="15"/>
              </w:rPr>
            </w:pPr>
            <w:r>
              <w:rPr>
                <w:rFonts w:ascii="Times New Roman" w:hAnsi="Times New Roman"/>
                <w:color w:val="000000"/>
                <w:sz w:val="15"/>
              </w:rPr>
              <w:t>Guarantor</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Willis Group Limited</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United Kingdom</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80"/>
              <w:jc w:val="center"/>
              <w:rPr>
                <w:rFonts w:ascii="Times New Roman" w:hAnsi="Times New Roman"/>
                <w:color w:val="000000"/>
                <w:sz w:val="15"/>
              </w:rPr>
            </w:pPr>
            <w:r>
              <w:rPr>
                <w:rFonts w:ascii="Times New Roman" w:hAnsi="Times New Roman"/>
                <w:color w:val="000000"/>
                <w:sz w:val="15"/>
              </w:rPr>
              <w:t>Guarantor</w:t>
            </w:r>
          </w:p>
        </w:tc>
      </w:tr>
      <w:tr>
        <w:trPr/>
        <w:tc>
          <w:tcPr>
            <w:tcW w:w="344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80"/>
              <w:jc w:val="left"/>
              <w:rPr>
                <w:rFonts w:ascii="Times New Roman" w:hAnsi="Times New Roman"/>
                <w:color w:val="000000"/>
                <w:sz w:val="15"/>
              </w:rPr>
            </w:pPr>
            <w:r>
              <w:rPr>
                <w:rFonts w:ascii="Times New Roman" w:hAnsi="Times New Roman"/>
                <w:color w:val="000000"/>
                <w:sz w:val="15"/>
              </w:rPr>
              <w:t>Willis Towers Watson Sub Holdings Unlimited Company</w:t>
            </w:r>
          </w:p>
        </w:tc>
        <w:tc>
          <w:tcPr>
            <w:tcW w:w="27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Ireland</w:t>
            </w:r>
          </w:p>
        </w:tc>
        <w:tc>
          <w:tcPr>
            <w:tcW w:w="188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c>
          <w:tcPr>
            <w:tcW w:w="208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Guarantor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6" w:name="wtw-ex31_1.htm"/>
      <w:bookmarkStart w:id="67" w:name="kswtwex31_1"/>
      <w:bookmarkEnd w:id="66"/>
      <w:bookmarkEnd w:id="67"/>
      <w:r>
        <w:rPr/>
        <w:t> </w:t>
      </w:r>
      <w:r>
        <w:br w:type="page"/>
      </w:r>
    </w:p>
    <w:p>
      <w:pPr>
        <w:pStyle w:val="TextBody"/>
        <w:bidi w:val="0"/>
        <w:jc w:val="right"/>
        <w:rPr>
          <w:rFonts w:ascii="Times New Roman" w:hAnsi="Times New Roman"/>
          <w:b/>
          <w:color w:val="000000"/>
          <w:sz w:val="20"/>
        </w:rPr>
      </w:pPr>
      <w:bookmarkStart w:id="68" w:name="fis_certification"/>
      <w:bookmarkEnd w:id="68"/>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Carl A. Hess,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Willis Towers Watson Public Limited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292" w:type="dxa"/>
        <w:jc w:val="left"/>
        <w:tblInd w:w="0" w:type="dxa"/>
        <w:tblLayout w:type="fixed"/>
        <w:tblCellMar>
          <w:top w:w="28" w:type="dxa"/>
          <w:left w:w="28" w:type="dxa"/>
          <w:bottom w:w="28" w:type="dxa"/>
          <w:right w:w="28" w:type="dxa"/>
        </w:tblCellMar>
      </w:tblPr>
      <w:tblGrid>
        <w:gridCol w:w="2071"/>
        <w:gridCol w:w="221"/>
      </w:tblGrid>
      <w:tr>
        <w:trPr/>
        <w:tc>
          <w:tcPr>
            <w:tcW w:w="20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 July 30, 2026</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Carl A. Hess</w:t>
            </w:r>
          </w:p>
        </w:tc>
        <w:tc>
          <w:tcPr>
            <w:tcW w:w="22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Carl A. Hess</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69" w:name="fis_certification_2"/>
      <w:bookmarkStart w:id="70" w:name="wtw-ex31_2.htm"/>
      <w:bookmarkStart w:id="71" w:name="kswtwex31_2"/>
      <w:bookmarkEnd w:id="69"/>
      <w:bookmarkEnd w:id="70"/>
      <w:bookmarkEnd w:id="71"/>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jc w:val="center"/>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 Andrew J. Krasner,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Willis Towers Watson Public Limited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2232" w:type="dxa"/>
        <w:jc w:val="left"/>
        <w:tblInd w:w="0" w:type="dxa"/>
        <w:tblLayout w:type="fixed"/>
        <w:tblCellMar>
          <w:top w:w="28" w:type="dxa"/>
          <w:left w:w="28" w:type="dxa"/>
          <w:bottom w:w="28" w:type="dxa"/>
          <w:right w:w="28" w:type="dxa"/>
        </w:tblCellMar>
      </w:tblPr>
      <w:tblGrid>
        <w:gridCol w:w="2011"/>
        <w:gridCol w:w="221"/>
      </w:tblGrid>
      <w:tr>
        <w:trPr/>
        <w:tc>
          <w:tcPr>
            <w:tcW w:w="20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 July 30, 2026</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1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Andrew J. Krasner</w:t>
            </w:r>
          </w:p>
        </w:tc>
        <w:tc>
          <w:tcPr>
            <w:tcW w:w="22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Andrew J. Krasner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jc w:val="left"/>
        <w:rPr/>
      </w:pPr>
      <w:bookmarkStart w:id="72" w:name="wltw_ex321_20180630_htm_s1d93424774644ed"/>
      <w:bookmarkStart w:id="73" w:name="wltw_ex321_20180630_htm"/>
      <w:bookmarkStart w:id="74" w:name="eolpage119"/>
      <w:bookmarkStart w:id="75" w:name="fis_exhibit_32"/>
      <w:bookmarkEnd w:id="72"/>
      <w:bookmarkEnd w:id="73"/>
      <w:bookmarkEnd w:id="74"/>
      <w:bookmarkEnd w:id="75"/>
      <w:r>
        <w:rPr/>
        <w:t> </w:t>
      </w:r>
    </w:p>
    <w:p>
      <w:pPr>
        <w:pStyle w:val="HorizontalLine"/>
        <w:pBdr>
          <w:bottom w:val="double" w:sz="2" w:space="0" w:color="808080"/>
        </w:pBdr>
        <w:bidi w:val="0"/>
        <w:spacing w:before="0" w:after="283"/>
        <w:jc w:val="left"/>
        <w:rPr/>
      </w:pPr>
      <w:r>
        <w:rPr/>
      </w:r>
    </w:p>
    <w:p>
      <w:pPr>
        <w:pStyle w:val="TextBody"/>
        <w:bidi w:val="0"/>
        <w:jc w:val="left"/>
        <w:rPr/>
      </w:pPr>
      <w:bookmarkStart w:id="76" w:name="wtw-ex32_1.htm"/>
      <w:bookmarkStart w:id="77" w:name="kswtwex32_1"/>
      <w:bookmarkEnd w:id="76"/>
      <w:bookmarkEnd w:id="77"/>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bookmarkStart w:id="78" w:name="fis_certification_3"/>
      <w:bookmarkEnd w:id="78"/>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AND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Quarterly Report of the Company on Form 10-Q for the period ended June 30, 2026 (the ‘Report’) fully complies with the requirements of Section 13(a) or Section 15(d), as applicable, of the Exchange Act;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2292" w:type="dxa"/>
        <w:jc w:val="left"/>
        <w:tblInd w:w="0" w:type="dxa"/>
        <w:tblLayout w:type="fixed"/>
        <w:tblCellMar>
          <w:top w:w="28" w:type="dxa"/>
          <w:left w:w="28" w:type="dxa"/>
          <w:bottom w:w="28" w:type="dxa"/>
          <w:right w:w="28" w:type="dxa"/>
        </w:tblCellMar>
      </w:tblPr>
      <w:tblGrid>
        <w:gridCol w:w="2071"/>
        <w:gridCol w:w="221"/>
      </w:tblGrid>
      <w:tr>
        <w:trPr/>
        <w:tc>
          <w:tcPr>
            <w:tcW w:w="207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Date: July 30, 2026</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Carl A. Hess</w:t>
            </w:r>
          </w:p>
        </w:tc>
        <w:tc>
          <w:tcPr>
            <w:tcW w:w="22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Carl A. Hess</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Executive Officer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/s/ Andrew J. Krasner</w:t>
            </w:r>
          </w:p>
        </w:tc>
        <w:tc>
          <w:tcPr>
            <w:tcW w:w="22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Andrew J. Krasner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Chief Financial Officer</w:t>
            </w:r>
          </w:p>
        </w:tc>
        <w:tc>
          <w:tcPr>
            <w:tcW w:w="221"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140536/000119312526239226/d70005dex43.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86983</Words>
  <Characters>468751</Characters>
  <CharactersWithSpaces>557262</CharactersWithSpaces>
  <Paragraphs>14450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