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184785</wp:posOffset>
            </wp:positionV>
            <wp:extent cx="2854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4"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2"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3347720</wp:posOffset>
            </wp:positionH>
            <wp:positionV relativeFrom="paragraph">
              <wp:posOffset>-15240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105410</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251460</wp:posOffset>
            </wp:positionV>
            <wp:extent cx="120015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94615</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0" w:lineRule="exact"/>
        <w:rPr>
          <w:sz w:val="24"/>
          <w:szCs w:val="24"/>
          <w:color w:val="auto"/>
        </w:rPr>
      </w:pPr>
    </w:p>
    <w:tbl>
      <w:tblPr>
        <w:tblLayout w:type="fixed"/>
        <w:tblInd w:w="1180" w:type="dxa"/>
        <w:tblCellMar>
          <w:top w:w="0" w:type="dxa"/>
          <w:left w:w="0" w:type="dxa"/>
          <w:bottom w:w="0" w:type="dxa"/>
          <w:right w:w="0" w:type="dxa"/>
        </w:tblCellMar>
      </w:tblPr>
      <w:tr>
        <w:trPr>
          <w:trHeight w:val="205"/>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4400" w:type="dxa"/>
            <w:vAlign w:val="bottom"/>
          </w:tcPr>
          <w:p>
            <w:pPr>
              <w:jc w:val="right"/>
              <w:ind w:right="1064"/>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162"/>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4"/>
                <w:szCs w:val="14"/>
                <w:i w:val="1"/>
                <w:iCs w:val="1"/>
                <w:color w:val="auto"/>
              </w:rPr>
              <w:t>(Jurisdiction of</w:t>
            </w:r>
          </w:p>
        </w:tc>
        <w:tc>
          <w:tcPr>
            <w:tcW w:w="4400" w:type="dxa"/>
            <w:vAlign w:val="bottom"/>
          </w:tcPr>
          <w:p>
            <w:pPr>
              <w:jc w:val="center"/>
              <w:ind w:left="1284"/>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3"/>
        </w:trPr>
        <w:tc>
          <w:tcPr>
            <w:tcW w:w="4500" w:type="dxa"/>
            <w:vAlign w:val="bottom"/>
          </w:tcPr>
          <w:p>
            <w:pPr>
              <w:jc w:val="center"/>
              <w:ind w:right="1244"/>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4400" w:type="dxa"/>
            <w:vAlign w:val="bottom"/>
          </w:tcPr>
          <w:p>
            <w:pPr>
              <w:ind w:left="230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291"/>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4400" w:type="dxa"/>
            <w:vAlign w:val="bottom"/>
            <w:vMerge w:val="restart"/>
          </w:tcPr>
          <w:p>
            <w:pPr>
              <w:jc w:val="right"/>
              <w:ind w:right="684"/>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67"/>
        </w:trPr>
        <w:tc>
          <w:tcPr>
            <w:tcW w:w="4500" w:type="dxa"/>
            <w:vAlign w:val="bottom"/>
          </w:tcPr>
          <w:p>
            <w:pPr>
              <w:jc w:val="center"/>
              <w:ind w:right="1264"/>
              <w:spacing w:after="0" w:line="167" w:lineRule="exact"/>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4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ind w:right="1264"/>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400" w:type="dxa"/>
            <w:vAlign w:val="bottom"/>
          </w:tcPr>
          <w:p>
            <w:pPr>
              <w:jc w:val="center"/>
              <w:ind w:left="1264"/>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54"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w:t>
      </w:r>
    </w:p>
    <w:p>
      <w:pPr>
        <w:spacing w:after="0" w:line="40"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0" w:right="339" w:bottom="1440" w:gutter="0" w:footer="0" w:header="0"/>
        </w:sectPr>
      </w:pPr>
    </w:p>
    <w:p>
      <w:pPr>
        <w:spacing w:after="0" w:line="13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5">
            <w:col w:w="2560" w:space="720"/>
            <w:col w:w="1680" w:space="720"/>
            <w:col w:w="2240" w:space="720"/>
            <w:col w:w="1620" w:space="720"/>
            <w:col w:w="260"/>
          </w:cols>
          <w:pgMar w:left="320" w:top="610" w:right="339" w:bottom="1440" w:gutter="0" w:footer="0" w:header="0"/>
          <w:type w:val="continuous"/>
        </w:sectPr>
      </w:pPr>
    </w:p>
    <w:p>
      <w:pPr>
        <w:spacing w:after="0" w:line="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3" w:lineRule="exact"/>
        <w:rPr>
          <w:sz w:val="24"/>
          <w:szCs w:val="24"/>
          <w:color w:val="auto"/>
        </w:rPr>
      </w:pPr>
    </w:p>
    <w:p>
      <w:pPr>
        <w:sectPr>
          <w:pgSz w:w="11900" w:h="16838" w:orient="portrait"/>
          <w:cols w:equalWidth="0" w:num="2">
            <w:col w:w="1660" w:space="720"/>
            <w:col w:w="8860"/>
          </w:cols>
          <w:pgMar w:left="320" w:top="610" w:right="339" w:bottom="1440" w:gutter="0" w:footer="0" w:header="0"/>
          <w:type w:val="continuous"/>
        </w:sectPr>
      </w:pPr>
    </w:p>
    <w:p>
      <w:pPr>
        <w:ind w:right="560"/>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0" w:lineRule="exact"/>
        <w:rPr>
          <w:sz w:val="24"/>
          <w:szCs w:val="24"/>
          <w:color w:val="auto"/>
        </w:rPr>
      </w:pPr>
    </w:p>
    <w:p>
      <w:pPr>
        <w:ind w:right="3380"/>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As of April 25, 2022, there were outstanding 111,488,239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4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For the Three Months Ended March 31, 2022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Certain Definitions</w:t>
            </w: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0620" w:type="dxa"/>
            <w:vAlign w:val="bottom"/>
            <w:gridSpan w:val="21"/>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0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March 31, 2022 and 2021</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 March 31, 2022 and December 31, 2021</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2022 and 2021</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Equity - Three Months Ended March 31, 2022 and 2021</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56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0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3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8060" w:type="dxa"/>
            <w:vAlign w:val="bottom"/>
            <w:gridSpan w:val="1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615"/>
        </w:trPr>
        <w:tc>
          <w:tcPr>
            <w:tcW w:w="6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5620" w:type="dxa"/>
            <w:vAlign w:val="bottom"/>
            <w:gridSpan w:val="13"/>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ectPr>
          <w:pgSz w:w="11900" w:h="16838" w:orient="portrait"/>
          <w:cols w:equalWidth="0" w:num="1">
            <w:col w:w="11060"/>
          </w:cols>
          <w:pgMar w:left="320" w:top="320" w:right="519" w:bottom="1440" w:gutter="0" w:footer="0" w:header="0"/>
        </w:sectPr>
      </w:pPr>
    </w:p>
    <w:p>
      <w:pPr>
        <w:spacing w:after="0" w:line="239" w:lineRule="exact"/>
        <w:rPr>
          <w:sz w:val="20"/>
          <w:szCs w:val="20"/>
          <w:color w:val="auto"/>
        </w:rPr>
      </w:pPr>
    </w:p>
    <w:p>
      <w:pPr>
        <w:ind w:left="480"/>
        <w:spacing w:after="0" w:line="279" w:lineRule="auto"/>
        <w:rPr>
          <w:sz w:val="20"/>
          <w:szCs w:val="20"/>
          <w:color w:val="auto"/>
        </w:rPr>
      </w:pPr>
      <w:r>
        <w:rPr>
          <w:rFonts w:ascii="Times New Roman" w:cs="Times New Roman" w:eastAsia="Times New Roman" w:hAnsi="Times New Roman"/>
          <w:sz w:val="17"/>
          <w:szCs w:val="17"/>
          <w:color w:val="auto"/>
        </w:rPr>
        <w:t>‘We’, ‘Us’, ‘Company’, ‘Willis Towers Watson’, ‘Our’, ‘Willis Towers Watson plc’ or ‘WTW’</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109" w:lineRule="exact"/>
        <w:rPr>
          <w:sz w:val="20"/>
          <w:szCs w:val="20"/>
          <w:color w:val="auto"/>
        </w:rPr>
      </w:pPr>
    </w:p>
    <w:p>
      <w:pPr>
        <w:sectPr>
          <w:pgSz w:w="11900" w:h="16838" w:orient="portrait"/>
          <w:cols w:equalWidth="0" w:num="2">
            <w:col w:w="4000" w:space="50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ind w:right="340"/>
        <w:spacing w:after="0" w:line="250"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109"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‘Willis’</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Times New Roman" w:cs="Times New Roman" w:eastAsia="Times New Roman" w:hAnsi="Times New Roman"/>
          <w:sz w:val="18"/>
          <w:szCs w:val="18"/>
          <w:color w:val="auto"/>
        </w:rPr>
        <w:t>Willis Group Holdings Public Limited Company and its subsidiaries, predecessor to WTW, prior to the Merger</w:t>
      </w:r>
    </w:p>
    <w:p>
      <w:pPr>
        <w:spacing w:after="0" w:line="109"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‘Towers Watson’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Towers Watson &amp; Co. and its subsidiaries</w:t>
      </w:r>
    </w:p>
    <w:p>
      <w:pPr>
        <w:spacing w:after="0" w:line="156"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‘Merger’</w:t>
      </w:r>
    </w:p>
    <w:p>
      <w:pPr>
        <w:spacing w:after="0" w:line="20" w:lineRule="exact"/>
        <w:rPr>
          <w:sz w:val="20"/>
          <w:szCs w:val="20"/>
          <w:color w:val="auto"/>
        </w:rPr>
      </w:pPr>
      <w:r>
        <w:rPr>
          <w:sz w:val="20"/>
          <w:szCs w:val="20"/>
          <w:color w:val="auto"/>
        </w:rPr>
        <w:br w:type="column"/>
      </w:r>
    </w:p>
    <w:p>
      <w:pPr>
        <w:ind w:right="340"/>
        <w:spacing w:after="0" w:line="236" w:lineRule="auto"/>
        <w:rPr>
          <w:sz w:val="20"/>
          <w:szCs w:val="20"/>
          <w:color w:val="auto"/>
        </w:rPr>
      </w:pPr>
      <w:r>
        <w:rPr>
          <w:rFonts w:ascii="Times New Roman" w:cs="Times New Roman" w:eastAsia="Times New Roman" w:hAnsi="Times New Roman"/>
          <w:sz w:val="18"/>
          <w:szCs w:val="18"/>
          <w:color w:val="auto"/>
        </w:rPr>
        <w:t>Merger of Willis Group Holdings Public Limited Company and Towers Watson &amp; Co. pursuant to the Agreement and Plan of Merger, dated June 29, 2015, as amended on November 19, 2015, and completed on January 4, 2016</w:t>
      </w:r>
    </w:p>
    <w:p>
      <w:pPr>
        <w:spacing w:after="0" w:line="118"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Miller Insurance Services LLP and its subsidiaries</w:t>
      </w:r>
    </w:p>
    <w:p>
      <w:pPr>
        <w:spacing w:after="0" w:line="155" w:lineRule="exact"/>
        <w:rPr>
          <w:sz w:val="20"/>
          <w:szCs w:val="20"/>
          <w:color w:val="auto"/>
        </w:rPr>
      </w:pPr>
    </w:p>
    <w:p>
      <w:pPr>
        <w:sectPr>
          <w:pgSz w:w="11900" w:h="16838" w:orient="portrait"/>
          <w:cols w:equalWidth="0" w:num="2">
            <w:col w:w="3760" w:space="720"/>
            <w:col w:w="658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‘TRANZACT’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CD&amp;R TZ Holdings, Inc. and its subsidiaries, doing business as TRANZACT</w:t>
      </w:r>
    </w:p>
    <w:p>
      <w:pPr>
        <w:spacing w:after="0" w:line="144"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155" w:lineRule="exact"/>
        <w:rPr>
          <w:sz w:val="20"/>
          <w:szCs w:val="20"/>
          <w:color w:val="auto"/>
        </w:rPr>
      </w:pPr>
    </w:p>
    <w:p>
      <w:pPr>
        <w:sectPr>
          <w:pgSz w:w="11900" w:h="16838" w:orient="portrait"/>
          <w:cols w:equalWidth="0" w:num="2">
            <w:col w:w="3760" w:space="720"/>
            <w:col w:w="658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85"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‘Brexit’</w:t>
      </w:r>
    </w:p>
    <w:p>
      <w:pPr>
        <w:spacing w:after="0" w:line="20" w:lineRule="exact"/>
        <w:rPr>
          <w:sz w:val="20"/>
          <w:szCs w:val="20"/>
          <w:color w:val="auto"/>
        </w:rPr>
      </w:pPr>
      <w:r>
        <w:rPr>
          <w:sz w:val="20"/>
          <w:szCs w:val="20"/>
          <w:color w:val="auto"/>
        </w:rPr>
        <w:br w:type="column"/>
      </w:r>
    </w:p>
    <w:p>
      <w:pPr>
        <w:ind w:right="400"/>
        <w:spacing w:after="0" w:line="250" w:lineRule="auto"/>
        <w:rPr>
          <w:sz w:val="20"/>
          <w:szCs w:val="20"/>
          <w:color w:val="auto"/>
        </w:rPr>
      </w:pPr>
      <w:r>
        <w:rPr>
          <w:rFonts w:ascii="Times New Roman" w:cs="Times New Roman" w:eastAsia="Times New Roman" w:hAnsi="Times New Roman"/>
          <w:sz w:val="18"/>
          <w:szCs w:val="18"/>
          <w:color w:val="auto"/>
        </w:rPr>
        <w:t>The United Kingdom’s exit from the European Union, which occurred on January 31, 2020.</w:t>
      </w:r>
    </w:p>
    <w:p>
      <w:pPr>
        <w:spacing w:after="0" w:line="109"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‘E.U.’</w:t>
      </w:r>
    </w:p>
    <w:p>
      <w:pPr>
        <w:spacing w:after="0" w:line="20" w:lineRule="exact"/>
        <w:rPr>
          <w:sz w:val="20"/>
          <w:szCs w:val="20"/>
          <w:color w:val="auto"/>
        </w:rPr>
      </w:pPr>
      <w:r>
        <w:rPr>
          <w:sz w:val="20"/>
          <w:szCs w:val="20"/>
          <w:color w:val="auto"/>
        </w:rPr>
        <w:br w:type="column"/>
      </w:r>
    </w:p>
    <w:p>
      <w:pPr>
        <w:ind w:right="300"/>
        <w:spacing w:after="0" w:line="250" w:lineRule="auto"/>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 United Kingdom’s exit)</w:t>
      </w:r>
    </w:p>
    <w:p>
      <w:pPr>
        <w:spacing w:after="0" w:line="109" w:lineRule="exact"/>
        <w:rPr>
          <w:sz w:val="20"/>
          <w:szCs w:val="20"/>
          <w:color w:val="auto"/>
        </w:rPr>
      </w:pPr>
    </w:p>
    <w:p>
      <w:pPr>
        <w:sectPr>
          <w:pgSz w:w="11900" w:h="16838" w:orient="portrait"/>
          <w:cols w:equalWidth="0" w:num="2">
            <w:col w:w="3760" w:space="720"/>
            <w:col w:w="658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p>
      <w:pPr>
        <w:spacing w:after="0" w:line="185"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‘FASB’</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185"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‘ASC’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Accounting Standards Codification</w:t>
      </w:r>
    </w:p>
    <w:p>
      <w:pPr>
        <w:spacing w:after="0" w:line="196"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Accounting Standards Update</w:t>
      </w:r>
    </w:p>
    <w:p>
      <w:pPr>
        <w:spacing w:after="0" w:line="196"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00" w:lineRule="exact"/>
        <w:rPr>
          <w:sz w:val="20"/>
          <w:szCs w:val="20"/>
          <w:color w:val="auto"/>
        </w:rPr>
      </w:pPr>
    </w:p>
    <w:p>
      <w:pPr>
        <w:sectPr>
          <w:pgSz w:w="11900" w:h="16838" w:orient="portrait"/>
          <w:cols w:equalWidth="0" w:num="2">
            <w:col w:w="3780" w:space="720"/>
            <w:col w:w="6560"/>
          </w:cols>
          <w:pgMar w:left="320" w:top="32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0" w:right="5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impact of the global pandemic on our business, future capital expenditures, ongoing working capital efforts, future share repurchases, financial results (including our revenue, costs or margins), the impact of changes to tax laws on our financial results, existing and evolving business strategies and acquisitions and dispositions, including the sale of Willis Re to Arthur J. Gallagher &amp; Co. (‘Gallagher’), demand for our services and competitive strengths, goals, the benefits of new initiatives, growth of our business and operations,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and plans and references to future successes, including our future financial and operating results, plans, objectives, expectations and intentions are forward-looking statements. Also, when we use words such as ‘may,’ ‘will,’ ‘would,’ ‘anticipate,’ ‘believe,’ ‘estimate,’ ‘expect,’ ‘intend,’ ‘plan,’ ‘continues,’ ‘seek,’ ‘target,’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6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anticipated benefits of our growth strategy;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deploy cost-mitigation measures and achieve longer-term offsets;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business and political conditions, including changes in the financial markets and inflation;</w:t>
      </w:r>
    </w:p>
    <w:p>
      <w:pPr>
        <w:spacing w:after="0" w:line="103" w:lineRule="exact"/>
        <w:rPr>
          <w:rFonts w:ascii="Times New Roman" w:cs="Times New Roman" w:eastAsia="Times New Roman" w:hAnsi="Times New Roman"/>
          <w:sz w:val="18"/>
          <w:szCs w:val="18"/>
          <w:color w:val="auto"/>
        </w:rPr>
      </w:pPr>
    </w:p>
    <w:p>
      <w:pPr>
        <w:jc w:val="both"/>
        <w:ind w:left="760" w:right="20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business, financial condition and results of operations that may be materially adversely affected by any negative impact on the global economy and capital markets resulting from the conflict in Ukraine or any other geopolitical tensions and the intended withdrawal from our businesses in Russia;</w:t>
      </w:r>
    </w:p>
    <w:p>
      <w:pPr>
        <w:spacing w:after="0" w:line="61" w:lineRule="exact"/>
        <w:rPr>
          <w:rFonts w:ascii="Times New Roman" w:cs="Times New Roman" w:eastAsia="Times New Roman" w:hAnsi="Times New Roman"/>
          <w:sz w:val="18"/>
          <w:szCs w:val="18"/>
          <w:color w:val="auto"/>
        </w:rPr>
      </w:pPr>
    </w:p>
    <w:p>
      <w:pPr>
        <w:ind w:left="760" w:right="18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the ongoing COVID-19 pandemic, including supply chain, workforce availability, vaccination rates, new or emerging variants and further social-distancing orders in jurisdictions where we do business, on the demand for our products and services, our cash flows and our business operations, including increased demand on our information technology resources and systems and related risks of cybersecurity breaches or incidents;</w:t>
      </w:r>
    </w:p>
    <w:p>
      <w:pPr>
        <w:spacing w:after="0" w:line="69"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sale of Willis Re to Gallagher, including incremental business, operational and regulatory risks created by transitional arrangements and pending transactions;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protect client data or breaches of information systems or insufficient safeguards against cybersecurity breaches or incidents;</w:t>
      </w:r>
    </w:p>
    <w:p>
      <w:pPr>
        <w:spacing w:after="0" w:line="117" w:lineRule="exact"/>
        <w:rPr>
          <w:rFonts w:ascii="Times New Roman" w:cs="Times New Roman" w:eastAsia="Times New Roman" w:hAnsi="Times New Roman"/>
          <w:sz w:val="18"/>
          <w:szCs w:val="18"/>
          <w:color w:val="auto"/>
        </w:rPr>
      </w:pPr>
    </w:p>
    <w:p>
      <w:pPr>
        <w:ind w:left="760" w:right="4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our new and existing products and services, and expectations, intentions and outcomes relating to outstanding litigation;</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litigation or investigation matters;</w:t>
      </w:r>
    </w:p>
    <w:p>
      <w:pPr>
        <w:spacing w:after="0" w:line="11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claims, government inquiries or investigations or the potential for regulatory action;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and our ability to integrate or manage such acquired businesses;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 w:name="page5"/>
    <w:bookmarkEnd w:id="4"/>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and cyber security;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ongoing organizational changes, including investments in improving systems and processes;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Brexit;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enhance our billing, collection and other working capital efforts, and thereby increase our free cash flow;</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anticipated replacement of the London Interbank Offered Rate (‘LIBOR’);</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 large number of employees;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exchange rates;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0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4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technology, data and analytics changes for internal operations, maintaining industry standards and meeting client preferences;</w:t>
      </w:r>
    </w:p>
    <w:p>
      <w:pPr>
        <w:spacing w:after="0" w:line="67"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and any legislative actions from the current U.S. Congress;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the Company’s intellectual property rights, or the potential infringement upon the intellectual property rights of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w:t>
      </w:r>
    </w:p>
    <w:p>
      <w:pPr>
        <w:spacing w:after="0" w:line="10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03"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U.S. or foreign tax laws, including on our effective tax rate, and the enactment of additional, or the revision of existing, state, federal, and/or foreign regulatory and tax laws and regulations, development of case law, other regulations and any policy changes and legislative actions;</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 than expected expenses;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2" w:right="459" w:bottom="1440" w:gutter="0" w:footer="0" w:header="0"/>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3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Borders>
              <w:bottom w:val="single" w:sz="8" w:color="auto"/>
            </w:tcBorders>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2,160</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2,228</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76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2,017</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8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080" w:type="dxa"/>
            <w:vAlign w:val="bottom"/>
            <w:tcBorders>
              <w:bottom w:val="single" w:sz="8" w:color="auto"/>
            </w:tcBorders>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733</w:t>
            </w:r>
          </w:p>
        </w:tc>
      </w:tr>
      <w:tr>
        <w:trPr>
          <w:trHeight w:val="197"/>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108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per share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80" w:type="dxa"/>
            <w:vAlign w:val="bottom"/>
            <w:tcBorders>
              <w:bottom w:val="single" w:sz="8" w:color="auto"/>
            </w:tcBorders>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5.64</w:t>
            </w:r>
          </w:p>
        </w:tc>
      </w:tr>
      <w:tr>
        <w:trPr>
          <w:trHeight w:val="196"/>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108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per share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80" w:type="dxa"/>
            <w:vAlign w:val="bottom"/>
            <w:tcBorders>
              <w:bottom w:val="single" w:sz="8" w:color="auto"/>
            </w:tcBorders>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r>
      <w:tr>
        <w:trPr>
          <w:trHeight w:val="196"/>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108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1080" w:type="dxa"/>
            <w:vAlign w:val="bottom"/>
            <w:tcBorders>
              <w:bottom w:val="single" w:sz="8" w:color="auto"/>
            </w:tcBorders>
            <w:shd w:val="clear" w:color="auto" w:fill="CFF0FC"/>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-4577080</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-3462655</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-2047875</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-2030730</wp:posOffset>
            </wp:positionV>
            <wp:extent cx="11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-1190625</wp:posOffset>
            </wp:positionV>
            <wp:extent cx="111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-1173480</wp:posOffset>
            </wp:positionV>
            <wp:extent cx="111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-607695</wp:posOffset>
            </wp:positionV>
            <wp:extent cx="1117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-590550</wp:posOffset>
            </wp:positionV>
            <wp:extent cx="111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2,198</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11,631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11,014</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2,370</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16,412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18,488</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10,200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10,183</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2,555</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benefits assets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r>
      <w:tr>
        <w:trPr>
          <w:trHeight w:val="20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16,429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16,482</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32,841</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34,970</w:t>
            </w:r>
          </w:p>
        </w:tc>
      </w:tr>
      <w:tr>
        <w:trPr>
          <w:trHeight w:val="196"/>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11,631</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11,014</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1,926</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14,914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14,724</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3,974</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6,852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6,938</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21,766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21,662</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10,804</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2,423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(2,186 )</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at cost, 17,519 shares in 2022 and 2021</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30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13,260</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11,075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13,308</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32,841</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-3959860</wp:posOffset>
            </wp:positionV>
            <wp:extent cx="111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-3668395</wp:posOffset>
            </wp:positionV>
            <wp:extent cx="1117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-3651250</wp:posOffset>
            </wp:positionV>
            <wp:extent cx="1117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-1713865</wp:posOffset>
            </wp:positionV>
            <wp:extent cx="1117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-599440</wp:posOffset>
            </wp:positionV>
            <wp:extent cx="1117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1117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51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7" w:lineRule="exact"/>
        <w:rPr>
          <w:sz w:val="20"/>
          <w:szCs w:val="20"/>
          <w:color w:val="auto"/>
        </w:rPr>
      </w:pPr>
    </w:p>
    <w:p>
      <w:pPr>
        <w:ind w:left="280" w:right="400" w:hanging="272"/>
        <w:spacing w:after="0" w:line="282" w:lineRule="auto"/>
        <w:tabs>
          <w:tab w:leader="none" w:pos="2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112,212,590 (2022) and 122,055,815 (2021); Outstanding 112,212,590 (2022) and 122,055,815 (2021) and (b) Preference shares, $0.000115 nominal value; Authorized 1,000,000,000 and Issued none in 2022 and 2021.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3200"/>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69"/>
        </w:trPr>
        <w:tc>
          <w:tcPr>
            <w:tcW w:w="8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4"/>
                <w:szCs w:val="14"/>
                <w:color w:val="auto"/>
              </w:rPr>
            </w:pPr>
          </w:p>
        </w:tc>
      </w:tr>
      <w:tr>
        <w:trPr>
          <w:trHeight w:val="20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FROM/(USED IN) OPERATING ACTIVITIES</w:t>
            </w: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total net cash from operating activities: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8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of defined benefit pension plans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doubtful receivables from clients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from)/provision for deferred income taxes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loss/(gain) on disposal of operations</w:t>
            </w:r>
          </w:p>
        </w:tc>
        <w:tc>
          <w:tcPr>
            <w:tcW w:w="8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foreign exchange gain</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171"/>
        </w:trPr>
        <w:tc>
          <w:tcPr>
            <w:tcW w:w="81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8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r>
      <w:tr>
        <w:trPr>
          <w:trHeight w:val="234"/>
        </w:trPr>
        <w:tc>
          <w:tcPr>
            <w:tcW w:w="8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16"/>
        </w:trPr>
        <w:tc>
          <w:tcPr>
            <w:tcW w:w="8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Provisions</w:t>
            </w: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0"/>
        </w:trPr>
        <w:tc>
          <w:tcPr>
            <w:tcW w:w="8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from/(used in) operating activities</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0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fixed assets and software for internal use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operations, net of cash acquired</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operations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fiduciary funds transferred in sale of operations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16"/>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investments</w:t>
            </w: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1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debt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8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payments from fiduciary funds held for clients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deferred and contingent consideration related to acquisitions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employee taxes on withholding shares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and dividends paid to non-controlling interests</w:t>
            </w: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0"/>
        </w:trPr>
        <w:tc>
          <w:tcPr>
            <w:tcW w:w="8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(2,580 )</w:t>
            </w: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10"/>
        </w:trPr>
        <w:tc>
          <w:tcPr>
            <w:tcW w:w="81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DECREASE IN CASH, CASH EQUIVALENTS AND RESTRICTED CASH </w:t>
            </w:r>
            <w:r>
              <w:rPr>
                <w:rFonts w:ascii="Times New Roman" w:cs="Times New Roman" w:eastAsia="Times New Roman" w:hAnsi="Times New Roman"/>
                <w:sz w:val="24"/>
                <w:szCs w:val="24"/>
                <w:color w:val="auto"/>
                <w:vertAlign w:val="superscript"/>
              </w:rPr>
              <w:t>(i)</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(531 )</w:t>
            </w: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814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7,691</w:t>
            </w:r>
          </w:p>
        </w:tc>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6,301</w:t>
            </w:r>
          </w:p>
        </w:tc>
      </w:tr>
      <w:tr>
        <w:trPr>
          <w:trHeight w:val="209"/>
        </w:trPr>
        <w:tc>
          <w:tcPr>
            <w:tcW w:w="81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w:t>
            </w:r>
          </w:p>
        </w:tc>
        <w:tc>
          <w:tcPr>
            <w:tcW w:w="10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5,710</w:t>
            </w:r>
          </w:p>
        </w:tc>
      </w:tr>
      <w:tr>
        <w:trPr>
          <w:trHeight w:val="20"/>
        </w:trPr>
        <w:tc>
          <w:tcPr>
            <w:tcW w:w="8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-3239770</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-2125345</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-736600</wp:posOffset>
            </wp:positionV>
            <wp:extent cx="111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51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7" w:lineRule="exact"/>
        <w:rPr>
          <w:sz w:val="20"/>
          <w:szCs w:val="20"/>
          <w:color w:val="auto"/>
        </w:rPr>
      </w:pPr>
    </w:p>
    <w:p>
      <w:pPr>
        <w:ind w:left="280" w:right="140" w:hanging="272"/>
        <w:spacing w:after="0" w:line="265"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5"/>
              </w:rPr>
              <w:t>Total WTW</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2"/>
                <w:szCs w:val="12"/>
                <w:color w:val="auto"/>
                <w:w w:val="99"/>
              </w:rPr>
              <w:t>Shares</w:t>
            </w:r>
          </w:p>
        </w:tc>
        <w:tc>
          <w:tcPr>
            <w:tcW w:w="9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Additional paid-in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2"/>
                <w:szCs w:val="12"/>
                <w:color w:val="auto"/>
              </w:rPr>
              <w:t>Retained</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color w:val="auto"/>
              </w:rPr>
              <w:t xml:space="preserve">AOCL </w:t>
            </w:r>
            <w:r>
              <w:rPr>
                <w:rFonts w:ascii="Times New Roman" w:cs="Times New Roman" w:eastAsia="Times New Roman" w:hAnsi="Times New Roman"/>
                <w:sz w:val="15"/>
                <w:szCs w:val="15"/>
                <w:color w:val="auto"/>
                <w:vertAlign w:val="superscript"/>
              </w:rPr>
              <w:t>(i)</w:t>
            </w:r>
          </w:p>
        </w:tc>
        <w:tc>
          <w:tcPr>
            <w:tcW w:w="8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2"/>
                <w:szCs w:val="12"/>
                <w:color w:val="auto"/>
                <w:w w:val="95"/>
              </w:rPr>
              <w:t>shareholders’</w:t>
            </w:r>
          </w:p>
        </w:tc>
        <w:tc>
          <w:tcPr>
            <w:tcW w:w="104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2"/>
                <w:szCs w:val="12"/>
                <w:color w:val="auto"/>
                <w:w w:val="98"/>
              </w:rPr>
              <w:t>Non-controlling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outstanding</w:t>
            </w:r>
          </w:p>
        </w:tc>
        <w:tc>
          <w:tcPr>
            <w:tcW w:w="180" w:type="dxa"/>
            <w:vAlign w:val="bottom"/>
          </w:tcPr>
          <w:p>
            <w:pPr>
              <w:spacing w:after="0"/>
              <w:rPr>
                <w:sz w:val="13"/>
                <w:szCs w:val="13"/>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2"/>
                <w:szCs w:val="12"/>
                <w:color w:val="auto"/>
              </w:rPr>
              <w:t>capital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earnings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Treasury shares</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equity</w:t>
            </w:r>
          </w:p>
        </w:tc>
        <w:tc>
          <w:tcPr>
            <w:tcW w:w="16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w w:val="94"/>
              </w:rPr>
              <w:t>interests</w:t>
            </w:r>
          </w:p>
        </w:tc>
        <w:tc>
          <w:tcPr>
            <w:tcW w:w="10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Total equity</w:t>
            </w:r>
          </w:p>
        </w:tc>
        <w:tc>
          <w:tcPr>
            <w:tcW w:w="0" w:type="dxa"/>
            <w:vAlign w:val="bottom"/>
          </w:tcPr>
          <w:p>
            <w:pPr>
              <w:spacing w:after="0"/>
              <w:rPr>
                <w:sz w:val="1"/>
                <w:szCs w:val="1"/>
                <w:color w:val="auto"/>
              </w:rPr>
            </w:pPr>
          </w:p>
        </w:tc>
      </w:tr>
      <w:tr>
        <w:trPr>
          <w:trHeight w:val="15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128,965</w:t>
            </w:r>
          </w:p>
        </w:tc>
        <w:tc>
          <w:tcPr>
            <w:tcW w:w="1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10,748</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4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(2,359 )</w:t>
            </w:r>
          </w:p>
        </w:tc>
        <w:tc>
          <w:tcPr>
            <w:tcW w:w="1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10,820</w:t>
            </w: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 ($0.71 per share)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(92 )</w:t>
            </w:r>
          </w:p>
        </w:tc>
        <w:tc>
          <w:tcPr>
            <w:tcW w:w="3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(92 )</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2021</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128,974</w:t>
            </w:r>
          </w:p>
        </w:tc>
        <w:tc>
          <w:tcPr>
            <w:tcW w:w="1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10,765</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14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(2,311 )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11,526</w:t>
            </w:r>
          </w:p>
        </w:tc>
        <w:tc>
          <w:tcPr>
            <w:tcW w:w="12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gridSpan w:val="2"/>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gridSpan w:val="2"/>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gridSpan w:val="2"/>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2021</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122,056</w:t>
            </w:r>
          </w:p>
        </w:tc>
        <w:tc>
          <w:tcPr>
            <w:tcW w:w="1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4,645</w:t>
            </w:r>
          </w:p>
        </w:tc>
        <w:tc>
          <w:tcPr>
            <w:tcW w:w="14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(2,186 )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13,260</w:t>
            </w:r>
          </w:p>
        </w:tc>
        <w:tc>
          <w:tcPr>
            <w:tcW w:w="12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(9,860 )</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(2,250 )</w:t>
            </w:r>
          </w:p>
        </w:tc>
        <w:tc>
          <w:tcPr>
            <w:tcW w:w="3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(2,250 )</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 ($0.82 per share)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(94 )</w:t>
            </w:r>
          </w:p>
        </w:tc>
        <w:tc>
          <w:tcPr>
            <w:tcW w:w="3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(94 )</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(56 )</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(56 )</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non-controlling interests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112,213</w:t>
            </w:r>
          </w:p>
        </w:tc>
        <w:tc>
          <w:tcPr>
            <w:tcW w:w="1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14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(2,242 )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11,004</w:t>
            </w:r>
          </w:p>
        </w:tc>
        <w:tc>
          <w:tcPr>
            <w:tcW w:w="12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-1499870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-1499870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-1499870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-1499870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-1499870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-1499870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-1499870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-136525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-136525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-136525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-136525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-136525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-136525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-136525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512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7"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our less than wholly-owned Miller subsidiary.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Willis Towers Watson public limited company is a leading global advisory, broking and solutions company that provides data-driven, insight-led solutions in the areas of people, risk and capital. The Company has more than 44,000 colleagues serving more than 140 countries and markets.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Our risk management services include strategic risk consulting (including providing actuarial analysis), a variety of due diligence services, the provision of practical on-site risk control services (such as health and safety and property loss control consulting), advisory services, leading-edge technology solutions, and unparalleled analytical and modeling capabilities (such as hazard modeling). We also assist our clients with planning for addressing incidents or crises when they occur. These services include contingency planning, security audits and product tampering plans.</w:t>
      </w:r>
    </w:p>
    <w:p>
      <w:pPr>
        <w:spacing w:after="0" w:line="12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help our clients enhance business performance by delivering consulting services, technology and solutions that effectively deliver valuable benefits and create an engaging employee experience. Our services and solutions encompass such areas as employee benefits, total rewards, talent, wellbeing and benefits outsourcing. In addition, we provide investment advice to help our clients develop disciplined and efficient strategies to meet their investment goals and expand the power of capital.</w:t>
      </w:r>
    </w:p>
    <w:p>
      <w:pPr>
        <w:spacing w:after="0" w:line="13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unrestricted access to the global insurance market.</w:t>
      </w:r>
    </w:p>
    <w:p>
      <w:pPr>
        <w:spacing w:after="0" w:line="13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36" w:lineRule="exact"/>
        <w:rPr>
          <w:sz w:val="20"/>
          <w:szCs w:val="20"/>
          <w:color w:val="auto"/>
        </w:rPr>
      </w:pPr>
    </w:p>
    <w:p>
      <w:pPr>
        <w:ind w:right="920"/>
        <w:spacing w:after="0" w:line="266"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January 1, 2022, WTW realigned to provide its comprehensive offering of services and solutions to clients across two business segments: Health, Wealth &amp; Career (‘HWC’), and Risk &amp; Broking (‘R&amp;B’).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69" w:lineRule="exact"/>
        <w:rPr>
          <w:sz w:val="20"/>
          <w:szCs w:val="20"/>
          <w:color w:val="auto"/>
        </w:rPr>
      </w:pPr>
    </w:p>
    <w:p>
      <w:pPr>
        <w:ind w:left="760" w:right="880" w:hanging="378"/>
        <w:spacing w:after="0" w:line="296"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HWC segment includes businesses previously aligned under the Human Capital and Benefits segment, the Benefits Delivery and Administration segment, and the Investment business, which was previously under the Investment, Risk and Reinsurance segment.</w:t>
      </w:r>
    </w:p>
    <w:p>
      <w:pPr>
        <w:spacing w:after="0" w:line="44" w:lineRule="exact"/>
        <w:rPr>
          <w:rFonts w:ascii="Times New Roman" w:cs="Times New Roman" w:eastAsia="Times New Roman" w:hAnsi="Times New Roman"/>
          <w:sz w:val="17"/>
          <w:szCs w:val="17"/>
          <w:color w:val="auto"/>
        </w:rPr>
      </w:pPr>
    </w:p>
    <w:p>
      <w:pPr>
        <w:ind w:left="760" w:right="22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R&amp;B segment includes businesses previously aligned under the Corporate Risk and Broking segment, as well as the Insurance Consulting and Technology business, which was previously under the Investment, Risk and Reinsurance segment.</w:t>
      </w:r>
    </w:p>
    <w:p>
      <w:pPr>
        <w:spacing w:after="0" w:line="12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effective January 1, 2022, the Company manages its businesses across three geographical areas: North America, Europe (including Great Britain) and International.</w:t>
      </w:r>
    </w:p>
    <w:p>
      <w:pPr>
        <w:spacing w:after="0" w:line="14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Certain Investment, Risk and Reinsurance businesses that were part of the results from continuing operations in the prior-year period presented were divested during 2021. The revenue and income from operations for these businesses have been included as ‘divested businesses’ in the reconciliations between the total segment results and the consolidated results of the Company. However, the results of the divested Willis Re treaty-reinsurance business is presented as discontinued operations and is therefore excluded from the divested businesses presented in the segment reconciliations.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xml:space="preserve">Segment results herein are presented on a retrospective basis to reflect the reorganization. See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Revenue,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Costs and Note 8</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Goodwill and Other Intangible Assets for the Company's segment-based presentations.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We have reclassified certain prior period amounts to conform to the current period presentation due to the recognition of discontinued operations and assets and liabilities as held-for-sale (see below for further discussion). Additionally, certain amounts on the condensed consolidated statements of cash flows have been revised from their prior period classifications. See Note 19</w:t>
      </w:r>
    </w:p>
    <w:p>
      <w:pPr>
        <w:spacing w:after="0" w:line="3" w:lineRule="exact"/>
        <w:rPr>
          <w:sz w:val="20"/>
          <w:szCs w:val="20"/>
          <w:color w:val="auto"/>
        </w:rPr>
      </w:pPr>
    </w:p>
    <w:p>
      <w:pPr>
        <w:ind w:right="20" w:firstLine="8"/>
        <w:spacing w:after="0"/>
        <w:tabs>
          <w:tab w:leader="none" w:pos="1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Disclosures of Cash Flow Information for more information as to the nature of the revision and the amounts.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24, 2022, and may be accessed via EDGAR on the SEC’s web site at www.sec.gov.</w:t>
      </w:r>
    </w:p>
    <w:p>
      <w:pPr>
        <w:spacing w:after="0" w:line="1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2022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of the Economic Environment Caused by the Pandemic</w:t>
      </w:r>
    </w:p>
    <w:p>
      <w:pPr>
        <w:spacing w:after="0" w:line="16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particularly on the global supply chain and workforce availability, and has contributed to significant volatility in the global financial markets including, among other effects, occasional declines in the equity markets, changes in interest rates and reduced liquidity on a global basis.</w:t>
      </w:r>
    </w:p>
    <w:p>
      <w:pPr>
        <w:spacing w:after="0" w:line="1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Supply and labor market disruptions caused by COVID-19 as well as other factors, such as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 and we may not be able to achieve our strategic and financial objectives.</w:t>
      </w:r>
    </w:p>
    <w:p>
      <w:pPr>
        <w:spacing w:after="0" w:line="12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Although we believe we have adapted to the unique challenges posed by the pandemic surrounding how and where we do our work, we are also impacted by the negative effect on workforce availability, which could hamper our ability to grow our capacity on pace with increasing demand for our services. We expect the market for talent to remain highly competitive for at least the next several months. We will continue to monitor the situation and assess any implications to our business and our stakeholders.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completed an acquisition during the three months ended March 31, 2022 for a cash payment of $68 million and contingent consideration with an estimated fair value of $15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Divestment of Russian Business</w:t>
      </w:r>
    </w:p>
    <w:p>
      <w:pPr>
        <w:spacing w:after="0" w:line="1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During the first quarter of 2022, WTW announced its intention to transfer ownership of its Russian subsidiary to local management who will operate independently in the Russian market. Due to the sanctions and prohibitions on certain types of business and activities, WTW deconsolidated its Russian entities on March 14, 2022. The completion of the transfer is pending but the deconsolidation resulted in a loss of $57 million, which includes an allocation of Risk &amp; Broking goodwill, and was recognized as a loss on disposal of a business within other income, net on our condensed consolidated statement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 million during the three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ind w:right="1020"/>
        <w:spacing w:after="0" w:line="282" w:lineRule="auto"/>
        <w:rPr>
          <w:sz w:val="20"/>
          <w:szCs w:val="20"/>
          <w:color w:val="auto"/>
        </w:rPr>
      </w:pPr>
      <w:r>
        <w:rPr>
          <w:rFonts w:ascii="Times New Roman" w:cs="Times New Roman" w:eastAsia="Times New Roman" w:hAnsi="Times New Roman"/>
          <w:sz w:val="18"/>
          <w:szCs w:val="18"/>
          <w:color w:val="auto"/>
        </w:rPr>
        <w:t>months ended March 31, 2022. This impairment charge was recorded in other operating expenses on our condensed consolidated statement of comprehensive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 Re Divestiture</w:t>
      </w:r>
    </w:p>
    <w:p>
      <w:pPr>
        <w:spacing w:after="0" w:line="16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 August 13, 2021, the Company entered into a definitive agreement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is expected to be completed no later than the end of the second quarter of 2022, and all net earnings of the Deferred Closing businesses accumulated between the Principal Closing and Deferred Closing are payable to Gallagher at that time. The Company recognized a preliminary pre-tax gain of $2.3 billion upon completion of the sale. The gain is subject to tax in certain jurisdictions, mainly in the U.S., and is predominantly tax-exempt in the U.K.</w:t>
      </w:r>
    </w:p>
    <w:p>
      <w:pPr>
        <w:spacing w:after="0" w:line="1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connection with the transaction, the Company reclassified the results of its Willis Re operations as discontinued operations on its condensed consolidated statements of comprehensive income and reclassified Willis Re assets and liabilities as held for sale on its condensed consolidated balance sheets. The condensed consolidated cash flow statements were not adjusted for the divestiture. Willis Re was previously included in the Company's former Investment, Risk and Reinsurance segment. The assets and liabilities of the Willis Re businesses that will be transferred at Deferred Closing continue to be presented as held for sale on the condensed consolidated balance sheets at March 31, 2022 and December 31, 2021, and the results of these businesses following the Principal Closing have been included in income from discontinued operations on the condensed consolidated statements of comprehensive income.</w:t>
      </w:r>
    </w:p>
    <w:p>
      <w:pPr>
        <w:spacing w:after="0" w:line="12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will account for the earnout as a gain contingency and therefore did not record any receivables upon close. Rather, the earnout will be recognized in the Company’s condensed consolidated financial statements, if it is received, in 2025.</w:t>
      </w:r>
    </w:p>
    <w:p>
      <w:pPr>
        <w:spacing w:after="0" w:line="12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 number of services are continuing under a cost reimbursement Transition Services Agreement (‘TSA’) in which WTW is providing Gallagher support including real estate leases, information technology, payroll, human resources and accounting. These services are expected to be provided for a period not to exceed two years from the Principal Closing. Fees earned under the TSA were $12 million during the three months ended March 31, 2022 and have been recognized as a reduction to the costs incurred to service the TSA and are included in continuing operations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selected financial information relates to the operations of Willis Re for the periods presented:</w:t>
      </w: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-3175</wp:posOffset>
            </wp:positionV>
            <wp:extent cx="2203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3450" cy="889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2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discontinued operations</w:t>
            </w:r>
          </w:p>
        </w:tc>
        <w:tc>
          <w:tcPr>
            <w:tcW w:w="120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2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 to gain on disposal of Willis Re</w:t>
            </w:r>
          </w:p>
        </w:tc>
        <w:tc>
          <w:tcPr>
            <w:tcW w:w="1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payable to Gallagher on Deferred Closing</w:t>
            </w:r>
          </w:p>
        </w:tc>
        <w:tc>
          <w:tcPr>
            <w:tcW w:w="1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200" w:type="dxa"/>
            <w:vAlign w:val="bottom"/>
            <w:tcBorders>
              <w:top w:val="single" w:sz="8" w:color="auto"/>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-873760</wp:posOffset>
            </wp:positionV>
            <wp:extent cx="51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-873760</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expense amounts reflected above represent only the direct costs attributable to the Willis Re business and exclude allocations of corporate costs that will be retained following the sale. Neither the discontinued operations presented above, nor the unallocated corporate costs, reflect the impact of any cost reimbursement that will be received under the TSA.</w:t>
      </w:r>
    </w:p>
    <w:p>
      <w:pPr>
        <w:spacing w:after="0" w:line="11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Assets and liabilities classified as held for sale within our condensed consolidated balance sheets at both March 31, 2022 and December 31, 2021 are related to entities that are part of the Deferred Closing. Certain amounts included in the condensed consolidated balance sheets have been excluded from the held-for-sale balances disclosed since the assets are not transferring under the terms of the sale agreement, and instead will be settled by the Company. At March 31, 2022 and December 31, 2021, the amounts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3" w:name="page14"/>
    <w:bookmarkEnd w:id="13"/>
    <w:p>
      <w:pPr>
        <w:ind w:right="140"/>
        <w:spacing w:after="0" w:line="258" w:lineRule="auto"/>
        <w:rPr>
          <w:sz w:val="20"/>
          <w:szCs w:val="20"/>
          <w:color w:val="auto"/>
        </w:rPr>
      </w:pPr>
      <w:r>
        <w:rPr>
          <w:rFonts w:ascii="Times New Roman" w:cs="Times New Roman" w:eastAsia="Times New Roman" w:hAnsi="Times New Roman"/>
          <w:sz w:val="18"/>
          <w:szCs w:val="18"/>
          <w:color w:val="auto"/>
        </w:rPr>
        <w:t>of significant assets and liabilities related to the Willis Re businesses which were not transferred in the sale and are therefore not classified as held for sale on the condensed consolidated balance sheets are $3.2 billion and $2.6 billion of fiduciary assets and liabilities, $53 million and $71 million of accounts receivable and $113 million and $91 million of other current liabilities,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Miller Divestiture</w:t>
      </w:r>
    </w:p>
    <w:p>
      <w:pPr>
        <w:spacing w:after="0" w:line="17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March 1, 2021, the Company completed the transaction to sell its U.K.-based, majority-owned wholesale subsidiary Miller for final total consideration of GBP 623 million ($818 million), which includes amounts paid to the minority shareholder. The $356 million net tax-exempt gain on the sale was included in Other income, net in the condensed consolidated statement of comprehensive income during the three months ended March 31, 2021. Prior to disposal, Miller was included within the Company's former Investment, Risk and Reinsurance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62"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prior-year period presented has been recast to exclude the revenue of Willis Re, which has been reclassified as discontinued operations on the Company’s condensed consolidated financial statements (see Note 3 – Acquisitions and Divestitures).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 presents revenue by service offering and segment, as well as a reconciliation to total revenue for the three months ended March 31, 2022 and 2021. Along with reimbursable expenses and other, total revenue by service offering represents our revenue from customer contracts. The prior year segment information has been retrospectively adjusted to conform to the current year presentation.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9"/>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69"/>
        </w:trPr>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Divested Businesses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bottom w:val="single" w:sz="8" w:color="auto"/>
            </w:tcBorders>
          </w:tcPr>
          <w:p>
            <w:pPr>
              <w:spacing w:after="0"/>
              <w:rPr>
                <w:sz w:val="14"/>
                <w:szCs w:val="14"/>
                <w:color w:val="auto"/>
              </w:rPr>
            </w:pPr>
          </w:p>
        </w:tc>
      </w:tr>
      <w:tr>
        <w:trPr>
          <w:trHeight w:val="169"/>
        </w:trPr>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696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717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14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r>
      <w:tr>
        <w:trPr>
          <w:trHeight w:val="21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1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2,185</w:t>
            </w: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1,251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905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2,201</w:t>
            </w:r>
          </w:p>
        </w:tc>
      </w:tr>
      <w:tr>
        <w:trPr>
          <w:trHeight w:val="20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Interest and other income </w:t>
            </w:r>
            <w:r>
              <w:rPr>
                <w:rFonts w:ascii="Times New Roman" w:cs="Times New Roman" w:eastAsia="Times New Roman" w:hAnsi="Times New Roman"/>
                <w:sz w:val="7"/>
                <w:szCs w:val="7"/>
                <w:color w:val="auto"/>
              </w:rPr>
              <w:t>(ii)</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9"/>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-8255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7" w:lineRule="exact"/>
        <w:rPr>
          <w:sz w:val="20"/>
          <w:szCs w:val="20"/>
          <w:color w:val="auto"/>
        </w:rPr>
      </w:pPr>
    </w:p>
    <w:p>
      <w:pPr>
        <w:ind w:left="280" w:right="860" w:hanging="272"/>
        <w:spacing w:after="0" w:line="271" w:lineRule="auto"/>
        <w:tabs>
          <w:tab w:leader="none" w:pos="2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and impacts from hedged revenue transactions.</w:t>
      </w:r>
    </w:p>
    <w:p>
      <w:pPr>
        <w:ind w:left="280" w:right="40" w:hanging="272"/>
        <w:spacing w:after="0" w:line="282" w:lineRule="auto"/>
        <w:tabs>
          <w:tab w:leader="none" w:pos="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4"/>
          <w:szCs w:val="14"/>
          <w:color w:val="auto"/>
        </w:rPr>
        <w:t>nterest and other income is included in segment revenue and total revenue, however it has been presented separately in the above tables because it does not arise directly from contracts with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customers.</w:t>
      </w:r>
    </w:p>
    <w:p>
      <w:pPr>
        <w:spacing w:after="0" w:line="9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following table presents revenue by the geography where our work is performed for the three months ended March 31, 2022 and 2021. The reconciliation to total revenue on our condensed consolidated statement of comprehensive income and to segment revenue is shown in the table above. The prior year geographic information has been retrospectively adjusted to conform to the current year presentation.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69"/>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HWC</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Divested Businesses</w:t>
            </w:r>
          </w:p>
        </w:tc>
        <w:tc>
          <w:tcPr>
            <w:tcW w:w="140" w:type="dxa"/>
            <w:vAlign w:val="bottom"/>
          </w:tcPr>
          <w:p>
            <w:pPr>
              <w:spacing w:after="0"/>
              <w:rPr>
                <w:sz w:val="14"/>
                <w:szCs w:val="14"/>
                <w:color w:val="auto"/>
              </w:rPr>
            </w:pPr>
          </w:p>
        </w:tc>
        <w:tc>
          <w:tcPr>
            <w:tcW w:w="122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4"/>
                <w:szCs w:val="14"/>
                <w:color w:val="auto"/>
              </w:rPr>
            </w:pPr>
          </w:p>
        </w:tc>
      </w:tr>
      <w:tr>
        <w:trPr>
          <w:trHeight w:val="169"/>
        </w:trPr>
        <w:tc>
          <w:tcPr>
            <w:tcW w:w="28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779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772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6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w:t>
            </w: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203"/>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6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r>
      <w:tr>
        <w:trPr>
          <w:trHeight w:val="20"/>
        </w:trPr>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-145415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-145415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-145415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-145415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-145415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-145415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-145415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-145415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-145415</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4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 which includes billed and unbilled receivables and current contract assets. In addition to accounts receivable, net, the Company had the following non-current contract assets and deferred revenue balances at March 31, 2022 and December 31,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$49 million and $45 million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0"/>
        </w:trPr>
        <w:tc>
          <w:tcPr>
            <w:tcW w:w="8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1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accounts receivable, net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0"/>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-607695</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-299720</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revenue of approximately $251 million was recognized that was reflected as deferred revenue at December 31, 2021.</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revenue of approximately $3 million related to performance obligations satisfied in a prior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March 31, 2022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39"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1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 onward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expected to be recognized on contracts as of March 31, 2022</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March 31, 2022 have been excluded from the table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5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5" w:name="page16"/>
    <w:bookmarkEnd w:id="15"/>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disclosures below, the prior-year period presented has been recast to exclude the results of Willis Re, which has been reclassified as discontinued operations on the Company’s condensed consolidated financial statements (see Note 3 – Acquisitions and Divestitures).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three months ended March 31, 2022 and 2021. The prior year information has been retrospectively adjusted to conform to the current year presentation.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9"/>
        </w:trPr>
        <w:tc>
          <w:tcPr>
            <w:tcW w:w="3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Borders>
              <w:bottom w:val="single" w:sz="8" w:color="auto"/>
            </w:tcBorders>
          </w:tcPr>
          <w:p>
            <w:pPr>
              <w:spacing w:after="0"/>
              <w:rPr>
                <w:sz w:val="14"/>
                <w:szCs w:val="14"/>
                <w:color w:val="auto"/>
              </w:rPr>
            </w:pPr>
          </w:p>
        </w:tc>
      </w:tr>
      <w:tr>
        <w:trPr>
          <w:trHeight w:val="169"/>
        </w:trPr>
        <w:tc>
          <w:tcPr>
            <w:tcW w:w="3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0"/>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197"/>
        </w:trPr>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-325120</wp:posOffset>
            </wp:positionV>
            <wp:extent cx="94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-307975</wp:posOffset>
            </wp:positionV>
            <wp:extent cx="94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-325120</wp:posOffset>
            </wp:positionV>
            <wp:extent cx="94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-307975</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-325120</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-307975</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-325120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-307975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-325120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-307975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wp:posOffset>
            </wp:positionV>
            <wp:extent cx="946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94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94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94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939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the information reported by segment to the Company’s condensed consolidated statement of comprehensive income amounts reported for the three months ended March 31, 2022 and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revenue</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2,135</w:t>
            </w:r>
          </w:p>
        </w:tc>
        <w:tc>
          <w:tcPr>
            <w:tcW w:w="7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2,157</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Divested businesses</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2,228</w:t>
            </w:r>
          </w:p>
        </w:tc>
      </w:tr>
      <w:tr>
        <w:trPr>
          <w:trHeight w:val="197"/>
        </w:trPr>
        <w:tc>
          <w:tcPr>
            <w:tcW w:w="7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449</w:t>
            </w:r>
          </w:p>
        </w:tc>
        <w:tc>
          <w:tcPr>
            <w:tcW w:w="76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445</w:t>
            </w:r>
          </w:p>
        </w:tc>
      </w:tr>
      <w:tr>
        <w:trPr>
          <w:trHeight w:val="164"/>
        </w:trPr>
        <w:tc>
          <w:tcPr>
            <w:tcW w:w="768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Divested businesses</w:t>
            </w:r>
          </w:p>
        </w:tc>
        <w:tc>
          <w:tcPr>
            <w:tcW w:w="1000" w:type="dxa"/>
            <w:vAlign w:val="bottom"/>
          </w:tcPr>
          <w:p>
            <w:pPr>
              <w:spacing w:after="0"/>
              <w:rPr>
                <w:sz w:val="14"/>
                <w:szCs w:val="14"/>
                <w:color w:val="auto"/>
              </w:rPr>
            </w:pPr>
          </w:p>
        </w:tc>
        <w:tc>
          <w:tcPr>
            <w:tcW w:w="700" w:type="dxa"/>
            <w:vAlign w:val="bottom"/>
          </w:tcPr>
          <w:p>
            <w:pPr>
              <w:jc w:val="right"/>
              <w:ind w:right="12"/>
              <w:spacing w:after="0" w:line="16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(10 )</w:t>
            </w:r>
          </w:p>
        </w:tc>
      </w:tr>
      <w:tr>
        <w:trPr>
          <w:trHeight w:val="268"/>
        </w:trPr>
        <w:tc>
          <w:tcPr>
            <w:tcW w:w="768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4"/>
                <w:szCs w:val="24"/>
                <w:color w:val="auto"/>
                <w:vertAlign w:val="superscript"/>
              </w:rPr>
              <w:t>(i)</w:t>
            </w:r>
          </w:p>
        </w:tc>
        <w:tc>
          <w:tcPr>
            <w:tcW w:w="10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164"/>
        </w:trPr>
        <w:tc>
          <w:tcPr>
            <w:tcW w:w="768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tcPr>
          <w:p>
            <w:pPr>
              <w:spacing w:after="0"/>
              <w:rPr>
                <w:sz w:val="14"/>
                <w:szCs w:val="14"/>
                <w:color w:val="auto"/>
              </w:rPr>
            </w:pPr>
          </w:p>
        </w:tc>
        <w:tc>
          <w:tcPr>
            <w:tcW w:w="7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11"/>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transformation, net </w:t>
            </w:r>
            <w:r>
              <w:rPr>
                <w:rFonts w:ascii="Times New Roman" w:cs="Times New Roman" w:eastAsia="Times New Roman" w:hAnsi="Times New Roman"/>
                <w:sz w:val="24"/>
                <w:szCs w:val="24"/>
                <w:color w:val="auto"/>
                <w:vertAlign w:val="superscript"/>
              </w:rPr>
              <w:t>(ii)</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68"/>
        </w:trPr>
        <w:tc>
          <w:tcPr>
            <w:tcW w:w="7680" w:type="dxa"/>
            <w:vAlign w:val="bottom"/>
          </w:tcPr>
          <w:p>
            <w:pPr>
              <w:ind w:left="200"/>
              <w:spacing w:after="0" w:line="267"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(iii)</w:t>
            </w:r>
          </w:p>
        </w:tc>
        <w:tc>
          <w:tcPr>
            <w:tcW w:w="10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8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-1713865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-1696720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7"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impairment related to the net assets of our Russian business that are held outside of our Russian entities (see Note 3 — Acquisitions and Divestitures for further information).</w:t>
      </w:r>
    </w:p>
    <w:p>
      <w:pPr>
        <w:spacing w:after="0" w:line="41" w:lineRule="exact"/>
        <w:rPr>
          <w:rFonts w:ascii="Times New Roman" w:cs="Times New Roman" w:eastAsia="Times New Roman" w:hAnsi="Times New Roman"/>
          <w:sz w:val="14"/>
          <w:szCs w:val="14"/>
          <w:color w:val="auto"/>
        </w:rPr>
      </w:pPr>
    </w:p>
    <w:p>
      <w:pPr>
        <w:ind w:left="280" w:right="420" w:hanging="272"/>
        <w:spacing w:after="0" w:line="271"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in addition to legal fees and other transaction costs, includes consulting fees related to the Transformation program (see Note 6 — Restructuring Costs). In 2021, includes fees related to our then-proposed Aon combination.</w:t>
      </w:r>
    </w:p>
    <w:p>
      <w:pPr>
        <w:ind w:left="280" w:right="80" w:hanging="272"/>
        <w:spacing w:after="0" w:line="282" w:lineRule="auto"/>
        <w:tabs>
          <w:tab w:leader="none" w:pos="2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The program is expected to generate annual cost savings of approximately $300 million by the end of 2024. The program is expected to include cumulative costs of approximately $490 million and capital expenditures of approximately $260 million, for a total investment of $750 million. The main categories of charges will be in the following four areas:</w:t>
      </w:r>
    </w:p>
    <w:p>
      <w:pPr>
        <w:spacing w:after="0" w:line="69" w:lineRule="exact"/>
        <w:rPr>
          <w:sz w:val="20"/>
          <w:szCs w:val="20"/>
          <w:color w:val="auto"/>
        </w:rPr>
      </w:pPr>
    </w:p>
    <w:p>
      <w:pPr>
        <w:ind w:left="760" w:right="30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6" w:name="page17"/>
    <w:bookmarkEnd w:id="16"/>
    <w:p>
      <w:pPr>
        <w:ind w:left="760" w:right="40" w:hanging="378"/>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61"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6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3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Other costs incurred under the Transformation program are included in transaction and transformation, net and were $5 million for the three months ended March 31, 2022. An analysis of total restructuring costs incurred under the Transformation program by category and by segment and corporate functions, from commencement to March 31, 2022,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HWC</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5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-170815</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60" w:type="dxa"/>
            <w:vAlign w:val="bottom"/>
          </w:tcPr>
          <w:p>
            <w:pPr>
              <w:spacing w:after="0"/>
              <w:rPr>
                <w:sz w:val="13"/>
                <w:szCs w:val="13"/>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9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-591185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-591185</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-591185</wp:posOffset>
            </wp:positionV>
            <wp:extent cx="34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-591185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-591185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34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6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2022 was $43 million compared to $44 million for the three months ended March 31, 2021. The effective tax rate was 27.5% for the three months ended March 31, 2022 and 7.4% for the three months ended March 31, 2021. These effective tax rates are calculated using extended values from our condensed consolidated statements of comprehensive income and are therefore more precise tax rates than can be calculated from rounded values. The prior year quarter effective tax rate was lower due to the tax-exempt disposal of our Miller business. Additionally, the current quarter effective tax rate includes the tax effect of the divestment of our Russia business.</w:t>
      </w:r>
    </w:p>
    <w:p>
      <w:pPr>
        <w:spacing w:after="0" w:line="12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we have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ind w:right="200"/>
        <w:spacing w:after="0" w:line="250" w:lineRule="auto"/>
        <w:rPr>
          <w:sz w:val="20"/>
          <w:szCs w:val="20"/>
          <w:color w:val="auto"/>
        </w:rPr>
      </w:pPr>
      <w:r>
        <w:rPr>
          <w:rFonts w:ascii="Times New Roman" w:cs="Times New Roman" w:eastAsia="Times New Roman" w:hAnsi="Times New Roman"/>
          <w:sz w:val="18"/>
          <w:szCs w:val="18"/>
          <w:color w:val="auto"/>
        </w:rPr>
        <w:t>not provided taxes on cumulative earnings of our subsidiaries that have been reinvested indefinitely. As a result of our plans to restructure or distribute accumulated earnings of certain foreign operations, we have recorded an estimate of foreign withholding and state income taxes. However, we assert that the historical cumulative earnings of our other subsidiaries are reinvested indefinitely, and therefore do not provide deferred tax liabilities on these amounts.</w:t>
      </w:r>
    </w:p>
    <w:p>
      <w:pPr>
        <w:spacing w:after="0" w:line="137"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 records valuation allowances against net deferred tax assets based on whether it is more likely than not that the deferred tax assets will be realized. We have liabilities for uncertain tax positions under ASC 740 of $42 million, excluding interest and penalties. The Company believes the outcomes that are reasonably possible within the next 12 months may result in a reduction in the liability for uncertain tax positions of approximately $7 million to $9 million, excluding interest and penalties.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components of goodwill are outlined below for the three months ended March 31, 2022. The prior year segment information has been retrospectively adjusted to conform to the current year presentation.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10,675</w:t>
            </w:r>
          </w:p>
        </w:tc>
      </w:tr>
      <w:tr>
        <w:trPr>
          <w:trHeight w:val="216"/>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9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2021</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10,183</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disposals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10,692</w:t>
            </w:r>
          </w:p>
        </w:tc>
      </w:tr>
      <w:tr>
        <w:trPr>
          <w:trHeight w:val="216"/>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9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March 31, 2022</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10,200</w:t>
            </w:r>
          </w:p>
        </w:tc>
      </w:tr>
      <w:tr>
        <w:trPr>
          <w:trHeight w:val="20"/>
        </w:trPr>
        <w:tc>
          <w:tcPr>
            <w:tcW w:w="6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-1285240</wp:posOffset>
            </wp:positionV>
            <wp:extent cx="102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-1285240</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three months ended March 31,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80" w:type="dxa"/>
            <w:vAlign w:val="bottom"/>
          </w:tcPr>
          <w:p>
            <w:pPr>
              <w:spacing w:after="0"/>
              <w:rPr>
                <w:sz w:val="13"/>
                <w:szCs w:val="13"/>
                <w:color w:val="auto"/>
              </w:rPr>
            </w:pPr>
          </w:p>
        </w:tc>
        <w:tc>
          <w:tcPr>
            <w:tcW w:w="12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3,794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(3,122 )</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2021</w:t>
            </w: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4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(2,166 )</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(3,193 )</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March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1,645</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771</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-1285240</wp:posOffset>
            </wp:positionV>
            <wp:extent cx="1885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-1285240</wp:posOffset>
            </wp:positionV>
            <wp:extent cx="1885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-1285240</wp:posOffset>
            </wp:positionV>
            <wp:extent cx="1885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-1285240</wp:posOffset>
            </wp:positionV>
            <wp:extent cx="1797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1885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-170815</wp:posOffset>
            </wp:positionV>
            <wp:extent cx="1885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1885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179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March 31, 2022 was 12.8 years.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2022 and for subsequent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1,367</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2,492</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6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6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 To reduce such variability, we use foreign exchange contracts to hedge against this currency risk.</w:t>
      </w:r>
    </w:p>
    <w:p>
      <w:pPr>
        <w:spacing w:after="0" w:line="12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March 31, 2022 and December 31, 2021 had total notional amounts of $133 million and $155 million, respectively, and had a net liability fair value of $1 million and a net asset fair value of $3 million, respectively.</w:t>
      </w:r>
    </w:p>
    <w:p>
      <w:pPr>
        <w:spacing w:after="0" w:line="10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At March 31, 2022, the Company estimates, based on current exchange rates, there will be $1 million of net derivative losses on forward exchange rates reclassified from accumulated other comprehensive loss into earnings within the next twelve months as the forecast transactions affect earnings. At March 31, 2022, our longest outstanding maturity was 1.6 years.</w:t>
      </w:r>
    </w:p>
    <w:p>
      <w:pPr>
        <w:spacing w:after="0" w:line="130"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months ended March 31, 2022 and 2021 are below. Amounts pertaining to the ineffective portion of hedging instruments and those excluded from effectiveness testing were immaterial for the three months ended March 31,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tcBorders>
              <w:bottom w:val="single" w:sz="8" w:color="auto"/>
            </w:tcBorders>
            <w:gridSpan w:val="6"/>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rPr>
              <w:t>(Loss)/gain recognized in OCI (effective element)</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3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ind w:right="116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ind w:right="14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06"/>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(loss)/gain reclassified from Accumulated OCL into income (effective element)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6"/>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rPr>
              <w:t>(Loss)/gain reclassified from Accumulated OCL into income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gridSpan w:val="5"/>
          </w:tcPr>
          <w:p>
            <w:pPr>
              <w:jc w:val="center"/>
              <w:ind w:right="1039"/>
              <w:spacing w:after="0"/>
              <w:rPr>
                <w:sz w:val="20"/>
                <w:szCs w:val="20"/>
                <w:color w:val="auto"/>
              </w:rPr>
            </w:pPr>
            <w:r>
              <w:rPr>
                <w:rFonts w:ascii="Times New Roman" w:cs="Times New Roman" w:eastAsia="Times New Roman" w:hAnsi="Times New Roman"/>
                <w:sz w:val="14"/>
                <w:szCs w:val="14"/>
                <w:b w:val="1"/>
                <w:bCs w:val="1"/>
                <w:color w:val="auto"/>
              </w:rPr>
              <w:t>(effective element)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top w:val="single" w:sz="8" w:color="auto"/>
            </w:tcBorders>
            <w:gridSpan w:val="2"/>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FF0FC"/>
          </w:tcPr>
          <w:p>
            <w:pPr>
              <w:spacing w:after="0"/>
              <w:rPr>
                <w:sz w:val="17"/>
                <w:szCs w:val="17"/>
                <w:color w:val="auto"/>
              </w:rPr>
            </w:pPr>
          </w:p>
        </w:tc>
        <w:tc>
          <w:tcPr>
            <w:tcW w:w="1360" w:type="dxa"/>
            <w:vAlign w:val="bottom"/>
            <w:tcBorders>
              <w:top w:val="single" w:sz="8" w:color="auto"/>
            </w:tcBorders>
            <w:gridSpan w:val="2"/>
            <w:shd w:val="clear" w:color="auto" w:fill="CFF0FC"/>
          </w:tcPr>
          <w:p>
            <w:pPr>
              <w:jc w:val="right"/>
              <w:ind w:right="118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00" w:type="dxa"/>
            <w:vAlign w:val="bottom"/>
            <w:tcBorders>
              <w:top w:val="single" w:sz="8" w:color="auto"/>
            </w:tcBorders>
            <w:gridSpan w:val="2"/>
            <w:shd w:val="clear" w:color="auto" w:fill="CFF0FC"/>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3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3"/>
          </w:tcPr>
          <w:p>
            <w:pPr>
              <w:jc w:val="right"/>
              <w:ind w:right="1186"/>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2000" w:type="dxa"/>
            <w:vAlign w:val="bottom"/>
            <w:gridSpan w:val="3"/>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-1002665</wp:posOffset>
            </wp:positionV>
            <wp:extent cx="2057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-162560</wp:posOffset>
            </wp:positionV>
            <wp:extent cx="2057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10"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18"/>
          <w:szCs w:val="18"/>
          <w:color w:val="auto"/>
        </w:rPr>
        <w:t>We also enter into foreign currency transactions, primarily to hedge certain intercompany loans and other balance sheet exposures in currencies other than the functional currency of a given entity. These derivatives are not generally designated as hedging instruments, and at March 31, 2022 and December 31, 2021, we had notional amounts of $2.6 billion and $2.9 billion, respectively. At March 31, 2022 and December 31, 2021, we had net asset fair values of $9 million and $15 million,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9" w:name="page20"/>
    <w:bookmarkEnd w:id="19"/>
    <w:p>
      <w:pPr>
        <w:ind w:right="40"/>
        <w:spacing w:after="0" w:line="266"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months ended March 31, 2022 and 2021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auto"/>
            </w:tcBorders>
            <w:gridSpan w:val="4"/>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Loss recognized in income</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jc w:val="center"/>
              <w:ind w:right="40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8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80" w:type="dxa"/>
            <w:vAlign w:val="bottom"/>
          </w:tcPr>
          <w:p>
            <w:pPr>
              <w:spacing w:after="0"/>
              <w:rPr>
                <w:sz w:val="11"/>
                <w:szCs w:val="11"/>
                <w:color w:val="auto"/>
              </w:rPr>
            </w:pPr>
          </w:p>
        </w:tc>
        <w:tc>
          <w:tcPr>
            <w:tcW w:w="3100" w:type="dxa"/>
            <w:vAlign w:val="bottom"/>
            <w:gridSpan w:val="2"/>
            <w:vMerge w:val="continue"/>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98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80" w:type="dxa"/>
            <w:vAlign w:val="bottom"/>
            <w:tcBorders>
              <w:bottom w:val="single" w:sz="8" w:color="CFF0FC"/>
            </w:tcBorders>
            <w:shd w:val="clear" w:color="auto" w:fill="CFF0FC"/>
          </w:tcPr>
          <w:p>
            <w:pPr>
              <w:spacing w:after="0"/>
              <w:rPr>
                <w:sz w:val="20"/>
                <w:szCs w:val="20"/>
                <w:color w:val="auto"/>
              </w:rPr>
            </w:pPr>
          </w:p>
        </w:tc>
        <w:tc>
          <w:tcPr>
            <w:tcW w:w="310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6"/>
                <w:szCs w:val="16"/>
                <w:color w:val="auto"/>
              </w:rPr>
              <w:t>Other income, net</w:t>
            </w:r>
          </w:p>
        </w:tc>
        <w:tc>
          <w:tcPr>
            <w:tcW w:w="840" w:type="dxa"/>
            <w:vAlign w:val="bottom"/>
            <w:tcBorders>
              <w:bottom w:val="single" w:sz="8" w:color="auto"/>
            </w:tcBorders>
            <w:shd w:val="clear" w:color="auto" w:fill="CFF0FC"/>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2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-24765</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6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16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2.125% senior notes due 2022 </w:t>
            </w:r>
            <w:r>
              <w:rPr>
                <w:rFonts w:ascii="Times New Roman" w:cs="Times New Roman" w:eastAsia="Times New Roman" w:hAnsi="Times New Roman"/>
                <w:sz w:val="24"/>
                <w:szCs w:val="24"/>
                <w:color w:val="auto"/>
                <w:vertAlign w:val="superscript"/>
              </w:rPr>
              <w:t>(i)</w:t>
            </w: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80" w:type="dxa"/>
            <w:vAlign w:val="bottom"/>
          </w:tcPr>
          <w:p>
            <w:pPr>
              <w:spacing w:after="0"/>
              <w:rPr>
                <w:sz w:val="24"/>
                <w:szCs w:val="24"/>
                <w:color w:val="auto"/>
              </w:rPr>
            </w:pPr>
          </w:p>
        </w:tc>
        <w:tc>
          <w:tcPr>
            <w:tcW w:w="116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16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4.625% senior notes due 2023</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1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-2134235</wp:posOffset>
            </wp:positionV>
            <wp:extent cx="1200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120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Notes issued in Euro (€540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December 31, 2021,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0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Level 1 because we use quoted market prices in determining the fair value of these securities.</w:t>
      </w:r>
    </w:p>
    <w:p>
      <w:pPr>
        <w:spacing w:after="0" w:line="103" w:lineRule="exact"/>
        <w:rPr>
          <w:rFonts w:ascii="Times New Roman" w:cs="Times New Roman" w:eastAsia="Times New Roman" w:hAnsi="Times New Roman"/>
          <w:sz w:val="18"/>
          <w:szCs w:val="18"/>
          <w:color w:val="auto"/>
        </w:rPr>
      </w:pPr>
    </w:p>
    <w:p>
      <w:pPr>
        <w:ind w:left="760" w:right="60" w:hanging="378"/>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 of forward foreign exchange contracts based on estimated amounts the Company would receive or have to pay to terminate the agreements, taking into account observable information about the current foreign currency forward rates. Such financial instruments are classified as Level 2 in the fair value hierarchy.</w:t>
      </w:r>
    </w:p>
    <w:p>
      <w:pPr>
        <w:spacing w:after="0" w:line="61"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The following tables present our assets and liabilities measured at fair value on a recurring basis at March 31, 2022 and December 31, 2021:</w:t>
      </w:r>
    </w:p>
    <w:p>
      <w:pPr>
        <w:sectPr>
          <w:pgSz w:w="11900" w:h="16838" w:orient="portrait"/>
          <w:cols w:equalWidth="0" w:num="1">
            <w:col w:w="11240"/>
          </w:cols>
          <w:pgMar w:left="320" w:top="48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3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Mutual funds / exchange traded funds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66"/>
        </w:trPr>
        <w:tc>
          <w:tcPr>
            <w:tcW w:w="3480" w:type="dxa"/>
            <w:vAlign w:val="bottom"/>
          </w:tcPr>
          <w:p>
            <w:pPr>
              <w:spacing w:after="0"/>
              <w:rPr>
                <w:sz w:val="14"/>
                <w:szCs w:val="1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Fiduciary assets</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80" w:type="dxa"/>
            <w:vAlign w:val="bottom"/>
          </w:tcPr>
          <w:p>
            <w:pPr>
              <w:ind w:left="180"/>
              <w:spacing w:after="0" w:line="190" w:lineRule="exact"/>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88"/>
        </w:trPr>
        <w:tc>
          <w:tcPr>
            <w:tcW w:w="3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4"/>
        </w:trPr>
        <w:tc>
          <w:tcPr>
            <w:tcW w:w="348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(ii)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r>
        <w:trPr>
          <w:trHeight w:val="191"/>
        </w:trPr>
        <w:tc>
          <w:tcPr>
            <w:tcW w:w="3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r>
        <w:trPr>
          <w:trHeight w:val="626"/>
        </w:trPr>
        <w:tc>
          <w:tcPr>
            <w:tcW w:w="3480" w:type="dxa"/>
            <w:vAlign w:val="bottom"/>
          </w:tcPr>
          <w:p>
            <w:pPr>
              <w:spacing w:after="0"/>
              <w:rPr>
                <w:sz w:val="24"/>
                <w:szCs w:val="24"/>
                <w:color w:val="auto"/>
              </w:rPr>
            </w:pPr>
          </w:p>
        </w:tc>
        <w:tc>
          <w:tcPr>
            <w:tcW w:w="3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Mutual funds / exchange traded funds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66"/>
        </w:trPr>
        <w:tc>
          <w:tcPr>
            <w:tcW w:w="3480" w:type="dxa"/>
            <w:vAlign w:val="bottom"/>
          </w:tcPr>
          <w:p>
            <w:pPr>
              <w:spacing w:after="0"/>
              <w:rPr>
                <w:sz w:val="14"/>
                <w:szCs w:val="1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Fiduciary assets</w:t>
            </w:r>
          </w:p>
        </w:tc>
        <w:tc>
          <w:tcPr>
            <w:tcW w:w="0" w:type="dxa"/>
            <w:vAlign w:val="bottom"/>
          </w:tcPr>
          <w:p>
            <w:pPr>
              <w:spacing w:after="0"/>
              <w:rPr>
                <w:sz w:val="1"/>
                <w:szCs w:val="1"/>
                <w:color w:val="auto"/>
              </w:rPr>
            </w:pPr>
          </w:p>
        </w:tc>
      </w:tr>
      <w:tr>
        <w:trPr>
          <w:trHeight w:val="18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Certificates of deposit/term deposits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88"/>
        </w:trPr>
        <w:tc>
          <w:tcPr>
            <w:tcW w:w="34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76"/>
        </w:trPr>
        <w:tc>
          <w:tcPr>
            <w:tcW w:w="348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180"/>
              <w:spacing w:after="0" w:line="176" w:lineRule="exact"/>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0" w:type="dxa"/>
            <w:vAlign w:val="bottom"/>
          </w:tcPr>
          <w:p>
            <w:pPr>
              <w:spacing w:after="0"/>
              <w:rPr>
                <w:sz w:val="1"/>
                <w:szCs w:val="1"/>
                <w:color w:val="auto"/>
              </w:rPr>
            </w:pPr>
          </w:p>
        </w:tc>
      </w:tr>
      <w:tr>
        <w:trPr>
          <w:trHeight w:val="188"/>
        </w:trPr>
        <w:tc>
          <w:tcPr>
            <w:tcW w:w="3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0" w:type="dxa"/>
            <w:vAlign w:val="bottom"/>
          </w:tcPr>
          <w:p>
            <w:pPr>
              <w:spacing w:after="0"/>
              <w:rPr>
                <w:sz w:val="1"/>
                <w:szCs w:val="1"/>
                <w:color w:val="auto"/>
              </w:rPr>
            </w:pPr>
          </w:p>
        </w:tc>
      </w:tr>
      <w:tr>
        <w:trPr>
          <w:trHeight w:val="184"/>
        </w:trPr>
        <w:tc>
          <w:tcPr>
            <w:tcW w:w="348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180"/>
              <w:spacing w:after="0" w:line="228"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(ii)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-3917950</wp:posOffset>
            </wp:positionV>
            <wp:extent cx="71323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-3660775</wp:posOffset>
            </wp:positionV>
            <wp:extent cx="713232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-3317875</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-2974975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-2700655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-1860550</wp:posOffset>
            </wp:positionV>
            <wp:extent cx="713232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-1603375</wp:posOffset>
            </wp:positionV>
            <wp:extent cx="713232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-1260475</wp:posOffset>
            </wp:positionV>
            <wp:extent cx="7132320" cy="205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9512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March 31, 2022</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70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54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4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4"/>
        </w:trPr>
        <w:tc>
          <w:tcPr>
            <w:tcW w:w="180" w:type="dxa"/>
            <w:vAlign w:val="bottom"/>
          </w:tcPr>
          <w:p>
            <w:pPr>
              <w:spacing w:after="0"/>
              <w:rPr>
                <w:sz w:val="24"/>
                <w:szCs w:val="24"/>
                <w:color w:val="auto"/>
              </w:rPr>
            </w:pPr>
          </w:p>
        </w:tc>
        <w:tc>
          <w:tcPr>
            <w:tcW w:w="3400" w:type="dxa"/>
            <w:vAlign w:val="bottom"/>
            <w:gridSpan w:val="9"/>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680" w:type="dxa"/>
            <w:vAlign w:val="bottom"/>
          </w:tcPr>
          <w:p>
            <w:pPr>
              <w:spacing w:after="0"/>
              <w:rPr>
                <w:sz w:val="24"/>
                <w:szCs w:val="24"/>
                <w:color w:val="auto"/>
              </w:rPr>
            </w:pPr>
          </w:p>
        </w:tc>
      </w:tr>
      <w:tr>
        <w:trPr>
          <w:trHeight w:val="179"/>
        </w:trPr>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69"/>
        </w:trPr>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70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24"/>
        </w:trPr>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54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64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ectPr>
          <w:pgSz w:w="11900" w:h="16838" w:orient="portrait"/>
          <w:cols w:equalWidth="0" w:num="2">
            <w:col w:w="6860" w:space="120"/>
            <w:col w:w="4260"/>
          </w:cols>
          <w:pgMar w:left="320" w:top="486" w:right="339" w:bottom="1440" w:gutter="0" w:footer="0" w:header="0"/>
          <w:type w:val="continuous"/>
        </w:sectPr>
      </w:pPr>
    </w:p>
    <w:p>
      <w:pPr>
        <w:ind w:left="280" w:hanging="272"/>
        <w:spacing w:after="0"/>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41" w:lineRule="exact"/>
        <w:rPr>
          <w:rFonts w:ascii="Times New Roman" w:cs="Times New Roman" w:eastAsia="Times New Roman" w:hAnsi="Times New Roman"/>
          <w:sz w:val="14"/>
          <w:szCs w:val="14"/>
          <w:color w:val="auto"/>
        </w:rPr>
      </w:pPr>
    </w:p>
    <w:p>
      <w:pPr>
        <w:jc w:val="both"/>
        <w:ind w:left="280" w:right="20" w:hanging="272"/>
        <w:spacing w:after="0" w:line="271"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11.87% and 11.92% at March 31, 2022 and December 31, 2021, respectively. The range of these discount rates was 3.53% - 13.80% at March 31, 2022. Using different probability weightings and discount rates could result in an increase or decrease of the contingent consideration payable.</w:t>
      </w:r>
    </w:p>
    <w:p>
      <w:pPr>
        <w:sectPr>
          <w:pgSz w:w="11900" w:h="16838" w:orient="portrait"/>
          <w:cols w:equalWidth="0" w:num="1">
            <w:col w:w="11240"/>
          </w:cols>
          <w:pgMar w:left="320" w:top="486"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Obligations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line="214" w:lineRule="auto"/>
        <w:rPr>
          <w:sz w:val="20"/>
          <w:szCs w:val="20"/>
          <w:color w:val="auto"/>
        </w:rPr>
      </w:pPr>
      <w:r>
        <w:rPr>
          <w:rFonts w:ascii="Times New Roman" w:cs="Times New Roman" w:eastAsia="Times New Roman" w:hAnsi="Times New Roman"/>
          <w:sz w:val="18"/>
          <w:szCs w:val="18"/>
          <w:color w:val="auto"/>
        </w:rPr>
        <w:t>Payments</w:t>
      </w:r>
    </w:p>
    <w:p>
      <w:pPr>
        <w:ind w:left="200"/>
        <w:spacing w:after="0" w:line="236" w:lineRule="auto"/>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Foreign exchange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512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191"/>
        </w:trPr>
        <w:tc>
          <w:tcPr>
            <w:tcW w:w="2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51</w:t>
            </w:r>
          </w:p>
        </w:tc>
      </w:tr>
      <w:tr>
        <w:trPr>
          <w:trHeight w:val="216"/>
        </w:trPr>
        <w:tc>
          <w:tcPr>
            <w:tcW w:w="2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2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00" w:space="720"/>
            <w:col w:w="2020"/>
          </w:cols>
          <w:pgMar w:left="320" w:top="486" w:right="339" w:bottom="1440" w:gutter="0" w:footer="0" w:header="0"/>
          <w:type w:val="continuous"/>
        </w:sectPr>
      </w:pPr>
    </w:p>
    <w:p>
      <w:pPr>
        <w:spacing w:after="0" w:line="7" w:lineRule="exact"/>
        <w:rPr>
          <w:sz w:val="20"/>
          <w:szCs w:val="20"/>
          <w:color w:val="auto"/>
        </w:rPr>
      </w:pPr>
    </w:p>
    <w:p>
      <w:pPr>
        <w:ind w:left="280" w:right="720" w:hanging="272"/>
        <w:spacing w:after="0" w:line="282" w:lineRule="auto"/>
        <w:tabs>
          <w:tab w:leader="none" w:pos="2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three months ended March 31, 2022.</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liabilities not measured at fair value on a recurring basis at March 31, 2022 and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599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3,975</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4,026</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3,974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4,453</w:t>
            </w:r>
          </w:p>
        </w:tc>
      </w:tr>
    </w:tbl>
    <w:p>
      <w:pPr>
        <w:spacing w:after="0" w:line="17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 and Post-retirement Welfare Plans</w:t>
      </w:r>
    </w:p>
    <w:p>
      <w:pPr>
        <w:spacing w:after="0" w:line="16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and other post-retirement welfare (‘PRW’)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99% of WTW’s pension and PRW obligations and are disclosed herein.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(Income)/Cost for Defined Benefit Pension and Post-retirement Welfare Plans</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benefit (income)/cost for the Company’s defined benefit pension and PRW plans for the three months ended March 31, 2022 and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69"/>
        </w:trPr>
        <w:tc>
          <w:tcPr>
            <w:tcW w:w="3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PRW</w:t>
            </w:r>
          </w:p>
        </w:tc>
      </w:tr>
      <w:tr>
        <w:trPr>
          <w:trHeight w:val="19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500" w:type="dxa"/>
            <w:vAlign w:val="bottom"/>
            <w:tcBorders>
              <w:top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50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(83 )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50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5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5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6"/>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500" w:type="dxa"/>
            <w:vAlign w:val="bottom"/>
            <w:tcBorders>
              <w:bottom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(31 )</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-24765</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6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The Company did not make any contributions to its U.S. plans during the three months ended March 31, 2022 and currently does not anticipate making contributions over the remainder of the fiscal year. The Company made contributions of $8 million to its U.K. plans for the three months ended March 31, 2022 and anticipates making additional contributions of $31 million for the remainder of the fiscal year. The Company made contributions of $14 million to its other plans for the three months ended March 31, 2022 and anticipates making additional contributions of $11 million for the remainder of the fiscal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made contributions to its defined contribution plans of $42 million and $43 million during the three months ended March 31, 2022 and 2021,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presents lease costs recorded on our condensed consolidated statements of comprehensive income for the three months ended March 31, 2022 and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8"/>
                <w:szCs w:val="18"/>
                <w:color w:val="auto"/>
              </w:rPr>
            </w:pP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vMerge w:val="continue"/>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9"/>
        </w:trPr>
        <w:tc>
          <w:tcPr>
            <w:tcW w:w="7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cost, net</w:t>
            </w:r>
          </w:p>
        </w:tc>
        <w:tc>
          <w:tcPr>
            <w:tcW w:w="130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1028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028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4"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$5 million that was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payment of early termination fees. There are no significant lease costs that have been included as discontinued operations in the condensed consolidated statements of comprehensive income during the three months ended March 31, 2022 and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We expect the impact of claims or demands not described below to be immaterial to the Company’s condensed consolidated financial statements. The Company also receives subpoenas in the ordinary course of business and, from time to time, receives requests for information in connection with governmental investigations.</w:t>
      </w:r>
    </w:p>
    <w:p>
      <w:pPr>
        <w:spacing w:after="0" w:line="12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March 31, 2022 and December 31, 2021 in the condensed consolidated balance sheets.</w:t>
      </w:r>
    </w:p>
    <w:p>
      <w:pPr>
        <w:spacing w:after="0" w:line="14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particular quarterly or annual periods. In addition, given the early stages of some litigation or regulatory proceedings described below, it may not be possible to predict their outcomes or resolutions, and it is possible that any one or more of these events may have a material adverse effect on the Company.</w:t>
      </w:r>
    </w:p>
    <w:p>
      <w:pPr>
        <w:spacing w:after="0" w:line="12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3" w:name="page24"/>
    <w:bookmarkEnd w:id="23"/>
    <w:p>
      <w:pPr>
        <w:ind w:right="54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740" w:type="dxa"/>
            <w:vAlign w:val="bottom"/>
            <w:gridSpan w:val="3"/>
          </w:tcPr>
          <w:p>
            <w:pPr>
              <w:jc w:val="center"/>
              <w:ind w:left="29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580" w:type="dxa"/>
            <w:vAlign w:val="bottom"/>
            <w:shd w:val="clear" w:color="auto" w:fill="CFF0FC"/>
          </w:tcPr>
          <w:p>
            <w:pPr>
              <w:spacing w:after="0"/>
              <w:rPr>
                <w:sz w:val="18"/>
                <w:szCs w:val="18"/>
                <w:color w:val="auto"/>
              </w:rPr>
            </w:pPr>
          </w:p>
        </w:tc>
        <w:tc>
          <w:tcPr>
            <w:tcW w:w="1160" w:type="dxa"/>
            <w:vAlign w:val="bottom"/>
            <w:tcBorders>
              <w:top w:val="single" w:sz="8" w:color="auto"/>
            </w:tcBorders>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5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3740" w:type="dxa"/>
            <w:vAlign w:val="bottom"/>
            <w:gridSpan w:val="3"/>
          </w:tcPr>
          <w:p>
            <w:pPr>
              <w:jc w:val="center"/>
              <w:ind w:left="29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accrued liabilities and deferred income</w:t>
            </w:r>
          </w:p>
        </w:tc>
        <w:tc>
          <w:tcPr>
            <w:tcW w:w="2580" w:type="dxa"/>
            <w:vAlign w:val="bottom"/>
            <w:shd w:val="clear" w:color="auto" w:fill="CFF0FC"/>
          </w:tcPr>
          <w:p>
            <w:pPr>
              <w:spacing w:after="0"/>
              <w:rPr>
                <w:sz w:val="18"/>
                <w:szCs w:val="18"/>
                <w:color w:val="auto"/>
              </w:rPr>
            </w:pPr>
          </w:p>
        </w:tc>
        <w:tc>
          <w:tcPr>
            <w:tcW w:w="1160" w:type="dxa"/>
            <w:vAlign w:val="bottom"/>
            <w:tcBorders>
              <w:top w:val="single" w:sz="8" w:color="auto"/>
            </w:tcBorders>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25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6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3740" w:type="dxa"/>
            <w:vAlign w:val="bottom"/>
            <w:gridSpan w:val="3"/>
          </w:tcPr>
          <w:p>
            <w:pPr>
              <w:jc w:val="center"/>
              <w:ind w:left="298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580" w:type="dxa"/>
            <w:vAlign w:val="bottom"/>
            <w:shd w:val="clear" w:color="auto" w:fill="CFF0FC"/>
          </w:tcPr>
          <w:p>
            <w:pPr>
              <w:spacing w:after="0"/>
              <w:rPr>
                <w:sz w:val="18"/>
                <w:szCs w:val="18"/>
                <w:color w:val="auto"/>
              </w:rPr>
            </w:pPr>
          </w:p>
        </w:tc>
        <w:tc>
          <w:tcPr>
            <w:tcW w:w="1160" w:type="dxa"/>
            <w:vAlign w:val="bottom"/>
            <w:tcBorders>
              <w:top w:val="single" w:sz="8" w:color="auto"/>
            </w:tcBorders>
            <w:gridSpan w:val="2"/>
            <w:shd w:val="clear" w:color="auto" w:fill="CFF0FC"/>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2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other benefits-related liabilities</w:t>
            </w:r>
          </w:p>
        </w:tc>
        <w:tc>
          <w:tcPr>
            <w:tcW w:w="2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commissions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740" w:type="dxa"/>
            <w:vAlign w:val="bottom"/>
            <w:gridSpan w:val="3"/>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Pr>
          <w:p>
            <w:pPr>
              <w:spacing w:after="0"/>
              <w:rPr>
                <w:sz w:val="18"/>
                <w:szCs w:val="18"/>
                <w:color w:val="auto"/>
              </w:rPr>
            </w:pP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2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740" w:type="dxa"/>
            <w:vAlign w:val="bottom"/>
            <w:gridSpan w:val="3"/>
          </w:tcPr>
          <w:p>
            <w:pPr>
              <w:jc w:val="center"/>
              <w:ind w:left="29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2600" w:type="dxa"/>
            <w:vAlign w:val="bottom"/>
            <w:gridSpan w:val="2"/>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2600" w:type="dxa"/>
            <w:vAlign w:val="bottom"/>
            <w:tcBorders>
              <w:bottom w:val="single" w:sz="8" w:color="CFF0FC"/>
            </w:tcBorders>
            <w:gridSpan w:val="2"/>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5100" w:type="dxa"/>
            <w:vAlign w:val="bottom"/>
          </w:tcPr>
          <w:p>
            <w:pPr>
              <w:spacing w:after="0"/>
              <w:rPr>
                <w:sz w:val="24"/>
                <w:szCs w:val="24"/>
                <w:color w:val="auto"/>
              </w:rPr>
            </w:pPr>
          </w:p>
        </w:tc>
        <w:tc>
          <w:tcPr>
            <w:tcW w:w="2580" w:type="dxa"/>
            <w:vAlign w:val="bottom"/>
          </w:tcPr>
          <w:p>
            <w:pPr>
              <w:jc w:val="right"/>
              <w:ind w:right="1882"/>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-4773930</wp:posOffset>
            </wp:positionV>
            <wp:extent cx="1200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-4756785</wp:posOffset>
            </wp:positionV>
            <wp:extent cx="1200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-3505200</wp:posOffset>
            </wp:positionV>
            <wp:extent cx="1200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-3488055</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-1662430</wp:posOffset>
            </wp:positionV>
            <wp:extent cx="431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-1662430</wp:posOffset>
            </wp:positionV>
            <wp:extent cx="431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-487680</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-470535</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16 — Other Income,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1000" w:type="dxa"/>
            <w:vAlign w:val="bottom"/>
          </w:tcPr>
          <w:p>
            <w:pPr>
              <w:spacing w:after="0"/>
              <w:rPr>
                <w:sz w:val="18"/>
                <w:szCs w:val="18"/>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w:t>
            </w:r>
          </w:p>
        </w:tc>
        <w:tc>
          <w:tcPr>
            <w:tcW w:w="1000" w:type="dxa"/>
            <w:vAlign w:val="bottom"/>
          </w:tcPr>
          <w:p>
            <w:pPr>
              <w:spacing w:after="0"/>
              <w:rPr>
                <w:sz w:val="18"/>
                <w:szCs w:val="18"/>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prior-year period amounts within the table above have been reclassified to discontinued operations within the condensed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Changes in accumulated other comprehensive loss, net of non-controlling interests, and net of tax are provided in the following tables for the three months ended March 31, 2022 and 2021. These tables exclude amounts attributable to non-controlling interests, which are not material for further disclosure.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jc w:val="center"/>
              <w:ind w:right="181"/>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ind w:right="181"/>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501"/>
              <w:spacing w:after="0" w:line="203" w:lineRule="exact"/>
              <w:rPr>
                <w:sz w:val="20"/>
                <w:szCs w:val="20"/>
                <w:color w:val="auto"/>
              </w:rPr>
            </w:pPr>
            <w:r>
              <w:rPr>
                <w:rFonts w:ascii="Times New Roman" w:cs="Times New Roman" w:eastAsia="Times New Roman" w:hAnsi="Times New Roman"/>
                <w:sz w:val="14"/>
                <w:szCs w:val="14"/>
                <w:b w:val="1"/>
                <w:bCs w:val="1"/>
                <w:color w:val="2C2C2C"/>
              </w:rPr>
              <w:t xml:space="preserve">translation </w:t>
            </w:r>
            <w:r>
              <w:rPr>
                <w:rFonts w:ascii="Times New Roman" w:cs="Times New Roman" w:eastAsia="Times New Roman" w:hAnsi="Times New Roman"/>
                <w:sz w:val="19"/>
                <w:szCs w:val="19"/>
                <w:b w:val="1"/>
                <w:bCs w:val="1"/>
                <w:color w:val="2C2C2C"/>
                <w:vertAlign w:val="superscript"/>
              </w:rPr>
              <w:t>(i)</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19"/>
              <w:spacing w:after="0" w:line="203"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center"/>
              <w:ind w:right="181"/>
              <w:spacing w:after="0" w:line="203" w:lineRule="exact"/>
              <w:rPr>
                <w:sz w:val="20"/>
                <w:szCs w:val="20"/>
                <w:color w:val="auto"/>
              </w:rPr>
            </w:pPr>
            <w:r>
              <w:rPr>
                <w:rFonts w:ascii="Times New Roman" w:cs="Times New Roman" w:eastAsia="Times New Roman" w:hAnsi="Times New Roman"/>
                <w:sz w:val="14"/>
                <w:szCs w:val="14"/>
                <w:b w:val="1"/>
                <w:bCs w:val="1"/>
                <w:color w:val="2C2C2C"/>
                <w:w w:val="99"/>
              </w:rPr>
              <w:t xml:space="preserve">benefit costs </w:t>
            </w:r>
            <w:r>
              <w:rPr>
                <w:rFonts w:ascii="Times New Roman" w:cs="Times New Roman" w:eastAsia="Times New Roman" w:hAnsi="Times New Roman"/>
                <w:sz w:val="19"/>
                <w:szCs w:val="19"/>
                <w:b w:val="1"/>
                <w:bCs w:val="1"/>
                <w:color w:val="2C2C2C"/>
                <w:w w:val="99"/>
                <w:vertAlign w:val="superscript"/>
              </w:rPr>
              <w:t>(ii)</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2C2C2C"/>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2C2C2C"/>
              </w:rPr>
              <w:t>2021</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December 31, 2021 and 2020, respectively</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(489 )</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(400 )</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00" w:type="dxa"/>
            <w:vAlign w:val="bottom"/>
            <w:tcBorders>
              <w:top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2C2C2C"/>
              </w:rPr>
              <w:t>11</w:t>
            </w:r>
          </w:p>
        </w:tc>
        <w:tc>
          <w:tcPr>
            <w:tcW w:w="10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2C2C2C"/>
                <w:w w:val="99"/>
              </w:rPr>
              <w:t>$</w:t>
            </w:r>
          </w:p>
        </w:tc>
        <w:tc>
          <w:tcPr>
            <w:tcW w:w="3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9</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(1,708 )</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(1,968 )</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(2,186 )</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(2,359 )</w:t>
            </w:r>
          </w:p>
        </w:tc>
        <w:tc>
          <w:tcPr>
            <w:tcW w:w="0" w:type="dxa"/>
            <w:vAlign w:val="bottom"/>
          </w:tcPr>
          <w:p>
            <w:pPr>
              <w:spacing w:after="0"/>
              <w:rPr>
                <w:sz w:val="1"/>
                <w:szCs w:val="1"/>
                <w:color w:val="auto"/>
              </w:rPr>
            </w:pPr>
          </w:p>
        </w:tc>
      </w:tr>
      <w:tr>
        <w:trPr>
          <w:trHeight w:val="139"/>
        </w:trPr>
        <w:tc>
          <w:tcPr>
            <w:tcW w:w="3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(loss)/income before</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(59 )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(42 )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2C2C2C"/>
              </w:rPr>
              <w:t>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(58 )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(34 )</w:t>
            </w:r>
          </w:p>
        </w:tc>
        <w:tc>
          <w:tcPr>
            <w:tcW w:w="0" w:type="dxa"/>
            <w:vAlign w:val="bottom"/>
          </w:tcPr>
          <w:p>
            <w:pPr>
              <w:spacing w:after="0"/>
              <w:rPr>
                <w:sz w:val="1"/>
                <w:szCs w:val="1"/>
                <w:color w:val="auto"/>
              </w:rPr>
            </w:pPr>
          </w:p>
        </w:tc>
      </w:tr>
      <w:tr>
        <w:trPr>
          <w:trHeight w:val="18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Gain/(loss) reclassified from accumulated other</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shd w:val="clear" w:color="auto" w:fill="CFF0FC"/>
          </w:tcPr>
          <w:p>
            <w:pPr>
              <w:ind w:left="120"/>
              <w:spacing w:after="0" w:line="145"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2C2C2C"/>
              </w:rPr>
              <w:t>44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(2 )</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2C2C2C"/>
              </w:rPr>
              <w:t>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39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2C2C2C"/>
              </w:rPr>
              <w:t>82</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4"/>
                <w:szCs w:val="14"/>
                <w:color w:val="2C2C2C"/>
              </w:rPr>
              <w:t xml:space="preserve">$3 and $6, respectively) </w:t>
            </w:r>
            <w:r>
              <w:rPr>
                <w:rFonts w:ascii="Times New Roman" w:cs="Times New Roman" w:eastAsia="Times New Roman" w:hAnsi="Times New Roman"/>
                <w:sz w:val="19"/>
                <w:szCs w:val="19"/>
                <w:color w:val="2C2C2C"/>
                <w:vertAlign w:val="superscript"/>
              </w:rPr>
              <w:t>(iii)</w:t>
            </w:r>
          </w:p>
        </w:tc>
        <w:tc>
          <w:tcPr>
            <w:tcW w:w="1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Net current-period other comprehensive (loss)/income</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(59 )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(3 )</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2C2C2C"/>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40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(56 )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2C2C2C"/>
              </w:rPr>
              <w:t>48</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March 31, 2022 and 2021, respectively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(548 )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(398 )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7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2C2C2C"/>
              </w:rPr>
              <w:t>8</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2C2C2C"/>
                <w:w w:val="99"/>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15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(1,702 )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(1,928 )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(2,242 )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(2,311 )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-299720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-299720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-299720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-299720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-299720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-299720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-299720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512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7" w:lineRule="exact"/>
        <w:rPr>
          <w:sz w:val="20"/>
          <w:szCs w:val="20"/>
          <w:color w:val="auto"/>
        </w:rPr>
      </w:pPr>
    </w:p>
    <w:p>
      <w:pPr>
        <w:ind w:left="280" w:right="80" w:hanging="272"/>
        <w:spacing w:after="0" w:line="282"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161" w:lineRule="exact"/>
        <w:rPr>
          <w:rFonts w:ascii="Times New Roman" w:cs="Times New Roman" w:eastAsia="Times New Roman" w:hAnsi="Times New Roman"/>
          <w:sz w:val="14"/>
          <w:szCs w:val="14"/>
          <w:color w:val="auto"/>
        </w:rPr>
      </w:pPr>
    </w:p>
    <w:p>
      <w:pPr>
        <w:ind w:left="280" w:right="660" w:hanging="272"/>
        <w:spacing w:after="0" w:line="271"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are included in the computation of net periodic pension cost (see Note 12 — Retirement Benefits). These components are included in Other income, net in the accompanying condensed consolidated statements of comprehensive income.</w:t>
      </w:r>
    </w:p>
    <w:p>
      <w:pPr>
        <w:ind w:left="280" w:right="20" w:hanging="272"/>
        <w:spacing w:after="0" w:line="261"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reclassifications in 2021 of $44 million and $31 million of foreign currency translation and defined pension and post-retirement benefit costs, respectively, attributable to the gain on disposal of our Miller business (see Note 3 — Acquisitions and Divestitures). The net gain on disposal is included in Other income, net in the accompanying condensed consolidated statements of comprehensive income.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0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At March 31, 2022 and 2021, there were 0.1 million and 0.3 million performance-based options, respectively, and 0.5 million restricted performance-based stock units outstanding at each period presented. At March 31, 2022, there were 0.4 million restricted time-based stock units outstanding; restricted time-based stock units were immaterial at March 31, 2021. The Company’s time-based share options were immaterial at March 31, 2022; there were 0.1 million time-based share options outstanding at March 31, 2021.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4"/>
                <w:szCs w:val="14"/>
                <w:color w:val="auto"/>
              </w:rPr>
            </w:pPr>
          </w:p>
        </w:tc>
      </w:tr>
      <w:tr>
        <w:trPr>
          <w:trHeight w:val="210"/>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40" w:type="dxa"/>
            <w:vAlign w:val="bottom"/>
            <w:tcBorders>
              <w:top w:val="single" w:sz="8" w:color="auto"/>
            </w:tcBorders>
            <w:shd w:val="clear" w:color="auto" w:fill="CFF0FC"/>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income attributable to non-controllable interests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attributable to WTW</w:t>
            </w:r>
          </w:p>
        </w:tc>
        <w:tc>
          <w:tcPr>
            <w:tcW w:w="1240" w:type="dxa"/>
            <w:vAlign w:val="bottom"/>
            <w:tcBorders>
              <w:bottom w:val="single" w:sz="8" w:color="auto"/>
            </w:tcBorders>
            <w:shd w:val="clear" w:color="auto" w:fill="CFF0FC"/>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r>
      <w:tr>
        <w:trPr>
          <w:trHeight w:val="197"/>
        </w:trPr>
        <w:tc>
          <w:tcPr>
            <w:tcW w:w="7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r>
      <w:tr>
        <w:trPr>
          <w:trHeight w:val="25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240" w:type="dxa"/>
            <w:vAlign w:val="bottom"/>
            <w:shd w:val="clear" w:color="auto" w:fill="CFF0FC"/>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197"/>
        </w:trPr>
        <w:tc>
          <w:tcPr>
            <w:tcW w:w="7400" w:type="dxa"/>
            <w:vAlign w:val="bottom"/>
            <w:tcBorders>
              <w:top w:val="single" w:sz="8" w:color="CFF0F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12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196"/>
        </w:trPr>
        <w:tc>
          <w:tcPr>
            <w:tcW w:w="7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from continuing operations attributable to WTW</w:t>
            </w:r>
          </w:p>
        </w:tc>
        <w:tc>
          <w:tcPr>
            <w:tcW w:w="1240" w:type="dxa"/>
            <w:vAlign w:val="bottom"/>
            <w:shd w:val="clear" w:color="auto" w:fill="CFF0FC"/>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13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4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 attributable to WTW</w:t>
            </w:r>
          </w:p>
        </w:tc>
        <w:tc>
          <w:tcPr>
            <w:tcW w:w="1240" w:type="dxa"/>
            <w:vAlign w:val="bottom"/>
            <w:tcBorders>
              <w:bottom w:val="single" w:sz="8" w:color="auto"/>
            </w:tcBorders>
            <w:shd w:val="clear" w:color="auto" w:fill="CFF0FC"/>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r>
      <w:tr>
        <w:trPr>
          <w:trHeight w:val="197"/>
        </w:trPr>
        <w:tc>
          <w:tcPr>
            <w:tcW w:w="7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from discontinued operations, net of tax</w:t>
            </w:r>
          </w:p>
        </w:tc>
        <w:tc>
          <w:tcPr>
            <w:tcW w:w="1240" w:type="dxa"/>
            <w:vAlign w:val="bottom"/>
            <w:shd w:val="clear" w:color="auto" w:fill="CFF0FC"/>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3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 net of tax</w:t>
            </w:r>
          </w:p>
        </w:tc>
        <w:tc>
          <w:tcPr>
            <w:tcW w:w="1240" w:type="dxa"/>
            <w:vAlign w:val="bottom"/>
            <w:tcBorders>
              <w:bottom w:val="single" w:sz="8" w:color="auto"/>
            </w:tcBorders>
            <w:shd w:val="clear" w:color="auto" w:fill="CFF0FC"/>
          </w:tcPr>
          <w:p>
            <w:pPr>
              <w:jc w:val="right"/>
              <w:ind w:right="10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-2073910</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-2056765</wp:posOffset>
            </wp:positionV>
            <wp:extent cx="1200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-1773555</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-1757045</wp:posOffset>
            </wp:positionV>
            <wp:extent cx="1200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-1190625</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-1173480</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-607695</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-591185</wp:posOffset>
            </wp:positionV>
            <wp:extent cx="1200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and 2021, 0.1 million and 0.2 million restricted stock units were not included in the computation of the dilutive effect of potentially issuable shares because their effect was anti-dilutive. There were no anti-dilutive options for the three months ended March 31, 2022 and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1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60" w:type="dxa"/>
            <w:vAlign w:val="bottom"/>
          </w:tcPr>
          <w:p>
            <w:pPr>
              <w:spacing w:after="0"/>
              <w:rPr>
                <w:sz w:val="18"/>
                <w:szCs w:val="18"/>
                <w:color w:val="auto"/>
              </w:rPr>
            </w:pP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80" w:type="dxa"/>
            <w:vAlign w:val="bottom"/>
            <w:shd w:val="clear" w:color="auto" w:fill="CFF0FC"/>
          </w:tcPr>
          <w:p>
            <w:pPr>
              <w:spacing w:after="0"/>
              <w:rPr>
                <w:sz w:val="18"/>
                <w:szCs w:val="18"/>
                <w:color w:val="auto"/>
              </w:rPr>
            </w:pPr>
          </w:p>
        </w:tc>
      </w:tr>
      <w:tr>
        <w:trPr>
          <w:trHeight w:val="171"/>
        </w:trPr>
        <w:tc>
          <w:tcPr>
            <w:tcW w:w="81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Cash and cash equivalents and fiduciary funds (included in current assets held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sale)</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restricted cash (included in prepaids and other current assets)</w:t>
            </w: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r>
      <w:tr>
        <w:trPr>
          <w:trHeight w:val="210"/>
        </w:trPr>
        <w:tc>
          <w:tcPr>
            <w:tcW w:w="8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6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80" w:type="dxa"/>
            <w:vAlign w:val="bottom"/>
            <w:tcBorders>
              <w:top w:val="single" w:sz="8" w:color="CFF0FC"/>
            </w:tcBorders>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spacing w:after="0"/>
              <w:rPr>
                <w:sz w:val="17"/>
                <w:szCs w:val="17"/>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cash, cash equivalents and other restricted cash</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(2,274 )</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fiduciary funds</w:t>
            </w: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(211 )</w:t>
            </w:r>
          </w:p>
        </w:tc>
        <w:tc>
          <w:tcPr>
            <w:tcW w:w="9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20"/>
        </w:trPr>
        <w:tc>
          <w:tcPr>
            <w:tcW w:w="8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(2,485 )</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(531 )</w:t>
            </w:r>
          </w:p>
        </w:tc>
      </w:tr>
      <w:tr>
        <w:trPr>
          <w:trHeight w:val="20"/>
        </w:trPr>
        <w:tc>
          <w:tcPr>
            <w:tcW w:w="8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-753745</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-753745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514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Revision of previously issued financial statements </w:t>
      </w:r>
      <w:r>
        <w:rPr>
          <w:rFonts w:ascii="Times New Roman" w:cs="Times New Roman" w:eastAsia="Times New Roman" w:hAnsi="Times New Roman"/>
          <w:sz w:val="18"/>
          <w:szCs w:val="18"/>
          <w:color w:val="auto"/>
        </w:rPr>
        <w:t>- During the three months ended March 31, 2022, to reflect the guidance on restricted cash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FASB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WTW corrected the classification of its fiduciary funds balances, in the amounts shown in the table above, on our condensed consolidated statements of cash flows, by including these amounts in the total cash, cash equivalents and restricted cash amounts held at each balance sheet date. As a result, cash, cash equivalents and restricted cash balances of $2.0 billion and $2.1 billion at March 31, 2021 and December 31, 2020, respectively, have been revised to $5.7 billion and $6.3 billion, respectively. Additionally, the effect of exchange rate changes on cash, cash equivalents and restricted cash has been updated to include the effect of exchange rate changes on the fiduciary funds balances.</w:t>
      </w:r>
    </w:p>
    <w:p>
      <w:pPr>
        <w:spacing w:after="0" w:line="18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Prior to this correction, the changes in fiduciary funds were presented in fiduciary assets and liabilities on a gross basis in the cash flows from operating activities, where the amounts fully offset each period. In the current presentation, an additional line item, net (payments)/proceeds from fiduciary funds held for clients, has been included within cash flows from financing activities to represent the change in fiduciary funds balances during the periods. The remaining fiduciary assets and fiduciary liabilities, in equal and offsetting amounts, are no longer presented in the cash flows from operating activities. There was no impact to the total cash flows from operating activities as a result of these changes.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6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1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modest but definite increase in pricing in the market.</w:t>
      </w:r>
    </w:p>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firm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2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we expect this trend may continue.</w:t>
      </w:r>
    </w:p>
    <w:p>
      <w:pPr>
        <w:spacing w:after="0" w:line="14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From time to time, including but not limited to the period after the announcement of the proposed Aon combination through the period that has followed the termination of the proposed combination, we have lost (and may in the future continue to lose) colleagues who manage substantial client relationships or possess substantial experience or expertise; when we lose colleagues such as those, it often results in such colleagues competing against us. Further, the full impact of this competition may be delayed due to the timing of restrictive covenants or client renewals. We believe that this dynamic, which was most pronounced in our Risk &amp; Broking segment during 2021, has caused the segment’s recent near-term and expected growth rates for the remainder of 2022 to be meaningfully slower than other competitors. This dynamic may be difficult to predict, given that the adverse impact in future periods is more significant than in the periods in which employees departed. Growth has been and will be adversely affected by the fact that 2021 performance in a number of businesses, particularly commercial risk broking and health &amp; benefits broking, benefited from revenue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7" w:name="page28"/>
    <w:bookmarkEnd w:id="27"/>
    <w:p>
      <w:pPr>
        <w:ind w:right="60"/>
        <w:spacing w:after="0" w:line="258" w:lineRule="auto"/>
        <w:rPr>
          <w:sz w:val="20"/>
          <w:szCs w:val="20"/>
          <w:color w:val="auto"/>
        </w:rPr>
      </w:pPr>
      <w:r>
        <w:rPr>
          <w:rFonts w:ascii="Times New Roman" w:cs="Times New Roman" w:eastAsia="Times New Roman" w:hAnsi="Times New Roman"/>
          <w:sz w:val="18"/>
          <w:szCs w:val="18"/>
          <w:color w:val="auto"/>
        </w:rPr>
        <w:t>from book sales, which is non-repeatable revenue. It is possible that growth could be different than expected and our results of operations could be significantly and adversely impacted. See Part I, Item 1A ‘Risk Factors’ in our Annual Report on Form 10-K, filed with the SEC on February 24, 2022, for a discussion of risks that may affect our ability to compete.</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we previously reported, we intend to transfer ownership of our Russian subsidiary to our local management team. The Russian entity comprised approximately 1% of consolidated WTW revenue for 2021, primarily within our Risk &amp; Broking segment. The lost profits from our Russia operations will, overall, create a modest margin headwind for the Company in 2022 and beyond. However, with the goal of offsetting this, we have taken action to deploy near-term cost-mitigation measures and to identify longer-term offsets. See ‘Disclaimer Regarding Forward-looking Statements’ and Part II, Item 1A ‘Risk Factors’ of this Quarterly Report on Form 10-Q for a discussion of the risks associated with expense 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 Caused by the Pandemic</w:t>
      </w:r>
    </w:p>
    <w:p>
      <w:pPr>
        <w:spacing w:after="0" w:line="16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particularly on the global supply chain and workforce availability, and has contributed to significant volatility in the global financial markets including, among other effects, occasional declines in the equity markets, changes in interest rates and reduced liquidity on a global basis.</w:t>
      </w:r>
    </w:p>
    <w:p>
      <w:pPr>
        <w:spacing w:after="0" w:line="11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Supply and labor market disruptions caused by COVID-19 as well as other factors, such as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 and we may not be able to achieve our strategic and financial objectives.</w:t>
      </w:r>
    </w:p>
    <w:p>
      <w:pPr>
        <w:spacing w:after="0" w:line="12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Although we believe we have adapted to the unique challenges posed by the pandemic surrounding how and where we do our work, we are also impacted by the negative effect on workforce availability, which could hamper our ability to grow our capacity on pace with increasing demand for our services. We expect the market for talent to remain highly competitive for at least the next several months. We will continue to monitor the situation and assess any implications to our business and our stakeholders.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16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January 1, 2022, WTW realigned to provide its comprehensive offering of services and solutions to clients across two business segments: Health, Wealth &amp; Career and Risk &amp; Broking.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73" w:lineRule="exact"/>
        <w:rPr>
          <w:sz w:val="20"/>
          <w:szCs w:val="20"/>
          <w:color w:val="auto"/>
        </w:rPr>
      </w:pPr>
    </w:p>
    <w:p>
      <w:pPr>
        <w:ind w:left="760" w:right="60" w:hanging="378"/>
        <w:spacing w:after="0" w:line="312"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Wealth &amp; Career segment includes businesses previously aligned under the Human Capital and Benefits segment, the Benefits Delivery and Administration segment, and the Investment business, which was previously under the Investment, Risk and Reinsurance segment.</w:t>
      </w:r>
    </w:p>
    <w:p>
      <w:pPr>
        <w:spacing w:after="0" w:line="18"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&amp; Broking segment includes businesses previously aligned under the Corporate Risk and Broking segment, as well as the Insurance Consulting and Technology business, which was previously under the Investment, Risk and Reinsurance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descriptions of our reorganized segments: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62"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1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w:t>
      </w:r>
    </w:p>
    <w:p>
      <w:pPr>
        <w:spacing w:after="0" w:line="16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140 countries.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28" w:name="page29"/>
    <w:bookmarkEnd w:id="28"/>
    <w:p>
      <w:pPr>
        <w:ind w:right="380"/>
        <w:spacing w:after="0" w:line="250" w:lineRule="auto"/>
        <w:rPr>
          <w:sz w:val="20"/>
          <w:szCs w:val="20"/>
          <w:color w:val="auto"/>
        </w:rPr>
      </w:pPr>
      <w:r>
        <w:rPr>
          <w:rFonts w:ascii="Times New Roman" w:cs="Times New Roman" w:eastAsia="Times New Roman" w:hAnsi="Times New Roman"/>
          <w:sz w:val="18"/>
          <w:szCs w:val="18"/>
          <w:color w:val="auto"/>
        </w:rPr>
        <w:t>Our consultants help clients make strategic decisions on topics such as optimizing program spend; evaluating emerging vendors, point solutions and coverage options (including publicly-subsidized health insurance exchanges and private exchanges in the U.S.); and dealing with above-inflation-rate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1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 meaningful portion of revenue in this business is from recurring work, though contracts may be annual or multi-year. Given the balance of revenue across consulting, broking and solutions, our revenue is somewhat weighted to the first quarter.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i w:val="1"/>
          <w:iCs w:val="1"/>
          <w:color w:val="auto"/>
        </w:rPr>
        <w:t>ealth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wealth-related businesses include Retirement and Investment.</w:t>
      </w:r>
    </w:p>
    <w:p>
      <w:pPr>
        <w:spacing w:after="0" w:line="15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Retirement business provides actuarial support, plan design, and administrative services for all forms of pension and retirement savings plans. Our colleagues help our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including those that continue to offer defined benefit plans and those that are reexamining their retirement benefit strategies. We help multinationals coordinate plan design and actuarial services across their complex global plans. We bring in-depth data analysis and perspective to their decision process, because we have tracked the retirement designs and financing strategies of companies around the world over many decades.</w:t>
      </w:r>
    </w:p>
    <w:p>
      <w:pPr>
        <w:spacing w:after="0" w:line="1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9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 Revenue for the Retirement business in some geographies is somewhat seasonal, as much of our work pertains to calendar-year plan administration, financing, reporting and compliance; thus, revenue is typically more weighted to the first and fourth quarters of the fiscal year.</w:t>
      </w:r>
    </w:p>
    <w:p>
      <w:pPr>
        <w:spacing w:after="0" w:line="12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Our Investment business provides advice and discretionary investment management solutions to defined benefit and defined contribution pension plans 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4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solutions range from single asset class activity, through complete management of entire pension plan assets including sophisticated liability hedging programs.</w:t>
      </w:r>
    </w:p>
    <w:p>
      <w:pPr>
        <w:spacing w:after="0" w:line="10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bring together a broad array of specialist investment knowledge and skills across all asset classes, a high-quality execution platform, a cost advantage through our scale, and expert advisors with experience across all client types from the largest plans in the world to small corporate pension plans.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long-term relationships with our Investment clients, with the majority of our revenue driven by retainer contracts.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Career</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Our career-related offerings include advice, data, software and products to address clients’ total rewards and talent issues across the globe delivered through our </w:t>
      </w:r>
      <w:r>
        <w:rPr>
          <w:rFonts w:ascii="Times New Roman" w:cs="Times New Roman" w:eastAsia="Times New Roman" w:hAnsi="Times New Roman"/>
          <w:sz w:val="18"/>
          <w:szCs w:val="18"/>
          <w:i w:val="1"/>
          <w:iCs w:val="1"/>
          <w:color w:val="auto"/>
        </w:rPr>
        <w:t>Work &amp; Rewards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Employee Experience</w:t>
      </w:r>
      <w:r>
        <w:rPr>
          <w:rFonts w:ascii="Times New Roman" w:cs="Times New Roman" w:eastAsia="Times New Roman" w:hAnsi="Times New Roman"/>
          <w:sz w:val="18"/>
          <w:szCs w:val="18"/>
          <w:color w:val="auto"/>
        </w:rPr>
        <w:t xml:space="preserve"> businesses.</w:t>
      </w:r>
    </w:p>
    <w:p>
      <w:pPr>
        <w:spacing w:after="0" w:line="108"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18"/>
          <w:szCs w:val="18"/>
          <w:color w:val="auto"/>
        </w:rPr>
        <w:t>Within our Work &amp; Rewards business, we help clients determine the best ways to get work done, the skills needed for jobs, and how to reward it. We address executive compensation and broad-based rewards. We advise our clients’ management and boards of directors on all aspects of executive pay programs, including base pay, annual bonuses, long-term incentives, perquisites and other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9" w:name="page30"/>
    <w:bookmarkEnd w:id="29"/>
    <w:p>
      <w:pPr>
        <w:ind w:right="40"/>
        <w:spacing w:after="0" w:line="282" w:lineRule="auto"/>
        <w:rPr>
          <w:sz w:val="20"/>
          <w:szCs w:val="20"/>
          <w:color w:val="auto"/>
        </w:rPr>
      </w:pPr>
      <w:r>
        <w:rPr>
          <w:rFonts w:ascii="Times New Roman" w:cs="Times New Roman" w:eastAsia="Times New Roman" w:hAnsi="Times New Roman"/>
          <w:sz w:val="18"/>
          <w:szCs w:val="18"/>
          <w:color w:val="auto"/>
        </w:rPr>
        <w:t>benefits. Our focus is on aligning pay plans with an organization’s business strategy and driving desired performance. Our solutions incorporate proprietary market benchmarking data and software to support compensation administration.</w:t>
      </w:r>
    </w:p>
    <w:p>
      <w:pPr>
        <w:spacing w:after="0" w:line="9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Our Employee Experience business focuses on the provision of solutions including employee insight and listening tools, talent assessment tools and services, communication and change management services.</w:t>
      </w:r>
    </w:p>
    <w:p>
      <w:pPr>
        <w:spacing w:after="0" w:line="12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several practices is often project-based and can be sensitive to economic changes. The businesses benefit from regulatory changes affecting our clients that require strategic advice, program changes and communication, as well as the focus on ESG as a component of executive and board pay, the redefinition of jobs, work location and career paths as technology disaggregates work, and the recalibration of pay and the employee experience amidst shifting labor markets.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Delivery &amp; Outsourcing</w:t>
      </w:r>
    </w:p>
    <w:p>
      <w:pPr>
        <w:spacing w:after="0" w:line="16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Benefits Delivery &amp; Outsourcing businesses include Benefits Delivery &amp; Administration (‘BDA’) and Technology and Administration Solutions (‘TAS’).</w:t>
      </w:r>
    </w:p>
    <w:p>
      <w:pPr>
        <w:spacing w:after="0" w:line="9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BDA business provides primary medical and ancillary benefit exchange and outsourcing services to active employees and retirees across both the group and individual markets, primarily in the U.S.</w:t>
      </w:r>
    </w:p>
    <w:p>
      <w:pPr>
        <w:spacing w:after="0" w:line="1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 significant portion of the revenue in this business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BDA provides services via two related offerings:</w:t>
      </w:r>
    </w:p>
    <w:p>
      <w:pPr>
        <w:spacing w:after="0" w:line="15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Benefits Outsourcing </w:t>
      </w:r>
      <w:r>
        <w:rPr>
          <w:rFonts w:ascii="Times New Roman" w:cs="Times New Roman" w:eastAsia="Times New Roman" w:hAnsi="Times New Roman"/>
          <w:sz w:val="18"/>
          <w:szCs w:val="18"/>
          <w:color w:val="auto"/>
        </w:rPr>
        <w:t>is focused on serving active employee groups for clients across the U.S. Working closely with other HWC businesses, we use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technology to provide a suite of health and welfare and pension administration outsourcing services, including tools to enable benefit modeling, decision support, enrollment and benefit choice. Drawing on expertise in H&amp;B and Retirement to create high-performing benefit plan designs, we believe we are well-positioned to help clients of all sizes simplify their benefits delivery, while lowering the total costs of benefits and related administration.</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Individual Marketplace </w:t>
      </w:r>
      <w:r>
        <w:rPr>
          <w:rFonts w:ascii="Times New Roman" w:cs="Times New Roman" w:eastAsia="Times New Roman" w:hAnsi="Times New Roman"/>
          <w:sz w:val="18"/>
          <w:szCs w:val="18"/>
          <w:color w:val="auto"/>
        </w:rPr>
        <w:t>offers decision support processes and tools to connect consumers with insurance carriers in private individual and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Individual Marketplace serves both employer-based and direct-to-consumer populations through its end-to-end consumer acquisition and engagement platforms, which tightly integrate call routing technology, an efficient quoting and enrollment engine, a customer relations management system and deep links with insurance carriers. By leveraging its multiple distribution channels and diverse product portfolio, Individual Marketplace offers solutions to a broad consumer base, helping individuals compare, purchase and use health insurance products, tools and information for life.</w:t>
      </w:r>
    </w:p>
    <w:p>
      <w:pPr>
        <w:spacing w:after="0" w:line="13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TAS business provides pension outsourcing services to hundreds of clients across multiple industries. Our TAS team focuses on clients outside of the U.S. where our services are supported by high quality administration teams using robust technology platforms. Given the nature of the work, our revenue is distributed generally evenly across the year.</w:t>
      </w:r>
    </w:p>
    <w:p>
      <w:pPr>
        <w:spacing w:after="0" w:line="1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ongoing servicing requirements and multi-year contracts in place, we have high client retention rates. We are the leading administrator among the 200 largest pension plans in the U.K., as well as a leader in Germany.</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For both our defined benefit and defined contribution administration services, we use highly-automated processes and technology to enable benefit plan members to access and manage their records, perform self-service functions and improve their understanding of their benefits. Our technology also provides trustees and HR teams with timely management information to monitor activity and service levels and reduce administration costs.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segment comprises two primary businesses: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Risk &amp; Broking (‘CRB’)</w:t>
      </w:r>
    </w:p>
    <w:p>
      <w:pPr>
        <w:spacing w:after="0" w:line="158"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CRB’ business places more than $25 billion of premiums into the insurance markets on an annual basis, and delivers integrated global solutions tailored to client needs, underpinned by data and analytics through a balanced matrix of global lines of business across all of the Company’s three geographical areas: North America, Europe (including Great Britain) and International.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lines of business include:</w:t>
      </w:r>
    </w:p>
    <w:p>
      <w:pPr>
        <w:spacing w:after="0" w:line="169" w:lineRule="exact"/>
        <w:rPr>
          <w:sz w:val="20"/>
          <w:szCs w:val="20"/>
          <w:color w:val="auto"/>
        </w:rPr>
      </w:pPr>
    </w:p>
    <w:p>
      <w:pPr>
        <w:jc w:val="both"/>
        <w:ind w:right="6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Property and Casualty </w:t>
      </w:r>
      <w:r>
        <w:rPr>
          <w:rFonts w:ascii="Times New Roman" w:cs="Times New Roman" w:eastAsia="Times New Roman" w:hAnsi="Times New Roman"/>
          <w:sz w:val="18"/>
          <w:szCs w:val="18"/>
          <w:color w:val="auto"/>
        </w:rPr>
        <w:t>— Property and Casualty provides property and liability insurance brokerage services across a wide range of industries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including real estate, healthcare and retail. We also arrange insurance products and services for our affinity client partners to offer to their customers, employees, or members alongside, or in addition to, their principal business offerings.</w:t>
      </w:r>
    </w:p>
    <w:p>
      <w:pPr>
        <w:spacing w:after="0" w:line="120"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Aerospace </w:t>
      </w:r>
      <w:r>
        <w:rPr>
          <w:rFonts w:ascii="Times New Roman" w:cs="Times New Roman" w:eastAsia="Times New Roman" w:hAnsi="Times New Roman"/>
          <w:sz w:val="18"/>
          <w:szCs w:val="18"/>
          <w:color w:val="auto"/>
        </w:rPr>
        <w:t>— Aerospace provides specialist expertise to the aerospace and space industries. Our aerospace business provides insurance broking,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contractual and technical advisory expertise to aerospace clients worldwide,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33"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 Our Construction business provides services that include insurance broking, claims, loss control and specialized risk advice for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construction projects and activities. Clients include contractors, project owners, public entities, project managers, consultants and financiers, among others.</w:t>
      </w:r>
    </w:p>
    <w:p>
      <w:pPr>
        <w:spacing w:after="0" w:line="13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Global Markets Direct &amp; Facultative </w:t>
      </w:r>
      <w:r>
        <w:rPr>
          <w:rFonts w:ascii="Times New Roman" w:cs="Times New Roman" w:eastAsia="Times New Roman" w:hAnsi="Times New Roman"/>
          <w:sz w:val="18"/>
          <w:szCs w:val="18"/>
          <w:color w:val="auto"/>
        </w:rPr>
        <w:t>— Operating in the major wholesale reinsurance hubs across the world, including London, Bermuda, 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Hong Kong and 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2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Financial, Executive and Professional Risks (‘FINEX’) </w:t>
      </w:r>
      <w:r>
        <w:rPr>
          <w:rFonts w:ascii="Times New Roman" w:cs="Times New Roman" w:eastAsia="Times New Roman" w:hAnsi="Times New Roman"/>
          <w:sz w:val="18"/>
          <w:szCs w:val="18"/>
          <w:color w:val="auto"/>
        </w:rPr>
        <w:t>— FINEX encompasses all financial and executive risks, delivering client solutions that range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20"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Financial Solutions </w:t>
      </w:r>
      <w:r>
        <w:rPr>
          <w:rFonts w:ascii="Times New Roman" w:cs="Times New Roman" w:eastAsia="Times New Roman" w:hAnsi="Times New Roman"/>
          <w:sz w:val="18"/>
          <w:szCs w:val="18"/>
          <w:color w:val="auto"/>
        </w:rPr>
        <w:t>— Financial Solutions provides insurance broking services and specialized risk advice related to credit and political risk and crisis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terrorism, kidnap and ransom and contingency risk. Clients include international banks, leasing companies, commodity traders, export credit agencies, multinational corporations and sporting institutions.</w:t>
      </w:r>
    </w:p>
    <w:p>
      <w:pPr>
        <w:spacing w:after="0" w:line="11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Surety </w:t>
      </w:r>
      <w:r>
        <w:rPr>
          <w:rFonts w:ascii="Times New Roman" w:cs="Times New Roman" w:eastAsia="Times New Roman" w:hAnsi="Times New Roman"/>
          <w:sz w:val="18"/>
          <w:szCs w:val="18"/>
          <w:color w:val="auto"/>
        </w:rPr>
        <w:t>— The Global Surety team provides expertise in placing bonds across all industries and around the world. A surety bond is a financial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guarantees contractual performance, statutory compliance, and financial assurance for domestic and international companies.</w:t>
      </w:r>
    </w:p>
    <w:p>
      <w:pPr>
        <w:spacing w:after="0" w:line="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 Marine provides specialist expertise to the maritime and logistics industries. Our Marine business provides insurance broking services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1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Natural Resources </w:t>
      </w:r>
      <w:r>
        <w:rPr>
          <w:rFonts w:ascii="Times New Roman" w:cs="Times New Roman" w:eastAsia="Times New Roman" w:hAnsi="Times New Roman"/>
          <w:sz w:val="18"/>
          <w:szCs w:val="18"/>
          <w:color w:val="auto"/>
        </w:rPr>
        <w:t>— Our Natural Resources practice encompasses the oil, gas and chemicals, mining and metals, power and utilities and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It provides sector-specific risk transfer solutions and insights, which include insurance broking, risk engineering, contractual reviews, wording analysis and claims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Consulting and Technology (‘ICT’)</w:t>
      </w:r>
    </w:p>
    <w:p>
      <w:pPr>
        <w:spacing w:after="0" w:line="1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ICT is a global business that provides advice and technology solutions to the insurance industry. We leverage our industry experience, strategic perspective and analytical skills to help clients measure and manage risk and capital, improve business performance and 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Program</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fourth quarter of 2021, we initiated a three-year ‘Transformation program’ designed to enhance operations, optimize technology and align our real estate footprint to our new ways of working. We expect the program to generate annual cost savings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1" w:name="page32"/>
    <w:bookmarkEnd w:id="31"/>
    <w:p>
      <w:pPr>
        <w:ind w:right="860"/>
        <w:spacing w:after="0" w:line="254" w:lineRule="auto"/>
        <w:rPr>
          <w:sz w:val="20"/>
          <w:szCs w:val="20"/>
          <w:color w:val="auto"/>
        </w:rPr>
      </w:pPr>
      <w:r>
        <w:rPr>
          <w:rFonts w:ascii="Times New Roman" w:cs="Times New Roman" w:eastAsia="Times New Roman" w:hAnsi="Times New Roman"/>
          <w:sz w:val="18"/>
          <w:szCs w:val="18"/>
          <w:color w:val="auto"/>
        </w:rPr>
        <w:t>approximately $300 million by the end of 2024. The program is expected to include cumulative costs of approximately $490 million and capital expenditures of approximately $260 million, for a total investment of $750 million. The main categories of charges will be</w:t>
      </w:r>
    </w:p>
    <w:p>
      <w:pPr>
        <w:spacing w:after="0"/>
        <w:rPr>
          <w:sz w:val="20"/>
          <w:szCs w:val="20"/>
          <w:color w:val="auto"/>
        </w:rPr>
      </w:pPr>
      <w:r>
        <w:rPr>
          <w:rFonts w:ascii="Times New Roman" w:cs="Times New Roman" w:eastAsia="Times New Roman" w:hAnsi="Times New Roman"/>
          <w:sz w:val="18"/>
          <w:szCs w:val="18"/>
          <w:color w:val="auto"/>
        </w:rPr>
        <w:t>in the following four areas:</w:t>
      </w:r>
    </w:p>
    <w:p>
      <w:pPr>
        <w:spacing w:after="0" w:line="84" w:lineRule="exact"/>
        <w:rPr>
          <w:sz w:val="20"/>
          <w:szCs w:val="20"/>
          <w:color w:val="auto"/>
        </w:rPr>
      </w:pPr>
    </w:p>
    <w:p>
      <w:pPr>
        <w:ind w:left="760" w:right="30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40"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61"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82"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For the three months ended March 31, 2022, restructuring charges under our Transformation program totaled $6 million. Other costs incurred under the Transformation program are included in transaction and transformation, net and were $5 million for the three months ended March 31, 2022. From the actions taken through the first quarter of 2022, we have identified an additional $16 million of annualized run-rate savings in the quarter, and $36 million of cumulative annualized run-rate savings identified to date since the inception of the program. Savings are primarily </w:t>
      </w:r>
      <w:r>
        <w:rPr>
          <w:rFonts w:ascii="Times New Roman" w:cs="Times New Roman" w:eastAsia="Times New Roman" w:hAnsi="Times New Roman"/>
          <w:sz w:val="18"/>
          <w:szCs w:val="18"/>
          <w:color w:val="212121"/>
        </w:rPr>
        <w:t>attributable to the reduction of real estate and technology costs and the benefits</w:t>
      </w:r>
      <w:r>
        <w:rPr>
          <w:rFonts w:ascii="Times New Roman" w:cs="Times New Roman" w:eastAsia="Times New Roman" w:hAnsi="Times New Roman"/>
          <w:sz w:val="18"/>
          <w:szCs w:val="18"/>
          <w:color w:val="auto"/>
        </w:rPr>
        <w:t xml:space="preserve"> from the program have begun to be recognized during 2022.</w:t>
      </w:r>
    </w:p>
    <w:p>
      <w:pPr>
        <w:spacing w:after="0" w:line="1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discussion of some of the risks associated with the Transformation program, see Part I, Item 1A ‘Risk Factors’ in our Annual Report on Form 10-K, filed with the SEC on February 24,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5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For all prior-year period financial information presented herein, the operating results of Willis Re have been reclassified as discontinued operations (see Note 3 — Acquisitions and Divestitures within Part I, Item 1 ‘Financial Statements’ in this Form 10-Q for additional information).</w:t>
      </w:r>
    </w:p>
    <w:p>
      <w:pPr>
        <w:spacing w:after="0" w:line="11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40" w:type="dxa"/>
            <w:vAlign w:val="bottom"/>
            <w:tcBorders>
              <w:bottom w:val="single" w:sz="8" w:color="auto"/>
            </w:tcBorders>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spacing w:after="0"/>
              <w:rPr>
                <w:sz w:val="14"/>
                <w:szCs w:val="14"/>
                <w:color w:val="auto"/>
              </w:rPr>
            </w:pPr>
          </w:p>
        </w:tc>
      </w:tr>
      <w:tr>
        <w:trPr>
          <w:trHeight w:val="169"/>
        </w:trPr>
        <w:tc>
          <w:tcPr>
            <w:tcW w:w="6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 except</w:t>
            </w:r>
          </w:p>
        </w:tc>
        <w:tc>
          <w:tcPr>
            <w:tcW w:w="128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940" w:type="dxa"/>
            <w:vAlign w:val="bottom"/>
          </w:tcPr>
          <w:p>
            <w:pPr>
              <w:spacing w:after="0"/>
              <w:rPr>
                <w:sz w:val="14"/>
                <w:szCs w:val="14"/>
                <w:color w:val="auto"/>
              </w:rPr>
            </w:pPr>
          </w:p>
        </w:tc>
      </w:tr>
      <w:tr>
        <w:trPr>
          <w:trHeight w:val="21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2,160</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2,228</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100 %</w:t>
            </w:r>
          </w:p>
        </w:tc>
      </w:tr>
      <w:tr>
        <w:trPr>
          <w:trHeight w:val="210"/>
        </w:trPr>
        <w:tc>
          <w:tcPr>
            <w:tcW w:w="6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1,318</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1,419</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486</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r>
      <w:tr>
        <w:trPr>
          <w:trHeight w:val="210"/>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1,981</w:t>
            </w:r>
          </w:p>
        </w:tc>
        <w:tc>
          <w:tcPr>
            <w:tcW w:w="10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tcBorders>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179</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20 %</w:t>
            </w:r>
          </w:p>
        </w:tc>
      </w:tr>
      <w:tr>
        <w:trPr>
          <w:trHeight w:val="210"/>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157</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w:t>
            </w:r>
          </w:p>
        </w:tc>
        <w:tc>
          <w:tcPr>
            <w:tcW w:w="10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546</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6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6 %</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733</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68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0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940" w:type="dxa"/>
            <w:vAlign w:val="bottom"/>
            <w:tcBorders>
              <w:bottom w:val="single" w:sz="8" w:color="CFF0FC"/>
            </w:tcBorders>
            <w:shd w:val="clear" w:color="auto" w:fill="CFF0FC"/>
          </w:tcPr>
          <w:p>
            <w:pPr>
              <w:spacing w:after="0"/>
              <w:rPr>
                <w:sz w:val="20"/>
                <w:szCs w:val="20"/>
                <w:color w:val="auto"/>
              </w:rPr>
            </w:pPr>
          </w:p>
        </w:tc>
      </w:tr>
      <w:tr>
        <w:trPr>
          <w:trHeight w:val="574"/>
        </w:trPr>
        <w:tc>
          <w:tcPr>
            <w:tcW w:w="68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6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-3034030</wp:posOffset>
            </wp:positionV>
            <wp:extent cx="1028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-3034030</wp:posOffset>
            </wp:positionV>
            <wp:extent cx="93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-1919605</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-1919605</wp:posOffset>
            </wp:positionV>
            <wp:extent cx="93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-796290</wp:posOffset>
            </wp:positionV>
            <wp:extent cx="1028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-796290</wp:posOffset>
            </wp:positionV>
            <wp:extent cx="93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-487680</wp:posOffset>
            </wp:positionV>
            <wp:extent cx="1028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-471170</wp:posOffset>
            </wp:positionV>
            <wp:extent cx="1028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-487680</wp:posOffset>
            </wp:positionV>
            <wp:extent cx="939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-471170</wp:posOffset>
            </wp:positionV>
            <wp:extent cx="93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Consolidated Revenue (Continuing Operations)</w:t>
      </w:r>
    </w:p>
    <w:p>
      <w:pPr>
        <w:spacing w:after="0" w:line="162"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Revenue for both the three months ended March 31, 2022 and 2021 was $2.2 billion, a decrease of $68 million, or 3%, on an as-reported basis. Adjusting for the impacts of foreign currency and acquisitions and disposals, our organic revenue growth was 2% for the three months ended March 31, 2022. The increase in organic revenue was driven by our HWC segment.</w:t>
      </w:r>
    </w:p>
    <w:p>
      <w:pPr>
        <w:spacing w:after="0" w:line="115"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March 31, 2022, currency translation decreased our consolidated revenue by $54 million. The primary currencies driving this change were the Euro and Pound sterling.</w:t>
      </w:r>
    </w:p>
    <w:p>
      <w:pPr>
        <w:spacing w:after="0" w:line="136"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three months ended March 31, 2022. These figures do not represent the currency of the related revenue, which is presented in the next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00" w:type="dxa"/>
            <w:vAlign w:val="bottom"/>
          </w:tcPr>
          <w:p>
            <w:pPr>
              <w:spacing w:after="0"/>
              <w:rPr>
                <w:sz w:val="16"/>
                <w:szCs w:val="16"/>
                <w:color w:val="auto"/>
              </w:rPr>
            </w:pPr>
          </w:p>
        </w:tc>
        <w:tc>
          <w:tcPr>
            <w:tcW w:w="2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0"/>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14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from continuing operations by transactional currency for the three months ended March 31,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60" w:type="dxa"/>
            <w:vAlign w:val="bottom"/>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8"/>
                <w:szCs w:val="18"/>
                <w:color w:val="auto"/>
              </w:rPr>
            </w:pPr>
          </w:p>
        </w:tc>
        <w:tc>
          <w:tcPr>
            <w:tcW w:w="1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9512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280" w:right="80" w:hanging="272"/>
        <w:spacing w:after="0" w:line="302" w:lineRule="auto"/>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revenue for the three months ended March 31, 2022 and 2021 and the components of the change in total revenue for the three months ended March 31, 2022, as compared to the prior year period. The components of the revenue change may not add due to rounding.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624"/>
              <w:spacing w:after="0"/>
              <w:rPr>
                <w:sz w:val="20"/>
                <w:szCs w:val="20"/>
                <w:color w:val="auto"/>
              </w:rPr>
            </w:pPr>
            <w:r>
              <w:rPr>
                <w:rFonts w:ascii="Times New Roman" w:cs="Times New Roman" w:eastAsia="Times New Roman" w:hAnsi="Times New Roman"/>
                <w:sz w:val="14"/>
                <w:szCs w:val="14"/>
                <w:b w:val="1"/>
                <w:bCs w:val="1"/>
                <w:color w:val="auto"/>
              </w:rPr>
              <w:t>($ in</w:t>
            </w:r>
          </w:p>
        </w:tc>
        <w:tc>
          <w:tcPr>
            <w:tcW w:w="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of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 xml:space="preserve">For further information on our segment reorganization and a full description of our businesses, please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Reorganization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elsewhere within Part I, Item 2 of this Quarterly Report on Form 10-Q.</w:t>
      </w:r>
    </w:p>
    <w:p>
      <w:pPr>
        <w:spacing w:after="0" w:line="1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Within the tables presented below, the components of revenue change provided may not add due to rounding. The prior-year segment information has been conformed to the current-year presentation.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HWC Revenue</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March 31, 2022 and 2021 and the components of the change in revenue for the three months ended March 31, 2022 from the three months ended March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-170815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HWC segment revenue for both the three months ended March 31, 2022 and 2021 was $1.2 billion. Organic growth was led by the Health business, primarily due to an increase in consulting assignments in North America. Career also contributed strong growth, driven by market demand for reward-based advisory services and compensation benchmarking products as new work models become increasingly prevalent. Wealth revenue increased, with growth in the Investment business from its expanded client base. Benefits Delivery &amp; Outsourcing revenue declined as a result of a shift in the timing of revenue, which we expect to normalize on a full-year basis, coupled with lower growth in Medicare Advantage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R&amp;B Revenue</w:t>
      </w:r>
    </w:p>
    <w:p>
      <w:pPr>
        <w:spacing w:after="0" w:line="17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March 31, 2022 and 2021 and the components of the change in revenue for the three months ended March 31, 2022 from the three months ended March 31,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6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680" w:type="dxa"/>
            <w:vAlign w:val="bottom"/>
            <w:tcBorders>
              <w:bottom w:val="single" w:sz="8" w:color="auto"/>
            </w:tcBorders>
            <w:gridSpan w:val="4"/>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in</w:t>
            </w:r>
          </w:p>
        </w:tc>
        <w:tc>
          <w:tcPr>
            <w:tcW w:w="114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1000" w:type="dxa"/>
            <w:vAlign w:val="bottom"/>
            <w:tcBorders>
              <w:top w:val="single" w:sz="8" w:color="auto"/>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-170815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R&amp;B segment revenue for the three months ended March 31, 2022 and 2021 was $891 million and $924 million, respectively. On an organic basis, Insurance Consulting and Technology grew from both increased advisory work and software sales. The growth was largely offset by a decline in revenue in Corporate Risk &amp; Broking due to headwinds from book-of-business sales recorded in the comparable period last year. Excluding $15 million of book-of-business sales activity, revenue increased modestly, primarily from new business in North America in the FINEX and M&amp;A lines. The year-over-year decline in Russia-related revenue was $14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 (Continuing Operations)</w:t>
      </w:r>
    </w:p>
    <w:p>
      <w:pPr>
        <w:spacing w:after="0" w:line="171"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For all prior-year period financial information presented herein, the operating results of Willis Re have been reclassified as discontinued operations (see Note 3 — Acquisitions and Divestitures within Part I, Item 1 ‘Financial Statements’ in this Form 10-Q for additional information).</w:t>
      </w:r>
    </w:p>
    <w:p>
      <w:pPr>
        <w:spacing w:after="0" w:line="10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Total costs of providing services for both the three months ended March 31, 2022 and 2021 were $2.0 billion, a decrease of $36 million, or 2%. See the following discussion for further details.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6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Salaries and benefits for the three months ended March 31, 2022 were $1.3 billion, compared to $1.4 billion for the three months ended March 31, 2021, a decrease of $101 million, or 7%. The decrease in the current year is mostly due to lower incentive and benefit accruals for the period. Salaries and benefits, as a percentage of revenue, represented 61% and 64% for the three months ended March 31, 2022 and 2021,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6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Other operating expenses for the three months ended March 31, 2022 were $486 million, compared to $400 million for the three months ended March 31, 2021, an increase of $86 million, or 22%. The increase was primarily due to asset impairments, mostly accounts receivables, related to Russian insurance contracts placed by U.K. brokers in the London market (see Note 3 — Acquisitions and Divestitures within Part I, Item 1 ‘Financial Statements’ in this Form 10-Q for additional information) and higher business insurance costs for the current year as compared to the prior year.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7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Depreciation for the three months ended March 31, 2022 was $66 million, compared to $71 million for the three months ended March 31, 2021, a decrease of $5 million, or 7%. The year-over-year decrease was primarily due to a lower depreciable base of assets resulting from business disposals over the last two years and a lower dollar value of assets placed in service during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60" w:lineRule="exact"/>
        <w:rPr>
          <w:sz w:val="20"/>
          <w:szCs w:val="20"/>
          <w:color w:val="auto"/>
        </w:rPr>
      </w:pPr>
    </w:p>
    <w:p>
      <w:pPr>
        <w:jc w:val="both"/>
        <w:ind w:right="600"/>
        <w:spacing w:after="0" w:line="258" w:lineRule="auto"/>
        <w:rPr>
          <w:sz w:val="20"/>
          <w:szCs w:val="20"/>
          <w:color w:val="auto"/>
        </w:rPr>
      </w:pPr>
      <w:r>
        <w:rPr>
          <w:rFonts w:ascii="Times New Roman" w:cs="Times New Roman" w:eastAsia="Times New Roman" w:hAnsi="Times New Roman"/>
          <w:sz w:val="18"/>
          <w:szCs w:val="18"/>
          <w:color w:val="auto"/>
        </w:rPr>
        <w:t>Amortization for the three months ended March 31, 2022 was $85 million, compared to $103 million for the three months ended March 31, 2021, a decrease of $18 million, or 17%. Our intangible amortization is generally more heavily weighted to the initial years of the useful lives of the related intangibles, and therefore amortization related to intangible assets will continue to decrease over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Restructuring costs for the three months ended March 31, 2022 were $6 million primarily related to the real estate rationalization component of the Transformation program commenced by the Company during the fourth quarter of 2021 (see ‘Transformation Program’ within this Part I, Item 2 and Note 6 — Restructuring Costs within Part I, Item 1 ‘Financial Statements’ of this Quarterly Report on Form 10-Q).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Transformation, Net</w:t>
      </w:r>
    </w:p>
    <w:p>
      <w:pPr>
        <w:spacing w:after="0" w:line="16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Transaction and transformation, net for the three months ended March 31, 2022 were $20 million, compared to $24 million for the three months ended March 31, 2021. Transaction and transformation expenses for the current year were comprised of consulting fees related to the Transformation program (see ‘Transformation Program’ within this Part I, Item 2), as well as legal fees and other transaction costs. Transaction and transformation, net for the prior-year period were comprised primarily of legal fees related to our then-proposed combination with Aon.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Income from operations for the three months ended March 31, 2022 was $179 million, compared to $211 million for the three months ended March 31, 2021, a decrease of $32 million. This decrease resulted primarily from the asset impairment expense discussed above and lower revenue, partially offset by lower incentive compensation accruals in the current quarter.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2022 was $49 million, compared to $59 million for the three months ended March 31, 2021, a decrease of $10 million, or 17%. This decrease was primarily the result of lower levels of indebtedness in the current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6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Other income, net for the three months ended March 31, 2022 was $27 million, compared to $438 million for the three months ended March 31, 2021. Other income for the current year primarily consisted of pension income partially offset by the loss on the Russian deconsolidation. Other income, net in the prior-year period consisted primarily of the net gain on disposal of our Miller business (see Note 3 – Acquisitions and Divestitures in Part I, Item 1 ‘Financial Statements’ in this Form 10-Q).</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2022 was $43 million, compared to $44 million for the three months ended March 31, 2021, a decrease of $1 million. The effective tax rate was 27.5% for the three months ended March 31, 2022, and 7.4% for the three months ended March 31, 2021. These effective tax rates are calculated using extended values from our condensed consolidated statements of comprehensive income and are therefore more precise tax rates than can be calculated from rounded values. The prior quarter effective tax rate was lower due to the tax-exempt disposal of our Miller business. Additionally, the current quarter effective tax rate includes the tax effect of the divestment of our Russia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w:t>
      </w:r>
    </w:p>
    <w:p>
      <w:pPr>
        <w:spacing w:after="0" w:line="17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Income from discontinued operations, net of tax for the three months ended March 31, 2022 was $11 million, compared to $190 million for the three months ended March 31, 2021, a decrease of $179 million. The operations of our Willis Re business were reclassified to discontinued operations upon our entering into an agreement to sell the business during the third quarter of 2021 (see Note 3 – Acquisitions and Divestitures in Part I, Item 1 ‘Financial Statements’ in this Form 10-Q). Income from discontinued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5" w:name="page36"/>
    <w:bookmarkEnd w:id="35"/>
    <w:p>
      <w:pPr>
        <w:ind w:right="880"/>
        <w:spacing w:after="0" w:line="430" w:lineRule="auto"/>
        <w:rPr>
          <w:sz w:val="20"/>
          <w:szCs w:val="20"/>
          <w:color w:val="auto"/>
        </w:rPr>
      </w:pPr>
      <w:r>
        <w:rPr>
          <w:rFonts w:ascii="Times New Roman" w:cs="Times New Roman" w:eastAsia="Times New Roman" w:hAnsi="Times New Roman"/>
          <w:sz w:val="18"/>
          <w:szCs w:val="18"/>
          <w:color w:val="auto"/>
        </w:rPr>
        <w:t xml:space="preserve">operations in the current year is attributable to the operations of the deferred closing entities and run-off activity associated with the divestiture. </w:t>
      </w:r>
      <w:r>
        <w:rPr>
          <w:rFonts w:ascii="Times New Roman" w:cs="Times New Roman" w:eastAsia="Times New Roman" w:hAnsi="Times New Roman"/>
          <w:sz w:val="18"/>
          <w:szCs w:val="18"/>
          <w:b w:val="1"/>
          <w:bCs w:val="1"/>
          <w:color w:val="auto"/>
        </w:rPr>
        <w:t>Net Income Attributable to WTW</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Net income attributable to WTW for the three months ended March 31, 2022 was $122 million, compared to $733 million for the three months ended March 31, 2021, a decrease of $611 million, or 83%. This decrease was primarily due to the prior-year gain on the sale of the Miller business, lower net income from the discontinued operations of our Willis Re business, the asset impairment expense discussed above and lower revenue, partially offset by lower incentive compensation accruals in the current quarter.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6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facilities and any new debt offerings.</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COVID-19 pandemic has contributed to significant volatility in financial markets, including occasional declines in equity markets, inflation and changes in interest rates and reduced liquidity on a global basis. Specific to WTW, over the past two years, the COVID-19 pandemic had an initial negative impact on discretionary work we perform for our clients, but we later saw increased demand for these services begin to return in the second quarter of 2021 which continues into 2022. We continue to have decreased spending on travel and associated expenses and third-party contractors, and we have the ability to contain spending on discretionary projects and certain capital expenditures.</w:t>
      </w:r>
    </w:p>
    <w:p>
      <w:pPr>
        <w:spacing w:after="0" w:line="12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scheduled debt repayments, share repurchases and dividend payments. During the three months ended March 31, 2022, we repurchased $2.3 billion of shares, and have authorization to repurchase an additional $1.6 billion. Additionally, we intend to refinance our €540 million ($609 million) of 2.125% senior notes, which mature during the second quarter 2022. The timing, tenor, currency and size of such a refinancing will be determined based on market conditions.</w:t>
      </w:r>
    </w:p>
    <w:p>
      <w:pPr>
        <w:spacing w:after="0" w:line="126"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color w:val="auto"/>
        </w:rPr>
        <w:t>From time to time, we will consider whether to repurchase shares based on many factors, including market and economic conditions, applicable legal requirements and other business considerations. The share repurchase program has no termination date and may be suspended or discontinued at any time.</w:t>
      </w:r>
    </w:p>
    <w:p>
      <w:pPr>
        <w:spacing w:after="0" w:line="9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During the prior year, the operating results and balance sheets of Willis Re were reclassified to discontinued operations. Willis Re’s operating cash flows approximate its pre-tax income and any adjustments for working capital movements (see Note 3 — Acquisitions and Divestitures in Part I, Item 1 ‘Financial Statements’ within this Quarterly Report on Form 10-Q). Certain costs historically allocated to the Willis Re business are included in continuing operations and were retained following the disposal, but are expected to be partially offset by reimbursements through the TSA. Costs incurred to service the TSA are expected to be reduced as part of the Company’s Transformation program as quickly as possible when the services are no longer required by Gallagher.</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0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relating to U.S. Tax Reform,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cash and cash equivalents at March 31, 2022 totaled $2.2 billion, compared to $4.5 billion at December 31, 2021. The decrease in cash from December 31, 2021 to March 31, 2022 was due primarily to $2.3 billion of share repurchases.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both March 31, 2022 and December 31, 2021.</w:t>
      </w:r>
    </w:p>
    <w:p>
      <w:pPr>
        <w:spacing w:after="0" w:line="9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Included within cash and cash equivalents at March 31, 2022 and December 31, 2021 are amounts held for regulatory capital adequacy requirements, including $119 million and $120 million, respectively, held within our regulated U.K. entities.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three months ended March 31, 2022 and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4"/>
                <w:szCs w:val="14"/>
                <w:color w:val="auto"/>
              </w:rPr>
            </w:pPr>
          </w:p>
        </w:tc>
      </w:tr>
      <w:tr>
        <w:trPr>
          <w:trHeight w:val="216"/>
        </w:trPr>
        <w:tc>
          <w:tcPr>
            <w:tcW w:w="7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from/(used in):</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7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7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(2,580 )</w:t>
            </w: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10"/>
        </w:trPr>
        <w:tc>
          <w:tcPr>
            <w:tcW w:w="7900" w:type="dxa"/>
            <w:vAlign w:val="bottom"/>
            <w:gridSpan w:val="2"/>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DECREASE IN CASH, CASH EQUIVALENTS AND RESTRICTED CASH </w:t>
            </w:r>
            <w:r>
              <w:rPr>
                <w:rFonts w:ascii="Times New Roman" w:cs="Times New Roman" w:eastAsia="Times New Roman" w:hAnsi="Times New Roman"/>
                <w:sz w:val="24"/>
                <w:szCs w:val="24"/>
                <w:color w:val="auto"/>
                <w:vertAlign w:val="superscript"/>
              </w:rPr>
              <w:t>(i)</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(531 )</w:t>
            </w:r>
          </w:p>
        </w:tc>
      </w:tr>
      <w:tr>
        <w:trPr>
          <w:trHeight w:val="21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16"/>
        </w:trPr>
        <w:tc>
          <w:tcPr>
            <w:tcW w:w="772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7,691</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6,301</w:t>
            </w:r>
          </w:p>
        </w:tc>
      </w:tr>
      <w:tr>
        <w:trPr>
          <w:trHeight w:val="209"/>
        </w:trPr>
        <w:tc>
          <w:tcPr>
            <w:tcW w:w="77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18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5,172</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5,710</w:t>
            </w:r>
          </w:p>
        </w:tc>
      </w:tr>
      <w:tr>
        <w:trPr>
          <w:trHeight w:val="20"/>
        </w:trPr>
        <w:tc>
          <w:tcPr>
            <w:tcW w:w="7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1028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512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jc w:val="both"/>
        <w:ind w:left="280" w:right="140" w:hanging="272"/>
        <w:spacing w:after="0" w:line="264" w:lineRule="auto"/>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I ‘Financial Statements’ within this Quarterly Report on Form 10-Q.</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Operating Activities</w:t>
      </w:r>
    </w:p>
    <w:p>
      <w:pPr>
        <w:spacing w:after="0" w:line="16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Cash flows from operating activities were $21 million for the three months ended March 31, 2022, compared to cash flows used in operating activities of $128 million for the three months ended March 31, 2021. The $21 million of net cash used in operating activities for the three months ended March 31, 2022 included net income of $125 million and $281 million of favorable non-cash adjustments, partially offset by unfavorable changes in operating assets and liabilities of $385 million. This increase in cash flows from operations as compared to the prior year was primarily due to the absence of the net legal settlement payments of $185 million made last year, partially offset by higher bonus payments and lower reinsurance-related cash collections in the current quarter.</w:t>
      </w:r>
    </w:p>
    <w:p>
      <w:pPr>
        <w:spacing w:after="0" w:line="14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$128 million of net cash used in operating activities for the three months ended March 31, 2021 included net income of $736 million, offset by $171 million of unfavorable non-cash adjustments and by unfavorable changes in operating assets and liabilities of $693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Cash flows from investing activities for the three months ended March 31, 2022 were $74 million as compared to $429 million for the three months ended March 31, 2021. The cash flows from investing activities for the three months ended March 31, 2022 primarily include sales of investments of $200 million, partially offset by capital expenditures and capitalized software additions of $46 million and an acquisition of $68 million made during the first quarter of 2022. The cash flows from investing activities in the prior year period primarily included the net proceeds from the sale of Miller of $696 million, partially offset by cash and fiduciary funds transferred on disposal of $216 million and capital expenditures and capitalized software additions of $51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for the three months ended March 31, 2022 were $2.6 billion. The significant financing activities included share repurchases of $2.3 billion, $211 million of net payments from fiduciary funds held for clients and dividend payments of $98 million.</w:t>
      </w:r>
    </w:p>
    <w:p>
      <w:pPr>
        <w:spacing w:after="0" w:line="12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Cash flows used in financing activities for the three months ended March 31, 2021 were $832 million. The significant financing activities included the full payment of our $500 million of 5.750% senior notes, $199 million of net payments from fiduciary funds held for clients and dividend payments of $92</w:t>
      </w: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March 31, 2022 and December 31, 2021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9"/>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60" w:type="dxa"/>
            <w:vAlign w:val="bottom"/>
          </w:tcPr>
          <w:p>
            <w:pPr>
              <w:spacing w:after="0"/>
              <w:rPr>
                <w:sz w:val="14"/>
                <w:szCs w:val="14"/>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3,975</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3,974</w:t>
            </w: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613</w:t>
            </w:r>
          </w:p>
        </w:tc>
      </w:tr>
      <w:tr>
        <w:trPr>
          <w:trHeight w:val="25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4,574</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4,587</w:t>
            </w:r>
          </w:p>
        </w:tc>
      </w:tr>
      <w:tr>
        <w:trPr>
          <w:trHeight w:val="197"/>
        </w:trPr>
        <w:tc>
          <w:tcPr>
            <w:tcW w:w="7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r>
      <w:tr>
        <w:trPr>
          <w:trHeight w:val="25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11,004</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13,260</w:t>
            </w:r>
          </w:p>
        </w:tc>
      </w:tr>
      <w:tr>
        <w:trPr>
          <w:trHeight w:val="197"/>
        </w:trPr>
        <w:tc>
          <w:tcPr>
            <w:tcW w:w="75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5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2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-624840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-607695</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-325120</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-307975</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capitalization ratio increased from December 31, 2021 primarily due to $2.3 billion of share repurchases during the three months ended March 31, 2022.</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March 31, 2022, our mandatory debt repayment over the next twelve months includes $599 million outstanding on our Euro-denominated 2.125% senior notes due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December 31, 2021,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6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4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we had fiduciary funds of $3.1 billion and $3.4 billion, respectively, of which $616 million and $719 million, respectively, are attributable to our Willis Re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8"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On February 26, 2020, the board of directors approved a $251 million increase to the existing share repurchase program. On July 26, 2021, the board of directors approved a $1.0 billion increase to the existing share repurchase program, and on September 16, 2021, approved a $4.0 billion increase to the existing share repurchase program. These three increases brought the total approved authorization to $5.5 billion.</w:t>
      </w:r>
    </w:p>
    <w:p>
      <w:pPr>
        <w:spacing w:after="0" w:line="11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March 31, 2022, approximately $1.6 billion remained on the current repurchase authority. The maximum number of shares that could be repurchased based on the closing price of our ordinary shares on March 31, 2022 of $236.22 was 6,869,233.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During the three months ended March 31, 2022, the Company had the following share repurchase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21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r>
      <w:tr>
        <w:trPr>
          <w:trHeight w:val="187"/>
        </w:trPr>
        <w:tc>
          <w:tcPr>
            <w:tcW w:w="9020" w:type="dxa"/>
            <w:vAlign w:val="bottom"/>
          </w:tcPr>
          <w:p>
            <w:pPr>
              <w:spacing w:after="0"/>
              <w:rPr>
                <w:sz w:val="16"/>
                <w:szCs w:val="16"/>
                <w:color w:val="auto"/>
              </w:rPr>
            </w:pPr>
          </w:p>
        </w:tc>
        <w:tc>
          <w:tcPr>
            <w:tcW w:w="2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0" w:type="dxa"/>
            <w:vAlign w:val="bottom"/>
          </w:tcPr>
          <w:p>
            <w:pPr>
              <w:spacing w:after="0"/>
              <w:rPr>
                <w:sz w:val="16"/>
                <w:szCs w:val="16"/>
                <w:color w:val="auto"/>
              </w:rPr>
            </w:pPr>
          </w:p>
        </w:tc>
      </w:tr>
      <w:tr>
        <w:trPr>
          <w:trHeight w:val="209"/>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9,860,414</w:t>
            </w:r>
          </w:p>
        </w:tc>
        <w:tc>
          <w:tcPr>
            <w:tcW w:w="6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6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billion</w:t>
            </w:r>
          </w:p>
        </w:tc>
        <w:tc>
          <w:tcPr>
            <w:tcW w:w="60" w:type="dxa"/>
            <w:vAlign w:val="bottom"/>
            <w:shd w:val="clear" w:color="auto" w:fill="CFF0FC"/>
          </w:tcPr>
          <w:p>
            <w:pPr>
              <w:spacing w:after="0"/>
              <w:rPr>
                <w:sz w:val="18"/>
                <w:szCs w:val="18"/>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Capital expenditures for fixed assets and software for internal use were $31 million during the three months ended March 31, 2022. The Company estimates that there will be additional such expenditures, which includes those incurred under its Transformation program, in the range of $160 million - $210 million during the remainder of 2022. We currently expect cash from operations to adequately provide for these cash needs. There have been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changes to our capital commitments since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Total cash dividends of $98 million were paid during the three months ended March 31, 2022. In February 2022, the board of directors approved a quarterly cash dividend of $0.82 per share ($3.28 per share annualized rate), which was paid on April 15, 2022 to shareholders of record as of March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WTW has issued the following debt securities (the ‘notes’):</w:t>
      </w:r>
    </w:p>
    <w:p>
      <w:pPr>
        <w:spacing w:after="0" w:line="104" w:lineRule="exact"/>
        <w:rPr>
          <w:sz w:val="20"/>
          <w:szCs w:val="20"/>
          <w:color w:val="auto"/>
        </w:rPr>
      </w:pPr>
    </w:p>
    <w:p>
      <w:pPr>
        <w:ind w:left="760" w:right="140" w:hanging="378"/>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$2.9 billion senior notes outstanding, of which $650 million were issued on May 16, 2017, $1.0 billion were issued on September 10, 2018, $1.0 billion were issued on September 10, 2019, and $275 million were issued on May 29, 2020; and</w:t>
      </w:r>
    </w:p>
    <w:p>
      <w:pPr>
        <w:spacing w:after="0" w:line="6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$1.7 billion senior notes outstanding, of which $525 million were issued on August 15, 2013, $550 million were issued on March 22, 2016 and €540 million ($609 million) were issued on May 26, 2016, and a $1.5 billion revolving credit facility, on which no balance was outstanding at March 31, 2022.</w:t>
      </w:r>
    </w:p>
    <w:p>
      <w:pPr>
        <w:spacing w:after="0" w:line="115"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March 31, 2022. These subsidiaries are all consolidated by Willis Towers Watson plc (the ‘parent company’) and together with the parent company comprise the ‘Obligor group’.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87"/>
        </w:trPr>
        <w:tc>
          <w:tcPr>
            <w:tcW w:w="73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p>
      <w:pPr>
        <w:spacing w:after="0" w:line="10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0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9" w:name="page40"/>
    <w:bookmarkEnd w:id="39"/>
    <w:p>
      <w:pPr>
        <w:ind w:right="100"/>
        <w:spacing w:after="0" w:line="245" w:lineRule="auto"/>
        <w:rPr>
          <w:sz w:val="20"/>
          <w:szCs w:val="20"/>
          <w:color w:val="auto"/>
        </w:rPr>
      </w:pPr>
      <w:r>
        <w:rPr>
          <w:rFonts w:ascii="Times New Roman" w:cs="Times New Roman" w:eastAsia="Times New Roman" w:hAnsi="Times New Roman"/>
          <w:sz w:val="18"/>
          <w:szCs w:val="18"/>
          <w:color w:val="auto"/>
        </w:rPr>
        <w:t>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March 31, 2022 and December 31, 2021,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4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4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March 31, 2022 and December 31, 2021, the intercompany balances of the Obligor group with non-guarantor subsidiaries were net receivables of $700 million at both balance sheet dates presented and net payables of $10.6 billion and $8.1 billion,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770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5"/>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7,747</w:t>
            </w: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5,298</w:t>
            </w:r>
          </w:p>
        </w:tc>
      </w:tr>
      <w:tr>
        <w:trPr>
          <w:trHeight w:val="537"/>
        </w:trPr>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169"/>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w:t>
            </w:r>
          </w:p>
        </w:tc>
      </w:tr>
      <w:tr>
        <w:trPr>
          <w:trHeight w:val="164"/>
        </w:trPr>
        <w:tc>
          <w:tcPr>
            <w:tcW w:w="77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(23 )</w:t>
            </w:r>
          </w:p>
        </w:tc>
      </w:tr>
      <w:tr>
        <w:trPr>
          <w:trHeight w:val="268"/>
        </w:trPr>
        <w:tc>
          <w:tcPr>
            <w:tcW w:w="77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Loss from operations before income taxes </w:t>
            </w:r>
            <w:r>
              <w:rPr>
                <w:rFonts w:ascii="Times New Roman" w:cs="Times New Roman" w:eastAsia="Times New Roman" w:hAnsi="Times New Roman"/>
                <w:sz w:val="24"/>
                <w:szCs w:val="24"/>
                <w:color w:val="auto"/>
                <w:vertAlign w:val="superscript"/>
              </w:rPr>
              <w:t>(i)</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WTW</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$35 million for the three months ended March 31, 2022.</w:t>
      </w:r>
    </w:p>
    <w:p>
      <w:pPr>
        <w:spacing w:after="0" w:line="1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income/margin</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44"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10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These items include the following:</w:t>
      </w:r>
    </w:p>
    <w:p>
      <w:pPr>
        <w:spacing w:after="0" w:line="82" w:lineRule="exact"/>
        <w:rPr>
          <w:sz w:val="20"/>
          <w:szCs w:val="20"/>
          <w:color w:val="auto"/>
        </w:rPr>
      </w:pPr>
    </w:p>
    <w:p>
      <w:pPr>
        <w:ind w:left="760" w:right="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discontinued operations, net of tax – Adjustment to remove the after-tax income from discontinued operations and the after-tax gain attributable to the divestiture of our Willis Re business.</w:t>
      </w:r>
    </w:p>
    <w:p>
      <w:pPr>
        <w:spacing w:after="0" w:line="54" w:lineRule="exact"/>
        <w:rPr>
          <w:rFonts w:ascii="Times New Roman" w:cs="Times New Roman" w:eastAsia="Times New Roman" w:hAnsi="Times New Roman"/>
          <w:sz w:val="18"/>
          <w:szCs w:val="18"/>
          <w:color w:val="auto"/>
        </w:rPr>
      </w:pPr>
    </w:p>
    <w:p>
      <w:pPr>
        <w:ind w:left="760" w:right="540" w:hanging="378"/>
        <w:spacing w:after="0" w:line="270"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costs and transaction and transformation, net – Management believes it is appropriate to adjust for restructuring costs and transaction and transformation, net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 Adjustment to remove the impairment related to the net assets of our Russian business that are held outside of our Russian entities.</w:t>
      </w:r>
    </w:p>
    <w:p>
      <w:pPr>
        <w:spacing w:after="0" w:line="103" w:lineRule="exact"/>
        <w:rPr>
          <w:rFonts w:ascii="Times New Roman" w:cs="Times New Roman" w:eastAsia="Times New Roman" w:hAnsi="Times New Roman"/>
          <w:sz w:val="18"/>
          <w:szCs w:val="18"/>
          <w:color w:val="auto"/>
        </w:rPr>
      </w:pPr>
    </w:p>
    <w:p>
      <w:pPr>
        <w:ind w:left="760" w:right="3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67"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and curtailment gains and losses – Adjustment to remove significant pension settlement and curtailment gains and losses to better present how the Company is performing.</w:t>
      </w:r>
    </w:p>
    <w:p>
      <w:pPr>
        <w:spacing w:after="0" w:line="54"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significant litigation – We will include provisions for litigation matters which we believe are not representative of our core business operations. These amounts are presented net of insurance and other recovery receivables.</w:t>
      </w:r>
    </w:p>
    <w:p>
      <w:pPr>
        <w:spacing w:after="0" w:line="67" w:lineRule="exact"/>
        <w:rPr>
          <w:rFonts w:ascii="Times New Roman" w:cs="Times New Roman" w:eastAsia="Times New Roman" w:hAnsi="Times New Roman"/>
          <w:sz w:val="18"/>
          <w:szCs w:val="18"/>
          <w:color w:val="auto"/>
        </w:rPr>
      </w:pPr>
    </w:p>
    <w:p>
      <w:pPr>
        <w:ind w:left="760" w:right="3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the Coronavirus Aid, Relief, and Economic Security (‘CARES’) Act – Relates to the incremental tax expense impact, primarily from the Base Erosion and Anti-Abuse Tax (‘BEAT’), generated from electing certain income tax provisions of the CARES Act.</w:t>
      </w:r>
    </w:p>
    <w:p>
      <w:pPr>
        <w:spacing w:after="0" w:line="5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internal reorganizations – Relates to the U.S. income tax expense resulting from the completion of internal reorganizations of the ownership of certain businesses that reduced the investments held by our U.S.-controlled subsidiaries.</w:t>
      </w:r>
    </w:p>
    <w:p>
      <w:pPr>
        <w:spacing w:after="0" w:line="9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1" w:name="page42"/>
    <w:bookmarkEnd w:id="41"/>
    <w:p>
      <w:pPr>
        <w:ind w:right="100"/>
        <w:spacing w:after="0" w:line="260" w:lineRule="auto"/>
        <w:rPr>
          <w:sz w:val="20"/>
          <w:szCs w:val="20"/>
          <w:color w:val="auto"/>
        </w:rPr>
      </w:pPr>
      <w:r>
        <w:rPr>
          <w:rFonts w:ascii="Times New Roman" w:cs="Times New Roman" w:eastAsia="Times New Roman" w:hAnsi="Times New Roman"/>
          <w:sz w:val="18"/>
          <w:szCs w:val="18"/>
          <w:b w:val="1"/>
          <w:bCs w:val="1"/>
          <w:color w:val="auto"/>
        </w:rPr>
        <w:t>For all prior-year period financial information presented herein (with the exception of Free Cash Flow), the operating results of Willis Re have been reclassified as discontinued operations (see Note 3 — Acquisitions and Divestitures within Part I, Item 1 ‘Financial Statements’ in this Form 10-Q for additional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29" w:lineRule="exact"/>
        <w:rPr>
          <w:sz w:val="20"/>
          <w:szCs w:val="20"/>
          <w:color w:val="auto"/>
        </w:rPr>
      </w:pPr>
    </w:p>
    <w:p>
      <w:pPr>
        <w:ind w:left="760" w:right="100" w:hanging="378"/>
        <w:spacing w:after="0" w:line="24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1" w:lineRule="exact"/>
        <w:rPr>
          <w:rFonts w:ascii="Times New Roman" w:cs="Times New Roman" w:eastAsia="Times New Roman" w:hAnsi="Times New Roman"/>
          <w:sz w:val="18"/>
          <w:szCs w:val="18"/>
          <w:color w:val="auto"/>
        </w:rPr>
      </w:pPr>
    </w:p>
    <w:p>
      <w:pPr>
        <w:ind w:left="760" w:right="40" w:hanging="378"/>
        <w:spacing w:after="0" w:line="24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(Continuing Operations)’ section within this Form 10-Q. These measures are also reported by segment in the ‘Segment Revenue’ section within this Form 10-Q.</w:t>
      </w:r>
    </w:p>
    <w:p>
      <w:pPr>
        <w:spacing w:after="0" w:line="13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reconciliation of the reported changes to the constant currency and organic changes for the three months ended March 31, 2022 from the three months ended March 31, 2021 is as follows. Note: the components of revenue change may not add due to rounding.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624"/>
              <w:spacing w:after="0"/>
              <w:rPr>
                <w:sz w:val="20"/>
                <w:szCs w:val="20"/>
                <w:color w:val="auto"/>
              </w:rPr>
            </w:pPr>
            <w:r>
              <w:rPr>
                <w:rFonts w:ascii="Times New Roman" w:cs="Times New Roman" w:eastAsia="Times New Roman" w:hAnsi="Times New Roman"/>
                <w:sz w:val="14"/>
                <w:szCs w:val="14"/>
                <w:b w:val="1"/>
                <w:bCs w:val="1"/>
                <w:color w:val="auto"/>
              </w:rPr>
              <w:t>($ in</w:t>
            </w:r>
          </w:p>
        </w:tc>
        <w:tc>
          <w:tcPr>
            <w:tcW w:w="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Adjusting for the impacts of foreign currency and acquisitions and disposals in the calculation of our organic activity, our revenue grew by 2% for the three months ended March 31, 2022. The increase in organic revenue was driven by our HWC segment.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2" w:name="page43"/>
    <w:bookmarkEnd w:id="42"/>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impairment, amortization, restructuring costs, transaction and transformation, net and non-recurring items that, in management’s judgment, significantly affect the period-over-period assessment of operating results. Adjusted operating income margin is calculated by dividing adjusted operating income by revenue.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months ended March 31, 2022 and 2021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4"/>
                <w:szCs w:val="14"/>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179</w:t>
            </w:r>
          </w:p>
        </w:tc>
        <w:tc>
          <w:tcPr>
            <w:tcW w:w="122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r>
      <w:tr>
        <w:trPr>
          <w:trHeight w:val="210"/>
        </w:trPr>
        <w:tc>
          <w:tcPr>
            <w:tcW w:w="7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-465455</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-448310</wp:posOffset>
            </wp:positionV>
            <wp:extent cx="1111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March 31, 2022 to $371 million, from $338 million for the three months ended March 31, 2021. This increase was primarily due to lower salary and benefits costs in the current quarter, partially offset by lower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62"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22"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Adjusted EBITDA is defined as net income adjusted for income from discontinued operations, net of tax, provision for income taxes, interest expense, impairment, depreciation and amortization, restructuring costs, transaction and transformation, net,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months ended March 31, 2022 and 2021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4"/>
                <w:szCs w:val="14"/>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4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(190 )</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8"/>
                <w:szCs w:val="18"/>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18"/>
                <w:szCs w:val="18"/>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tcPr>
          <w:p>
            <w:pPr>
              <w:spacing w:after="0"/>
              <w:rPr>
                <w:sz w:val="18"/>
                <w:szCs w:val="18"/>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(359 )</w:t>
            </w: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488</w:t>
            </w:r>
          </w:p>
        </w:tc>
      </w:tr>
      <w:tr>
        <w:trPr>
          <w:trHeight w:val="210"/>
        </w:trPr>
        <w:tc>
          <w:tcPr>
            <w:tcW w:w="7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-465455</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-448310</wp:posOffset>
            </wp:positionV>
            <wp:extent cx="111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three months ended March 31, 2022 was $518 million, compared to $488 million for the three months ended March 31,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primarily due to lower salary and benefits costs in the current quarter, partially offset by lower revenue.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income from discontinued operations, net of tax, impairment, amortization, restructuring costs, transaction and transformation, net,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23" w:lineRule="exact"/>
        <w:rPr>
          <w:sz w:val="20"/>
          <w:szCs w:val="20"/>
          <w:color w:val="auto"/>
        </w:rPr>
      </w:pPr>
    </w:p>
    <w:p>
      <w:pPr>
        <w:jc w:val="both"/>
        <w:ind w:right="640"/>
        <w:spacing w:after="0" w:line="258"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shares of common stock, diluted. Adjusted diluted earnings per share is used to internally evaluate and assess our core operations and to benchmark our operating results against our competitors.</w:t>
      </w:r>
    </w:p>
    <w:p>
      <w:pPr>
        <w:spacing w:after="0" w:line="142"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months ended March 31, 2022 and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in</w:t>
            </w:r>
          </w:p>
        </w:tc>
        <w:tc>
          <w:tcPr>
            <w:tcW w:w="1240" w:type="dxa"/>
            <w:vAlign w:val="bottom"/>
            <w:gridSpan w:val="2"/>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60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10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240" w:type="dxa"/>
            <w:vAlign w:val="bottom"/>
            <w:gridSpan w:val="2"/>
            <w:shd w:val="clear" w:color="auto" w:fill="CFF0FC"/>
          </w:tcPr>
          <w:p>
            <w:pPr>
              <w:jc w:val="center"/>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1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16"/>
        </w:trPr>
        <w:tc>
          <w:tcPr>
            <w:tcW w:w="768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w:t>
            </w:r>
          </w:p>
        </w:tc>
        <w:tc>
          <w:tcPr>
            <w:tcW w:w="1240" w:type="dxa"/>
            <w:vAlign w:val="bottom"/>
            <w:gridSpan w:val="2"/>
          </w:tcPr>
          <w:p>
            <w:pPr>
              <w:jc w:val="center"/>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6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 diluted</w:t>
            </w:r>
          </w:p>
        </w:tc>
        <w:tc>
          <w:tcPr>
            <w:tcW w:w="1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gridSpan w:val="2"/>
          </w:tcPr>
          <w:p>
            <w:pPr>
              <w:jc w:val="center"/>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76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 xml:space="preserve"> :</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16"/>
        </w:trPr>
        <w:tc>
          <w:tcPr>
            <w:tcW w:w="76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100" w:type="dxa"/>
            <w:vAlign w:val="bottom"/>
            <w:tcBorders>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center"/>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-1988185</wp:posOffset>
            </wp:positionV>
            <wp:extent cx="1117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7"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4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adjusted diluted earnings per share increased for the three months ended March 31, 2022 as compared to the prior year primarily due to lower salary and benefits costs in the current quarter and a lower weighted-average outstanding share count due to our share repurchase activity in the current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62"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adjusted for impairment, amortization, restructuring costs, transaction and transformation, net,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2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impairment, amortization, restructuring costs, transaction and transformation, net,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4" w:name="page45"/>
    <w:bookmarkEnd w:id="44"/>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to adjusted income before taxes and provision for income taxes to adjusted income taxes for the three months ended March 31, 2022 and 2021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80" w:type="dxa"/>
            <w:vAlign w:val="bottom"/>
          </w:tcPr>
          <w:p>
            <w:pPr>
              <w:spacing w:after="0"/>
              <w:rPr>
                <w:sz w:val="14"/>
                <w:szCs w:val="14"/>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157</w:t>
            </w:r>
          </w:p>
        </w:tc>
        <w:tc>
          <w:tcPr>
            <w:tcW w:w="1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19"/>
                <w:szCs w:val="19"/>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040" w:type="dxa"/>
            <w:vAlign w:val="bottom"/>
          </w:tcPr>
          <w:p>
            <w:pPr>
              <w:spacing w:after="0"/>
              <w:rPr>
                <w:sz w:val="19"/>
                <w:szCs w:val="19"/>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Loss/(gain) on disposal of operations</w:t>
            </w:r>
          </w:p>
        </w:tc>
        <w:tc>
          <w:tcPr>
            <w:tcW w:w="10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(359 )</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76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66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0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85</w:t>
            </w:r>
          </w:p>
        </w:tc>
        <w:tc>
          <w:tcPr>
            <w:tcW w:w="118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7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6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30"/>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GAAP tax rate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-1207770</wp:posOffset>
            </wp:positionV>
            <wp:extent cx="1111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-607695</wp:posOffset>
            </wp:positionV>
            <wp:extent cx="1111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9512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U.S. GAAP tax rates were 27.5% and 7.4% for the three months ended March 31, 2022 and 2021, respectively. The prior quarter effective tax rate was lower due to the tax-exempt disposal of our Miller business. Additionally, the current quarter effective tax rate includes the tax effect of the divestment of our Russia business.</w:t>
      </w:r>
    </w:p>
    <w:p>
      <w:pPr>
        <w:spacing w:after="0" w:line="1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adjusted income tax rates were 21.1% and 19.7% for the three months ended March 31, 2022 and 2021, respectively. The current quarter adjusted tax rate is higher due to the distribution of geographical income.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62"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(used in)/from operating activities to free cash flow for the three months ended March 31, 2022 and 2021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gridSpan w:val="3"/>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4"/>
                <w:szCs w:val="14"/>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from/(used in) operating activities</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favorable movement in free cash flows in the first quarter of 2022 was due to the absence of the net legal settlement payments of $185 million made last year, partially offset by higher bonus payments and lower reinsurance-related cash collections in the current quarter.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5" w:name="page46"/>
    <w:bookmarkEnd w:id="45"/>
    <w:p>
      <w:pPr>
        <w:spacing w:after="0" w:line="250" w:lineRule="auto"/>
        <w:rPr>
          <w:sz w:val="20"/>
          <w:szCs w:val="20"/>
          <w:color w:val="auto"/>
        </w:rPr>
      </w:pPr>
      <w:r>
        <w:rPr>
          <w:rFonts w:ascii="Times New Roman" w:cs="Times New Roman" w:eastAsia="Times New Roman" w:hAnsi="Times New Roman"/>
          <w:sz w:val="18"/>
          <w:szCs w:val="18"/>
          <w:color w:val="auto"/>
        </w:rPr>
        <w:t>Additionally, the free cash flow for the prior year period presented includes the operating cash flows of Willis Re. Willis Re’s operating cash flows approximate its pre-tax income and any adjustments for working capital movements (see Note 3 — Acquisitions and Divestitures within Part I, Item 1 ‘Financial Statements’ in this Form 10-Q for additional information), the absence of which is expected to be partially made up by reimbursements through the TSA.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2021, filed with the SEC on February 24, 2022.</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24"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three months ended March 31, 2022 and have determined that there have been no material changes to our exposure to market risks from those described in the Company’s Annual Report on Form 10-K for the year ended December 31, 2021, filed with the SEC on February 24, 2022. However, we have provided the following information to supplement or update our disclosures on our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on Fiduciary Funds</w:t>
      </w:r>
    </w:p>
    <w:p>
      <w:pPr>
        <w:spacing w:after="0" w:line="16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As described in our Form 10-K, we are exposed to interest rate risk. Specifically, as a result of our operating activities, we receive cash for premiums and claims which we deposit in short-term investments denominated in U.S. dollars and other currencies. We earn interest on these funds, which is included in our condensed consolidated financial statements as interest income. These funds are regulated in terms of access and the instruments in which they may be invested, most of which are short-term in maturity. At March 31, 2022, we held $1.6 billion of fiduciary funds invested in interest-bearing accounts. If short-term interest rates increased or decreased by 25 basis points, interest earned on these invested fiduciary funds, and therefore our interest income recognized, would increase or decrease by approximately $4 million on an annualized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As of March 31, 2022,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by Exchange Act Rule 13a-15(e). Based upon that evaluation, the CEO and the CFO concluded that the Company’s disclosure controls and procedures are effective in ensuring that the information required to be included in the Company’s periodic SEC filings is recorded, processed, summarized and reported within the time periods specified in the SEC rules and forms and that such information is accumulated and communicated to management, including the CEO and the CFO, as appropriate, to allow for timely decisions regarding required disclosure.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March 31, 2022 that materially affected, or are reasonably likely to materially affect, our internal control over financial reporting. Most of our employees who are involved in our financial reporting processes and controls continue to work remotely following the onset of the COVID-19 pandemic and are expected to do so for the foreseeable future. COVID-19 has not had any specific impact to the design or operating effectiveness of our internal controls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6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March 31,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Except as described below, there are no material changes from risk factors as previously disclosed in our Annual Report on Form 10-K, filed with the SEC on February 24, 2022. We urge you to read the risk factors contained therein.</w:t>
      </w:r>
    </w:p>
    <w:p>
      <w:pPr>
        <w:spacing w:after="0" w:line="90"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any negative impact on the global economy and capital markets resulting from the conflict in Ukraine or any other geopolitical tensions.</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crisis in Ukraine. Although the length and impact of the ongoing situation is highly unpredictable, the crisis in Ukraine could lead to further market disruptions.</w:t>
      </w:r>
    </w:p>
    <w:p>
      <w:pPr>
        <w:spacing w:after="0" w:line="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Additionally, as we announced on March 13, 2022, we intend to transfer ownership of our Russian subsidiary to local management who will operate independently in the Russian market. In 2021, this business constituted approximately 1% of our consolidated revenue. The transfer is in the process of being documented and implemented, subject to any required regulatory approvals and conditions. We are continuing to monitor the situation in Ukraine and globally and assessing its potential impact on our business.</w:t>
      </w:r>
    </w:p>
    <w:p>
      <w:pPr>
        <w:spacing w:after="0" w:line="12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Sanctions imposed by the U.S., the E.U., the U.K. and other countries, as well as Russian counter-sanctions, are extensive. Additional sanctions and penalties have also been enacted, proposed and/or threatened. Russian actions and the resulting sanctions could adversely affect the global economy and financial markets and lead to instability and lack of liquidity in capital markets. The ramifications of the hostilities and sanctions, however, may not be limited to Russia and Russian companies but may spill over to and negatively impact other regional and global economic markets (including Europe and the United States), companies in other countries (particularly those that have done business with Russia) and various sectors, industries and markets for securities and commodities globally, such as oil and natural gas. Accordingly, the actions discussed above and the potential for a wider conflict could increase financial market volatility, cause severe negative effects on regional and global economic markets, industries, and companies. In addition, Russia may take retaliatory actions and other countermeasures, including cyberattacks and espionage against other countries and companies around the world, which may negatively impact such countries and companies. The extent and duration of the Russian actions or future escalation of such hostilities, the extent and impact of existing and future sanctions, market disruptions and volatility, and the result of any diplomatic negotiations cannot be predicted.</w:t>
      </w:r>
    </w:p>
    <w:p>
      <w:pPr>
        <w:spacing w:after="0" w:line="1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of the above-mentioned factors could adversely affect our business, prospects, financial condition and operating results. The extent and duration of the crisis, sanctions and resulting market disruptions are impossible to predict, but could be substantial.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2022,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22"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On February 26, 2020, the board of directors approved a $251 million increase to the existing share repurchase program. On July 26, 2021, the board of directors approved a $1.0 billion increase to the existing share repurchase program, and on September 16, 2021, approved a $4.0 billion increase to the existing share repurchase program. These three increases brought the total approved authorization to $5.5 billion.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ordinary shares in the first quarter of 2022 and the Company’s remaining repurchase authority.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2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of shares</w:t>
            </w:r>
          </w:p>
        </w:tc>
        <w:tc>
          <w:tcPr>
            <w:tcW w:w="60" w:type="dxa"/>
            <w:vAlign w:val="bottom"/>
          </w:tcPr>
          <w:p>
            <w:pPr>
              <w:spacing w:after="0"/>
              <w:rPr>
                <w:sz w:val="13"/>
                <w:szCs w:val="13"/>
                <w:color w:val="auto"/>
              </w:rPr>
            </w:pPr>
          </w:p>
        </w:tc>
      </w:tr>
      <w:tr>
        <w:trPr>
          <w:trHeight w:val="162"/>
        </w:trPr>
        <w:tc>
          <w:tcPr>
            <w:tcW w:w="40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 number of shares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Average price</w:t>
            </w:r>
          </w:p>
        </w:tc>
        <w:tc>
          <w:tcPr>
            <w:tcW w:w="2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purchased as part of publicly</w:t>
            </w:r>
          </w:p>
        </w:tc>
        <w:tc>
          <w:tcPr>
            <w:tcW w:w="2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that may yet be purchased</w:t>
            </w:r>
          </w:p>
        </w:tc>
        <w:tc>
          <w:tcPr>
            <w:tcW w:w="60" w:type="dxa"/>
            <w:vAlign w:val="bottom"/>
          </w:tcPr>
          <w:p>
            <w:pPr>
              <w:spacing w:after="0"/>
              <w:rPr>
                <w:sz w:val="14"/>
                <w:szCs w:val="14"/>
                <w:color w:val="auto"/>
              </w:rPr>
            </w:pPr>
          </w:p>
        </w:tc>
      </w:tr>
      <w:tr>
        <w:trPr>
          <w:trHeight w:val="18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3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rPr>
              <w:t>purchased</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rPr>
              <w:t>paid per share</w:t>
            </w:r>
          </w:p>
        </w:tc>
        <w:tc>
          <w:tcPr>
            <w:tcW w:w="2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20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60" w:type="dxa"/>
            <w:vAlign w:val="bottom"/>
          </w:tcPr>
          <w:p>
            <w:pPr>
              <w:spacing w:after="0"/>
              <w:rPr>
                <w:sz w:val="16"/>
                <w:szCs w:val="16"/>
                <w:color w:val="auto"/>
              </w:rPr>
            </w:pP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1, 2022 through January 31, 2022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3,244,661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20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3,244,661</w:t>
            </w: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13,484,986</w:t>
            </w:r>
          </w:p>
        </w:tc>
        <w:tc>
          <w:tcPr>
            <w:tcW w:w="6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2022 through February 28,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3,305,686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3,305,686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10,179,300</w:t>
            </w:r>
          </w:p>
        </w:tc>
        <w:tc>
          <w:tcPr>
            <w:tcW w:w="6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March 1, 2022 through March 31, 2022</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3,310,067</w:t>
            </w:r>
          </w:p>
        </w:tc>
        <w:tc>
          <w:tcPr>
            <w:tcW w:w="4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2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3,310,067</w:t>
            </w:r>
          </w:p>
        </w:tc>
        <w:tc>
          <w:tcPr>
            <w:tcW w:w="2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6,869,233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9,860,414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9,860,414</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-170815</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At March 31, 2022 the maximum number of shares that may yet be purchased under the existing stock repurchase plan is 6,869,233, with approximately $1.6 billion remaining on the current open-ended repurchase authority granted by the board. An estimate of the maximum number of shares under the existing authorities was determined using the closing price of our ordinary shares on March 31, 2022 of $236.22.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20" w:type="dxa"/>
            <w:vAlign w:val="bottom"/>
            <w:gridSpan w:val="16"/>
          </w:tcPr>
          <w:p>
            <w:pPr>
              <w:ind w:left="30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61"/>
        </w:trPr>
        <w:tc>
          <w:tcPr>
            <w:tcW w:w="28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gridSpan w:val="16"/>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46"/>
        </w:trPr>
        <w:tc>
          <w:tcPr>
            <w:tcW w:w="98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320" w:type="dxa"/>
            <w:vAlign w:val="bottom"/>
            <w:gridSpan w:val="1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2"/>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FF0FC"/>
          </w:tcPr>
          <w:p>
            <w:pPr>
              <w:spacing w:after="0"/>
              <w:rPr>
                <w:sz w:val="15"/>
                <w:szCs w:val="15"/>
                <w:color w:val="auto"/>
              </w:rPr>
            </w:pPr>
          </w:p>
        </w:tc>
        <w:tc>
          <w:tcPr>
            <w:tcW w:w="10260" w:type="dxa"/>
            <w:vAlign w:val="bottom"/>
            <w:gridSpan w:val="19"/>
            <w:shd w:val="clear" w:color="auto" w:fill="CFF0FC"/>
          </w:tcPr>
          <w:p>
            <w:pPr>
              <w:ind w:left="200"/>
              <w:spacing w:after="0" w:line="17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Form of Executive Officer Time-Based Restricted Share Unit Award Agreement under the 2022 Long-Term Incentive Compensation</w:t>
              </w:r>
            </w:hyperlink>
          </w:p>
        </w:tc>
        <w:tc>
          <w:tcPr>
            <w:tcW w:w="0" w:type="dxa"/>
            <w:vAlign w:val="bottom"/>
          </w:tcPr>
          <w:p>
            <w:pPr>
              <w:spacing w:after="0"/>
              <w:rPr>
                <w:sz w:val="1"/>
                <w:szCs w:val="1"/>
                <w:color w:val="auto"/>
              </w:rPr>
            </w:pPr>
          </w:p>
        </w:tc>
      </w:tr>
      <w:tr>
        <w:trPr>
          <w:trHeight w:val="169"/>
        </w:trPr>
        <w:tc>
          <w:tcPr>
            <w:tcW w:w="28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9620" w:type="dxa"/>
            <w:vAlign w:val="bottom"/>
            <w:tcBorders>
              <w:top w:val="single" w:sz="8" w:color="0000FF"/>
            </w:tcBorders>
            <w:gridSpan w:val="11"/>
            <w:shd w:val="clear" w:color="auto" w:fill="CFF0FC"/>
          </w:tcPr>
          <w:p>
            <w:pPr>
              <w:spacing w:after="0" w:line="169"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Program (incorporated by reference to Exhibit 10.1 to the Form 8-K filed by the Company on February 28, 2022).†</w:t>
              </w:r>
            </w:hyperlink>
          </w:p>
        </w:tc>
        <w:tc>
          <w:tcPr>
            <w:tcW w:w="8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3600" w:type="dxa"/>
            <w:vAlign w:val="bottom"/>
            <w:tcBorders>
              <w:top w:val="single" w:sz="8" w:color="0000FF"/>
            </w:tcBorders>
            <w:shd w:val="clear" w:color="auto" w:fill="CFF0FC"/>
          </w:tcPr>
          <w:p>
            <w:pPr>
              <w:spacing w:after="0" w:line="20" w:lineRule="exact"/>
              <w:rPr>
                <w:sz w:val="1"/>
                <w:szCs w:val="1"/>
                <w:color w:val="auto"/>
              </w:rPr>
            </w:pPr>
          </w:p>
        </w:tc>
        <w:tc>
          <w:tcPr>
            <w:tcW w:w="1360" w:type="dxa"/>
            <w:vAlign w:val="bottom"/>
            <w:tcBorders>
              <w:top w:val="single" w:sz="8" w:color="0000FF"/>
            </w:tcBorders>
            <w:shd w:val="clear" w:color="auto" w:fill="CFF0FC"/>
          </w:tcPr>
          <w:p>
            <w:pPr>
              <w:spacing w:after="0" w:line="20" w:lineRule="exact"/>
              <w:rPr>
                <w:sz w:val="1"/>
                <w:szCs w:val="1"/>
                <w:color w:val="auto"/>
              </w:rPr>
            </w:pPr>
          </w:p>
        </w:tc>
        <w:tc>
          <w:tcPr>
            <w:tcW w:w="7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152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80" w:type="dxa"/>
            <w:vAlign w:val="bottom"/>
            <w:tcBorders>
              <w:bottom w:val="single" w:sz="8" w:color="0000FF"/>
            </w:tcBorders>
            <w:gridSpan w:val="9"/>
          </w:tcPr>
          <w:p>
            <w:pPr>
              <w:spacing w:after="0" w:line="17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Form of Executive Officer Performance-Based Restricted Share Unit Award Agreement under the 2022 Long-Term Incentive</w:t>
              </w:r>
            </w:hyperlink>
          </w:p>
        </w:tc>
        <w:tc>
          <w:tcPr>
            <w:tcW w:w="9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60" w:type="dxa"/>
            <w:vAlign w:val="bottom"/>
            <w:gridSpan w:val="18"/>
          </w:tcPr>
          <w:p>
            <w:pPr>
              <w:spacing w:after="0" w:line="169"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Compensation Program (incorporated by reference to Exhibit 10.2 to the Form 8-K filed by the Company on February 28, 2022).†</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2"/>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FF0FC"/>
          </w:tcPr>
          <w:p>
            <w:pPr>
              <w:spacing w:after="0"/>
              <w:rPr>
                <w:sz w:val="15"/>
                <w:szCs w:val="15"/>
                <w:color w:val="auto"/>
              </w:rPr>
            </w:pPr>
          </w:p>
        </w:tc>
        <w:tc>
          <w:tcPr>
            <w:tcW w:w="10260" w:type="dxa"/>
            <w:vAlign w:val="bottom"/>
            <w:gridSpan w:val="19"/>
            <w:shd w:val="clear" w:color="auto" w:fill="CFF0FC"/>
          </w:tcPr>
          <w:p>
            <w:pPr>
              <w:ind w:left="200"/>
              <w:spacing w:after="0" w:line="17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Willis Towers Watson Severance and Change in Control Pay Plan for U.S. Executives, dated as of February 22, 2022 (incorporated by</w:t>
              </w:r>
            </w:hyperlink>
          </w:p>
        </w:tc>
        <w:tc>
          <w:tcPr>
            <w:tcW w:w="0" w:type="dxa"/>
            <w:vAlign w:val="bottom"/>
          </w:tcPr>
          <w:p>
            <w:pPr>
              <w:spacing w:after="0"/>
              <w:rPr>
                <w:sz w:val="1"/>
                <w:szCs w:val="1"/>
                <w:color w:val="auto"/>
              </w:rPr>
            </w:pPr>
          </w:p>
        </w:tc>
      </w:tr>
      <w:tr>
        <w:trPr>
          <w:trHeight w:val="189"/>
        </w:trPr>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5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6400" w:type="dxa"/>
            <w:vAlign w:val="bottom"/>
            <w:tcBorders>
              <w:top w:val="single" w:sz="8" w:color="0000FF"/>
              <w:bottom w:val="single" w:sz="8" w:color="0000FF"/>
            </w:tcBorders>
            <w:gridSpan w:val="5"/>
            <w:shd w:val="clear" w:color="auto" w:fill="CFF0FC"/>
          </w:tcPr>
          <w:p>
            <w:pPr>
              <w:spacing w:after="0" w:line="169"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reference to Exhibit 10.3 to the Form 8-K filed by the Company on February 28, 2022).†</w:t>
              </w:r>
            </w:hyperlink>
          </w:p>
        </w:tc>
        <w:tc>
          <w:tcPr>
            <w:tcW w:w="3300" w:type="dxa"/>
            <w:vAlign w:val="bottom"/>
            <w:tcBorders>
              <w:top w:val="single" w:sz="8" w:color="0000FF"/>
              <w:bottom w:val="single" w:sz="8" w:color="CFF0FC"/>
            </w:tcBorders>
            <w:gridSpan w:val="7"/>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5"/>
                <w:szCs w:val="15"/>
                <w:color w:val="auto"/>
              </w:rPr>
            </w:pPr>
          </w:p>
        </w:tc>
        <w:tc>
          <w:tcPr>
            <w:tcW w:w="10260" w:type="dxa"/>
            <w:vAlign w:val="bottom"/>
            <w:gridSpan w:val="19"/>
          </w:tcPr>
          <w:p>
            <w:pPr>
              <w:ind w:left="200"/>
              <w:spacing w:after="0" w:line="176"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Willis Towers Watson Severance and Change in Control Pay Plan for Non-U.S. Executives, dated as of February 22, 2022 (incorporated by</w:t>
              </w:r>
            </w:hyperlink>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reference to Exhibit 10.4 to the Form 8-K filed by the Company on February 28, 2022). †</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2"/>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FF0FC"/>
          </w:tcPr>
          <w:p>
            <w:pPr>
              <w:spacing w:after="0"/>
              <w:rPr>
                <w:sz w:val="15"/>
                <w:szCs w:val="15"/>
                <w:color w:val="auto"/>
              </w:rPr>
            </w:pPr>
          </w:p>
        </w:tc>
        <w:tc>
          <w:tcPr>
            <w:tcW w:w="10260" w:type="dxa"/>
            <w:vAlign w:val="bottom"/>
            <w:gridSpan w:val="19"/>
            <w:shd w:val="clear" w:color="auto" w:fill="CFF0FC"/>
          </w:tcPr>
          <w:p>
            <w:pPr>
              <w:ind w:left="200"/>
              <w:spacing w:after="0" w:line="17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List of Issuers and Guarantor Subsidiaries (incorporated by reference to Exhibit 22.1 to the Form 10-Q filed by the Company on October</w:t>
              </w:r>
            </w:hyperlink>
          </w:p>
        </w:tc>
        <w:tc>
          <w:tcPr>
            <w:tcW w:w="0" w:type="dxa"/>
            <w:vAlign w:val="bottom"/>
          </w:tcPr>
          <w:p>
            <w:pPr>
              <w:spacing w:after="0"/>
              <w:rPr>
                <w:sz w:val="1"/>
                <w:szCs w:val="1"/>
                <w:color w:val="auto"/>
              </w:rPr>
            </w:pPr>
          </w:p>
        </w:tc>
      </w:tr>
      <w:tr>
        <w:trPr>
          <w:trHeight w:val="189"/>
        </w:trPr>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5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740" w:type="dxa"/>
            <w:vAlign w:val="bottom"/>
            <w:tcBorders>
              <w:top w:val="single" w:sz="8" w:color="0000FF"/>
              <w:bottom w:val="single" w:sz="8" w:color="0000FF"/>
            </w:tcBorders>
            <w:gridSpan w:val="2"/>
            <w:shd w:val="clear" w:color="auto" w:fill="CFF0FC"/>
          </w:tcPr>
          <w:p>
            <w:pPr>
              <w:spacing w:after="0" w:line="169" w:lineRule="exact"/>
              <w:rPr>
                <w:rFonts w:ascii="Times New Roman" w:cs="Times New Roman" w:eastAsia="Times New Roman" w:hAnsi="Times New Roman"/>
                <w:sz w:val="18"/>
                <w:szCs w:val="18"/>
                <w:color w:val="0000FF"/>
                <w:w w:val="97"/>
              </w:rPr>
            </w:pPr>
            <w:hyperlink r:id="rId350">
              <w:r>
                <w:rPr>
                  <w:rFonts w:ascii="Times New Roman" w:cs="Times New Roman" w:eastAsia="Times New Roman" w:hAnsi="Times New Roman"/>
                  <w:sz w:val="18"/>
                  <w:szCs w:val="18"/>
                  <w:color w:val="0000FF"/>
                  <w:w w:val="97"/>
                </w:rPr>
                <w:t>28, 2021).</w:t>
              </w:r>
            </w:hyperlink>
          </w:p>
        </w:tc>
        <w:tc>
          <w:tcPr>
            <w:tcW w:w="3600" w:type="dxa"/>
            <w:vAlign w:val="bottom"/>
            <w:tcBorders>
              <w:top w:val="single" w:sz="8" w:color="0000FF"/>
              <w:bottom w:val="single" w:sz="8" w:color="CFF0FC"/>
            </w:tcBorders>
            <w:shd w:val="clear" w:color="auto" w:fill="CFF0FC"/>
          </w:tcPr>
          <w:p>
            <w:pPr>
              <w:spacing w:after="0"/>
              <w:rPr>
                <w:sz w:val="16"/>
                <w:szCs w:val="16"/>
                <w:color w:val="auto"/>
              </w:rPr>
            </w:pPr>
          </w:p>
        </w:tc>
        <w:tc>
          <w:tcPr>
            <w:tcW w:w="1360" w:type="dxa"/>
            <w:vAlign w:val="bottom"/>
            <w:tcBorders>
              <w:top w:val="single" w:sz="8" w:color="0000FF"/>
              <w:bottom w:val="single" w:sz="8" w:color="CFF0FC"/>
            </w:tcBorders>
            <w:shd w:val="clear" w:color="auto" w:fill="CFF0FC"/>
          </w:tcPr>
          <w:p>
            <w:pPr>
              <w:spacing w:after="0"/>
              <w:rPr>
                <w:sz w:val="16"/>
                <w:szCs w:val="16"/>
                <w:color w:val="auto"/>
              </w:rPr>
            </w:pPr>
          </w:p>
        </w:tc>
        <w:tc>
          <w:tcPr>
            <w:tcW w:w="70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340" w:type="dxa"/>
            <w:vAlign w:val="bottom"/>
            <w:tcBorders>
              <w:top w:val="single" w:sz="8" w:color="0000FF"/>
              <w:bottom w:val="single" w:sz="8" w:color="CFF0FC"/>
            </w:tcBorders>
            <w:shd w:val="clear" w:color="auto" w:fill="CFF0FC"/>
          </w:tcPr>
          <w:p>
            <w:pPr>
              <w:spacing w:after="0"/>
              <w:rPr>
                <w:sz w:val="16"/>
                <w:szCs w:val="16"/>
                <w:color w:val="auto"/>
              </w:rPr>
            </w:pPr>
          </w:p>
        </w:tc>
        <w:tc>
          <w:tcPr>
            <w:tcW w:w="1520" w:type="dxa"/>
            <w:vAlign w:val="bottom"/>
            <w:tcBorders>
              <w:top w:val="single" w:sz="8" w:color="0000FF"/>
              <w:bottom w:val="single" w:sz="8" w:color="CFF0FC"/>
            </w:tcBorders>
            <w:shd w:val="clear" w:color="auto" w:fill="CFF0FC"/>
          </w:tcPr>
          <w:p>
            <w:pPr>
              <w:spacing w:after="0"/>
              <w:rPr>
                <w:sz w:val="16"/>
                <w:szCs w:val="16"/>
                <w:color w:val="auto"/>
              </w:rPr>
            </w:pPr>
          </w:p>
        </w:tc>
        <w:tc>
          <w:tcPr>
            <w:tcW w:w="780" w:type="dxa"/>
            <w:vAlign w:val="bottom"/>
            <w:tcBorders>
              <w:top w:val="single" w:sz="8" w:color="0000FF"/>
              <w:bottom w:val="single" w:sz="8" w:color="CFF0FC"/>
            </w:tcBorders>
            <w:shd w:val="clear" w:color="auto" w:fill="CFF0FC"/>
          </w:tcPr>
          <w:p>
            <w:pPr>
              <w:spacing w:after="0"/>
              <w:rPr>
                <w:sz w:val="16"/>
                <w:szCs w:val="16"/>
                <w:color w:val="auto"/>
              </w:rPr>
            </w:pPr>
          </w:p>
        </w:tc>
        <w:tc>
          <w:tcPr>
            <w:tcW w:w="300" w:type="dxa"/>
            <w:vAlign w:val="bottom"/>
            <w:tcBorders>
              <w:top w:val="single" w:sz="8" w:color="0000FF"/>
              <w:bottom w:val="single" w:sz="8" w:color="CFF0FC"/>
            </w:tcBorders>
            <w:shd w:val="clear" w:color="auto" w:fill="CFF0FC"/>
          </w:tcPr>
          <w:p>
            <w:pPr>
              <w:spacing w:after="0"/>
              <w:rPr>
                <w:sz w:val="16"/>
                <w:szCs w:val="16"/>
                <w:color w:val="auto"/>
              </w:rPr>
            </w:pPr>
          </w:p>
        </w:tc>
        <w:tc>
          <w:tcPr>
            <w:tcW w:w="240" w:type="dxa"/>
            <w:vAlign w:val="bottom"/>
            <w:tcBorders>
              <w:top w:val="single" w:sz="8" w:color="0000FF"/>
              <w:bottom w:val="single" w:sz="8" w:color="CFF0FC"/>
            </w:tcBorders>
            <w:shd w:val="clear" w:color="auto" w:fill="CFF0FC"/>
          </w:tcPr>
          <w:p>
            <w:pPr>
              <w:spacing w:after="0"/>
              <w:rPr>
                <w:sz w:val="16"/>
                <w:szCs w:val="16"/>
                <w:color w:val="auto"/>
              </w:rPr>
            </w:pPr>
          </w:p>
        </w:tc>
        <w:tc>
          <w:tcPr>
            <w:tcW w:w="80" w:type="dxa"/>
            <w:vAlign w:val="bottom"/>
            <w:tcBorders>
              <w:top w:val="single" w:sz="8" w:color="0000FF"/>
              <w:bottom w:val="single" w:sz="8" w:color="CFF0FC"/>
            </w:tcBorders>
            <w:shd w:val="clear" w:color="auto" w:fill="CFF0FC"/>
          </w:tcPr>
          <w:p>
            <w:pPr>
              <w:spacing w:after="0"/>
              <w:rPr>
                <w:sz w:val="16"/>
                <w:szCs w:val="16"/>
                <w:color w:val="auto"/>
              </w:rPr>
            </w:pPr>
          </w:p>
        </w:tc>
        <w:tc>
          <w:tcPr>
            <w:tcW w:w="2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120" w:type="dxa"/>
            <w:vAlign w:val="bottom"/>
            <w:tcBorders>
              <w:top w:val="single" w:sz="8" w:color="0000FF"/>
              <w:bottom w:val="single" w:sz="8" w:color="CFF0FC"/>
            </w:tcBorders>
            <w:shd w:val="clear" w:color="auto" w:fill="CFF0FC"/>
          </w:tcPr>
          <w:p>
            <w:pPr>
              <w:spacing w:after="0"/>
              <w:rPr>
                <w:sz w:val="16"/>
                <w:szCs w:val="16"/>
                <w:color w:val="auto"/>
              </w:rPr>
            </w:pPr>
          </w:p>
        </w:tc>
        <w:tc>
          <w:tcPr>
            <w:tcW w:w="20" w:type="dxa"/>
            <w:vAlign w:val="bottom"/>
            <w:tcBorders>
              <w:top w:val="single" w:sz="8" w:color="0000FF"/>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0"/>
                <w:szCs w:val="20"/>
                <w:color w:val="auto"/>
              </w:rPr>
            </w:pPr>
          </w:p>
        </w:tc>
        <w:tc>
          <w:tcPr>
            <w:tcW w:w="10260" w:type="dxa"/>
            <w:vAlign w:val="bottom"/>
            <w:gridSpan w:val="19"/>
            <w:vMerge w:val="restart"/>
          </w:tcPr>
          <w:p>
            <w:pPr>
              <w:ind w:left="200"/>
              <w:spacing w:after="0"/>
              <w:rPr>
                <w:sz w:val="20"/>
                <w:szCs w:val="20"/>
                <w:color w:val="auto"/>
              </w:rPr>
            </w:pPr>
            <w:r>
              <w:rPr>
                <w:rFonts w:ascii="Times New Roman" w:cs="Times New Roman" w:eastAsia="Times New Roman" w:hAnsi="Times New Roman"/>
                <w:sz w:val="18"/>
                <w:szCs w:val="18"/>
                <w:color w:val="0000FF"/>
              </w:rPr>
              <w:t>Certification of the Registrant’s Chief Executive Officer, Carl A. Hess, pursuant to Rule 13a-14 of the Securities Exchange Act of 1934.*</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60" w:type="dxa"/>
            <w:vAlign w:val="bottom"/>
            <w:gridSpan w:val="1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gridSpan w:val="2"/>
            <w:shd w:val="clear" w:color="auto" w:fill="CFF0FC"/>
          </w:tcPr>
          <w:p>
            <w:pPr>
              <w:ind w:left="4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FF0FC"/>
          </w:tcPr>
          <w:p>
            <w:pPr>
              <w:spacing w:after="0"/>
              <w:rPr>
                <w:sz w:val="15"/>
                <w:szCs w:val="15"/>
                <w:color w:val="auto"/>
              </w:rPr>
            </w:pPr>
          </w:p>
        </w:tc>
        <w:tc>
          <w:tcPr>
            <w:tcW w:w="10260" w:type="dxa"/>
            <w:vAlign w:val="bottom"/>
            <w:gridSpan w:val="19"/>
            <w:shd w:val="clear" w:color="auto" w:fill="CFF0FC"/>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Financial Officer, Andrew J. Krasner, pursuant to Rule 13a-14 of the Securities Exchange Act of</w:t>
            </w:r>
          </w:p>
        </w:tc>
        <w:tc>
          <w:tcPr>
            <w:tcW w:w="0" w:type="dxa"/>
            <w:vAlign w:val="bottom"/>
          </w:tcPr>
          <w:p>
            <w:pPr>
              <w:spacing w:after="0"/>
              <w:rPr>
                <w:sz w:val="1"/>
                <w:szCs w:val="1"/>
                <w:color w:val="auto"/>
              </w:rPr>
            </w:pPr>
          </w:p>
        </w:tc>
      </w:tr>
      <w:tr>
        <w:trPr>
          <w:trHeight w:val="189"/>
        </w:trPr>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5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500" w:type="dxa"/>
            <w:vAlign w:val="bottom"/>
            <w:tcBorders>
              <w:top w:val="single" w:sz="8" w:color="0000FF"/>
              <w:bottom w:val="single" w:sz="8" w:color="0000FF"/>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w w:val="96"/>
              </w:rPr>
              <w:t>1934.*</w:t>
            </w:r>
          </w:p>
        </w:tc>
        <w:tc>
          <w:tcPr>
            <w:tcW w:w="240" w:type="dxa"/>
            <w:vAlign w:val="bottom"/>
            <w:tcBorders>
              <w:top w:val="single" w:sz="8" w:color="0000FF"/>
              <w:bottom w:val="single" w:sz="8" w:color="CFF0FC"/>
            </w:tcBorders>
            <w:shd w:val="clear" w:color="auto" w:fill="CFF0FC"/>
          </w:tcPr>
          <w:p>
            <w:pPr>
              <w:spacing w:after="0"/>
              <w:rPr>
                <w:sz w:val="16"/>
                <w:szCs w:val="16"/>
                <w:color w:val="auto"/>
              </w:rPr>
            </w:pPr>
          </w:p>
        </w:tc>
        <w:tc>
          <w:tcPr>
            <w:tcW w:w="3600" w:type="dxa"/>
            <w:vAlign w:val="bottom"/>
            <w:tcBorders>
              <w:top w:val="single" w:sz="8" w:color="0000FF"/>
              <w:bottom w:val="single" w:sz="8" w:color="CFF0FC"/>
            </w:tcBorders>
            <w:shd w:val="clear" w:color="auto" w:fill="CFF0FC"/>
          </w:tcPr>
          <w:p>
            <w:pPr>
              <w:spacing w:after="0"/>
              <w:rPr>
                <w:sz w:val="16"/>
                <w:szCs w:val="16"/>
                <w:color w:val="auto"/>
              </w:rPr>
            </w:pPr>
          </w:p>
        </w:tc>
        <w:tc>
          <w:tcPr>
            <w:tcW w:w="1360" w:type="dxa"/>
            <w:vAlign w:val="bottom"/>
            <w:tcBorders>
              <w:top w:val="single" w:sz="8" w:color="0000FF"/>
              <w:bottom w:val="single" w:sz="8" w:color="CFF0FC"/>
            </w:tcBorders>
            <w:shd w:val="clear" w:color="auto" w:fill="CFF0FC"/>
          </w:tcPr>
          <w:p>
            <w:pPr>
              <w:spacing w:after="0"/>
              <w:rPr>
                <w:sz w:val="16"/>
                <w:szCs w:val="16"/>
                <w:color w:val="auto"/>
              </w:rPr>
            </w:pPr>
          </w:p>
        </w:tc>
        <w:tc>
          <w:tcPr>
            <w:tcW w:w="70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340" w:type="dxa"/>
            <w:vAlign w:val="bottom"/>
            <w:tcBorders>
              <w:top w:val="single" w:sz="8" w:color="0000FF"/>
              <w:bottom w:val="single" w:sz="8" w:color="CFF0FC"/>
            </w:tcBorders>
            <w:shd w:val="clear" w:color="auto" w:fill="CFF0FC"/>
          </w:tcPr>
          <w:p>
            <w:pPr>
              <w:spacing w:after="0"/>
              <w:rPr>
                <w:sz w:val="16"/>
                <w:szCs w:val="16"/>
                <w:color w:val="auto"/>
              </w:rPr>
            </w:pPr>
          </w:p>
        </w:tc>
        <w:tc>
          <w:tcPr>
            <w:tcW w:w="1520" w:type="dxa"/>
            <w:vAlign w:val="bottom"/>
            <w:tcBorders>
              <w:top w:val="single" w:sz="8" w:color="0000FF"/>
              <w:bottom w:val="single" w:sz="8" w:color="CFF0FC"/>
            </w:tcBorders>
            <w:shd w:val="clear" w:color="auto" w:fill="CFF0FC"/>
          </w:tcPr>
          <w:p>
            <w:pPr>
              <w:spacing w:after="0"/>
              <w:rPr>
                <w:sz w:val="16"/>
                <w:szCs w:val="16"/>
                <w:color w:val="auto"/>
              </w:rPr>
            </w:pPr>
          </w:p>
        </w:tc>
        <w:tc>
          <w:tcPr>
            <w:tcW w:w="780" w:type="dxa"/>
            <w:vAlign w:val="bottom"/>
            <w:tcBorders>
              <w:top w:val="single" w:sz="8" w:color="0000FF"/>
              <w:bottom w:val="single" w:sz="8" w:color="CFF0FC"/>
            </w:tcBorders>
            <w:shd w:val="clear" w:color="auto" w:fill="CFF0FC"/>
          </w:tcPr>
          <w:p>
            <w:pPr>
              <w:spacing w:after="0"/>
              <w:rPr>
                <w:sz w:val="16"/>
                <w:szCs w:val="16"/>
                <w:color w:val="auto"/>
              </w:rPr>
            </w:pPr>
          </w:p>
        </w:tc>
        <w:tc>
          <w:tcPr>
            <w:tcW w:w="300" w:type="dxa"/>
            <w:vAlign w:val="bottom"/>
            <w:tcBorders>
              <w:top w:val="single" w:sz="8" w:color="0000FF"/>
              <w:bottom w:val="single" w:sz="8" w:color="CFF0FC"/>
            </w:tcBorders>
            <w:shd w:val="clear" w:color="auto" w:fill="CFF0FC"/>
          </w:tcPr>
          <w:p>
            <w:pPr>
              <w:spacing w:after="0"/>
              <w:rPr>
                <w:sz w:val="16"/>
                <w:szCs w:val="16"/>
                <w:color w:val="auto"/>
              </w:rPr>
            </w:pPr>
          </w:p>
        </w:tc>
        <w:tc>
          <w:tcPr>
            <w:tcW w:w="240" w:type="dxa"/>
            <w:vAlign w:val="bottom"/>
            <w:tcBorders>
              <w:top w:val="single" w:sz="8" w:color="0000FF"/>
              <w:bottom w:val="single" w:sz="8" w:color="CFF0FC"/>
            </w:tcBorders>
            <w:shd w:val="clear" w:color="auto" w:fill="CFF0FC"/>
          </w:tcPr>
          <w:p>
            <w:pPr>
              <w:spacing w:after="0"/>
              <w:rPr>
                <w:sz w:val="16"/>
                <w:szCs w:val="16"/>
                <w:color w:val="auto"/>
              </w:rPr>
            </w:pPr>
          </w:p>
        </w:tc>
        <w:tc>
          <w:tcPr>
            <w:tcW w:w="80" w:type="dxa"/>
            <w:vAlign w:val="bottom"/>
            <w:tcBorders>
              <w:top w:val="single" w:sz="8" w:color="0000FF"/>
              <w:bottom w:val="single" w:sz="8" w:color="CFF0FC"/>
            </w:tcBorders>
            <w:shd w:val="clear" w:color="auto" w:fill="CFF0FC"/>
          </w:tcPr>
          <w:p>
            <w:pPr>
              <w:spacing w:after="0"/>
              <w:rPr>
                <w:sz w:val="16"/>
                <w:szCs w:val="16"/>
                <w:color w:val="auto"/>
              </w:rPr>
            </w:pPr>
          </w:p>
        </w:tc>
        <w:tc>
          <w:tcPr>
            <w:tcW w:w="2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5"/>
                <w:szCs w:val="15"/>
                <w:color w:val="auto"/>
              </w:rPr>
            </w:pPr>
          </w:p>
        </w:tc>
        <w:tc>
          <w:tcPr>
            <w:tcW w:w="1026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and Chief Financial Officer, Andrew J. Krasner, pursuant to 18</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7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 2002.*</w:t>
            </w:r>
          </w:p>
        </w:tc>
        <w:tc>
          <w:tcPr>
            <w:tcW w:w="3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80" w:type="dxa"/>
            <w:vAlign w:val="bottom"/>
            <w:gridSpan w:val="3"/>
            <w:shd w:val="clear" w:color="auto" w:fill="CFF0FC"/>
          </w:tcPr>
          <w:p>
            <w:pPr>
              <w:ind w:left="40"/>
              <w:spacing w:after="0" w:line="170" w:lineRule="exact"/>
              <w:rPr>
                <w:sz w:val="20"/>
                <w:szCs w:val="20"/>
                <w:color w:val="auto"/>
              </w:rPr>
            </w:pPr>
            <w:r>
              <w:rPr>
                <w:rFonts w:ascii="Times New Roman" w:cs="Times New Roman" w:eastAsia="Times New Roman" w:hAnsi="Times New Roman"/>
                <w:sz w:val="18"/>
                <w:szCs w:val="18"/>
                <w:color w:val="auto"/>
              </w:rPr>
              <w:t>101.INS</w:t>
            </w:r>
          </w:p>
        </w:tc>
        <w:tc>
          <w:tcPr>
            <w:tcW w:w="10260" w:type="dxa"/>
            <w:vAlign w:val="bottom"/>
            <w:gridSpan w:val="19"/>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60" w:type="dxa"/>
            <w:vAlign w:val="bottom"/>
            <w:gridSpan w:val="19"/>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bl>
    <w:p>
      <w:pPr>
        <w:ind w:left="40"/>
        <w:spacing w:after="0" w:line="221" w:lineRule="auto"/>
        <w:rPr>
          <w:sz w:val="20"/>
          <w:szCs w:val="20"/>
          <w:color w:val="auto"/>
        </w:rPr>
      </w:pPr>
      <w:r>
        <w:rPr>
          <w:rFonts w:ascii="Times New Roman" w:cs="Times New Roman" w:eastAsia="Times New Roman" w:hAnsi="Times New Roman"/>
          <w:sz w:val="18"/>
          <w:szCs w:val="18"/>
          <w:color w:val="auto"/>
        </w:rPr>
        <w:t>101.SCH</w:t>
      </w: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571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
        <w:spacing w:after="0" w:line="229" w:lineRule="auto"/>
        <w:rPr>
          <w:sz w:val="20"/>
          <w:szCs w:val="20"/>
          <w:color w:val="auto"/>
        </w:rPr>
      </w:pPr>
      <w:r>
        <w:rPr>
          <w:rFonts w:ascii="Times New Roman" w:cs="Times New Roman" w:eastAsia="Times New Roman" w:hAnsi="Times New Roman"/>
          <w:sz w:val="18"/>
          <w:szCs w:val="18"/>
          <w:color w:val="auto"/>
        </w:rPr>
        <w:t>101.CAL</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ind w:left="40"/>
        <w:spacing w:after="0" w:line="229" w:lineRule="auto"/>
        <w:rPr>
          <w:sz w:val="20"/>
          <w:szCs w:val="20"/>
          <w:color w:val="auto"/>
        </w:rPr>
      </w:pPr>
      <w:r>
        <w:rPr>
          <w:rFonts w:ascii="Times New Roman" w:cs="Times New Roman" w:eastAsia="Times New Roman" w:hAnsi="Times New Roman"/>
          <w:sz w:val="18"/>
          <w:szCs w:val="18"/>
          <w:color w:val="auto"/>
        </w:rPr>
        <w:t>101.DEF</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571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
        <w:spacing w:after="0" w:line="229" w:lineRule="auto"/>
        <w:rPr>
          <w:sz w:val="20"/>
          <w:szCs w:val="20"/>
          <w:color w:val="auto"/>
        </w:rPr>
      </w:pPr>
      <w:r>
        <w:rPr>
          <w:rFonts w:ascii="Times New Roman" w:cs="Times New Roman" w:eastAsia="Times New Roman" w:hAnsi="Times New Roman"/>
          <w:sz w:val="18"/>
          <w:szCs w:val="18"/>
          <w:color w:val="auto"/>
        </w:rPr>
        <w:t>101.LAB</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ind w:left="40"/>
        <w:spacing w:after="0" w:line="229" w:lineRule="auto"/>
        <w:rPr>
          <w:sz w:val="20"/>
          <w:szCs w:val="20"/>
          <w:color w:val="auto"/>
        </w:rPr>
      </w:pPr>
      <w:r>
        <w:rPr>
          <w:rFonts w:ascii="Times New Roman" w:cs="Times New Roman" w:eastAsia="Times New Roman" w:hAnsi="Times New Roman"/>
          <w:sz w:val="18"/>
          <w:szCs w:val="18"/>
          <w:color w:val="auto"/>
        </w:rPr>
        <w:t>101.PRE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440" w:firstLine="48"/>
        <w:spacing w:after="0" w:line="392" w:lineRule="auto"/>
        <w:tabs>
          <w:tab w:leader="none" w:pos="11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9512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A. Hess</w:t>
            </w:r>
          </w:p>
        </w:tc>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Carl A. Hess</w:t>
            </w:r>
          </w:p>
        </w:tc>
        <w:tc>
          <w:tcPr>
            <w:tcW w:w="5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2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J. Krasner</w:t>
            </w:r>
          </w:p>
        </w:tc>
        <w:tc>
          <w:tcPr>
            <w:tcW w:w="5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Andrew J. Krasner</w:t>
            </w:r>
          </w:p>
        </w:tc>
        <w:tc>
          <w:tcPr>
            <w:tcW w:w="5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2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Joseph S. Kurpis</w:t>
            </w:r>
          </w:p>
        </w:tc>
        <w:tc>
          <w:tcPr>
            <w:tcW w:w="5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Joseph S. Kurpis</w:t>
            </w:r>
          </w:p>
        </w:tc>
        <w:tc>
          <w:tcPr>
            <w:tcW w:w="58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24"/>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594"/>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780"/>
        <w:spacing w:after="0" w:line="24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 AND 15d-14 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04"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50"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80" w:right="320" w:hanging="472"/>
        <w:spacing w:after="0" w:line="258"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61" w:lineRule="exact"/>
        <w:rPr>
          <w:rFonts w:ascii="Times New Roman" w:cs="Times New Roman" w:eastAsia="Times New Roman" w:hAnsi="Times New Roman"/>
          <w:sz w:val="18"/>
          <w:szCs w:val="18"/>
          <w:color w:val="auto"/>
        </w:rPr>
      </w:pPr>
    </w:p>
    <w:p>
      <w:pPr>
        <w:ind w:left="960" w:right="60" w:hanging="473"/>
        <w:spacing w:after="0" w:line="258"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60" w:right="380" w:hanging="473"/>
        <w:spacing w:after="0" w:line="258"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60" w:right="540" w:hanging="473"/>
        <w:spacing w:after="0" w:line="266"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60" w:hanging="473"/>
        <w:spacing w:after="0" w:line="250"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480" w:right="180" w:hanging="472"/>
        <w:spacing w:after="0" w:line="282"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w:t>
      </w:r>
    </w:p>
    <w:p>
      <w:pPr>
        <w:spacing w:after="0" w:line="40" w:lineRule="exact"/>
        <w:rPr>
          <w:rFonts w:ascii="Times New Roman" w:cs="Times New Roman" w:eastAsia="Times New Roman" w:hAnsi="Times New Roman"/>
          <w:sz w:val="18"/>
          <w:szCs w:val="18"/>
          <w:color w:val="auto"/>
        </w:rPr>
      </w:pPr>
    </w:p>
    <w:p>
      <w:pPr>
        <w:ind w:left="960" w:right="800" w:hanging="473"/>
        <w:spacing w:after="0" w:line="266"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480" w:hanging="473"/>
        <w:spacing w:after="0" w:line="266" w:lineRule="auto"/>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04"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03" w:lineRule="exact"/>
        <w:rPr>
          <w:rFonts w:ascii="Times New Roman" w:cs="Times New Roman" w:eastAsia="Times New Roman" w:hAnsi="Times New Roman"/>
          <w:sz w:val="18"/>
          <w:szCs w:val="18"/>
          <w:color w:val="auto"/>
        </w:rPr>
      </w:pPr>
    </w:p>
    <w:p>
      <w:pPr>
        <w:jc w:val="both"/>
        <w:ind w:left="480" w:right="280" w:hanging="472"/>
        <w:spacing w:after="0" w:line="258"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480" w:right="240" w:hanging="472"/>
        <w:spacing w:after="0" w:line="266"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80" w:right="320" w:hanging="472"/>
        <w:spacing w:after="0" w:line="250"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82" w:lineRule="exact"/>
        <w:rPr>
          <w:rFonts w:ascii="Times New Roman" w:cs="Times New Roman" w:eastAsia="Times New Roman" w:hAnsi="Times New Roman"/>
          <w:sz w:val="18"/>
          <w:szCs w:val="18"/>
          <w:color w:val="auto"/>
        </w:rPr>
      </w:pPr>
    </w:p>
    <w:p>
      <w:pPr>
        <w:ind w:left="960" w:right="60" w:hanging="473"/>
        <w:spacing w:after="0" w:line="250"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960" w:right="380" w:hanging="473"/>
        <w:spacing w:after="0" w:line="250"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960" w:right="540" w:hanging="473"/>
        <w:spacing w:after="0" w:line="266"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60" w:right="60" w:hanging="473"/>
        <w:spacing w:after="0" w:line="258"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480" w:right="180" w:hanging="472"/>
        <w:spacing w:after="0" w:line="266"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to the audit committee of the registrant’s board of directors (or persons performing the equivalent function):</w:t>
      </w:r>
    </w:p>
    <w:p>
      <w:pPr>
        <w:spacing w:after="0" w:line="67" w:lineRule="exact"/>
        <w:rPr>
          <w:rFonts w:ascii="Times New Roman" w:cs="Times New Roman" w:eastAsia="Times New Roman" w:hAnsi="Times New Roman"/>
          <w:sz w:val="18"/>
          <w:szCs w:val="18"/>
          <w:color w:val="auto"/>
        </w:rPr>
      </w:pPr>
    </w:p>
    <w:p>
      <w:pPr>
        <w:ind w:left="960" w:right="800" w:hanging="473"/>
        <w:spacing w:after="0" w:line="266"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60" w:right="480" w:hanging="473"/>
        <w:spacing w:after="0" w:line="282" w:lineRule="auto"/>
        <w:tabs>
          <w:tab w:leader="none" w:pos="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Willis Towers Watson Public Limited Company (the “Company”), for purposes of 18 U.S.C. Section 1350, as adopted pursuant to Section 906 of the Sarbanes-Oxley Act of 2002, that to the best of his knowledge:</w:t>
      </w:r>
    </w:p>
    <w:p>
      <w:pPr>
        <w:spacing w:after="0" w:line="54" w:lineRule="exact"/>
        <w:rPr>
          <w:sz w:val="20"/>
          <w:szCs w:val="20"/>
          <w:color w:val="auto"/>
        </w:rPr>
      </w:pPr>
    </w:p>
    <w:p>
      <w:pPr>
        <w:ind w:left="1040" w:right="160" w:hanging="567"/>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2022, fully complies with the requirements of Section 13(a) or Section 15(d) of the Securities Exchange Act of 1934; and</w:t>
      </w:r>
    </w:p>
    <w:p>
      <w:pPr>
        <w:spacing w:after="0" w:line="40" w:lineRule="exact"/>
        <w:rPr>
          <w:rFonts w:ascii="Times New Roman" w:cs="Times New Roman" w:eastAsia="Times New Roman" w:hAnsi="Times New Roman"/>
          <w:sz w:val="18"/>
          <w:szCs w:val="18"/>
          <w:color w:val="auto"/>
        </w:rPr>
      </w:pPr>
    </w:p>
    <w:p>
      <w:pPr>
        <w:ind w:left="1040" w:right="480" w:hanging="567"/>
        <w:spacing w:after="0" w:line="266"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Public Limited Company and will be retained by Willis Towers Watson Public Limited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lowerRoman"/>
      <w:start w:val="1"/>
    </w:lvl>
  </w:abstractNum>
  <w:abstractNum w:abstractNumId="5">
    <w:nsid w:val="62BBD95A"/>
    <w:multiLevelType w:val="hybridMultilevel"/>
    <w:lvl w:ilvl="0">
      <w:lvlJc w:val="left"/>
      <w:lvlText w:val="(%1)"/>
      <w:numFmt w:val="lowerRoman"/>
      <w:start w:val="1"/>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emdash "/>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lowerRoman"/>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lowerRoman"/>
      <w:start w:val="1"/>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Roman"/>
      <w:start w:val="1"/>
    </w:lvl>
  </w:abstractNum>
  <w:abstractNum w:abstractNumId="30">
    <w:nsid w:val="22221A70"/>
    <w:multiLevelType w:val="hybridMultilevel"/>
    <w:lvl w:ilvl="0">
      <w:lvlJc w:val="left"/>
      <w:lvlText w:val="*"/>
      <w:numFmt w:val="bullet"/>
      <w:start w:val="1"/>
    </w:lvl>
    <w:lvl w:ilvl="1">
      <w:lvlJc w:val="left"/>
      <w:lvlText w:val="%2"/>
      <w:numFmt w:val="decimal"/>
      <w:start w:val="10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46" Type="http://schemas.openxmlformats.org/officeDocument/2006/relationships/hyperlink" Target="https://www.sec.gov/Archives/edgar/data/1140536/000119312522058337/d452103dex101.htm" TargetMode="External"/><Relationship Id="rId347" Type="http://schemas.openxmlformats.org/officeDocument/2006/relationships/hyperlink" Target="https://www.sec.gov/Archives/edgar/data/1140536/000119312522058337/d452103dex102.htm" TargetMode="External"/><Relationship Id="rId348" Type="http://schemas.openxmlformats.org/officeDocument/2006/relationships/hyperlink" Target="https://www.sec.gov/Archives/edgar/data/1140536/000119312522058337/d452103dex103.htm" TargetMode="External"/><Relationship Id="rId349" Type="http://schemas.openxmlformats.org/officeDocument/2006/relationships/hyperlink" Target="https://www.sec.gov/Archives/edgar/data/1140536/000119312522058337/d452103dex104.htm" TargetMode="External"/><Relationship Id="rId350" Type="http://schemas.openxmlformats.org/officeDocument/2006/relationships/hyperlink" Target="https://www.sec.gov/Archives/edgar/data/1140536/000156459021052630/wltw-ex221_1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2022-04-28T16:37:12Z</dcterms:created>
  <dcterms:modified xsi:type="dcterms:W3CDTF">2022-04-28T16:37:12Z</dcterms:modified>
</cp:coreProperties>
</file>