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4819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September 30,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pacing w:after="0" w:line="200" w:lineRule="exact"/>
        <w:rPr>
          <w:sz w:val="24"/>
          <w:szCs w:val="24"/>
          <w:color w:val="auto"/>
        </w:rPr>
      </w:pPr>
    </w:p>
    <w:p>
      <w:pPr>
        <w:spacing w:after="0" w:line="21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5"/>
          <w:szCs w:val="25"/>
          <w:b w:val="1"/>
          <w:bCs w:val="1"/>
          <w:color w:val="auto"/>
        </w:rPr>
        <w:t>Willis Towers Watson Public Limited Company</w:t>
      </w:r>
    </w:p>
    <w:p>
      <w:pPr>
        <w:spacing w:after="0" w:line="47" w:lineRule="exact"/>
        <w:rPr>
          <w:sz w:val="24"/>
          <w:szCs w:val="24"/>
          <w:color w:val="auto"/>
        </w:rPr>
      </w:pPr>
    </w:p>
    <w:p>
      <w:pPr>
        <w:jc w:val="center"/>
        <w:ind w:right="7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1481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408" w:right="319" w:bottom="1440" w:gutter="0" w:footer="0" w:header="0"/>
        </w:sectPr>
      </w:pPr>
    </w:p>
    <w:p>
      <w:pPr>
        <w:spacing w:after="0" w:line="200" w:lineRule="exact"/>
        <w:rPr>
          <w:sz w:val="24"/>
          <w:szCs w:val="24"/>
          <w:color w:val="auto"/>
        </w:rPr>
      </w:pPr>
    </w:p>
    <w:p>
      <w:pPr>
        <w:spacing w:after="0" w:line="229" w:lineRule="exact"/>
        <w:rPr>
          <w:sz w:val="24"/>
          <w:szCs w:val="24"/>
          <w:color w:val="auto"/>
        </w:rPr>
      </w:pPr>
    </w:p>
    <w:p>
      <w:pPr>
        <w:ind w:left="1664"/>
        <w:spacing w:after="0"/>
        <w:rPr>
          <w:sz w:val="20"/>
          <w:szCs w:val="20"/>
          <w:color w:val="auto"/>
        </w:rPr>
      </w:pPr>
      <w:r>
        <w:rPr>
          <w:rFonts w:ascii="Times New Roman" w:cs="Times New Roman" w:eastAsia="Times New Roman" w:hAnsi="Times New Roman"/>
          <w:sz w:val="16"/>
          <w:szCs w:val="16"/>
          <w:b w:val="1"/>
          <w:bCs w:val="1"/>
          <w:color w:val="auto"/>
        </w:rPr>
        <w:t>Ireland</w:t>
      </w:r>
    </w:p>
    <w:p>
      <w:pPr>
        <w:spacing w:after="0" w:line="26" w:lineRule="exact"/>
        <w:rPr>
          <w:sz w:val="24"/>
          <w:szCs w:val="24"/>
          <w:color w:val="auto"/>
        </w:rPr>
      </w:pPr>
    </w:p>
    <w:p>
      <w:pPr>
        <w:ind w:left="1004"/>
        <w:spacing w:after="0"/>
        <w:rPr>
          <w:sz w:val="20"/>
          <w:szCs w:val="20"/>
          <w:color w:val="auto"/>
        </w:rPr>
      </w:pPr>
      <w:r>
        <w:rPr>
          <w:rFonts w:ascii="Times New Roman" w:cs="Times New Roman" w:eastAsia="Times New Roman" w:hAnsi="Times New Roman"/>
          <w:sz w:val="15"/>
          <w:szCs w:val="15"/>
          <w:b w:val="1"/>
          <w:bCs w:val="1"/>
          <w:color w:val="auto"/>
        </w:rPr>
        <w:t>(State or other jurisdiction</w:t>
      </w:r>
    </w:p>
    <w:p>
      <w:pPr>
        <w:spacing w:after="0" w:line="19" w:lineRule="exact"/>
        <w:rPr>
          <w:sz w:val="24"/>
          <w:szCs w:val="24"/>
          <w:color w:val="auto"/>
        </w:rPr>
      </w:pPr>
    </w:p>
    <w:p>
      <w:pPr>
        <w:ind w:left="1324"/>
        <w:spacing w:after="0"/>
        <w:rPr>
          <w:sz w:val="20"/>
          <w:szCs w:val="20"/>
          <w:color w:val="auto"/>
        </w:rPr>
      </w:pPr>
      <w:r>
        <w:rPr>
          <w:rFonts w:ascii="Times New Roman" w:cs="Times New Roman" w:eastAsia="Times New Roman" w:hAnsi="Times New Roman"/>
          <w:sz w:val="16"/>
          <w:szCs w:val="16"/>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6"/>
          <w:szCs w:val="16"/>
          <w:b w:val="1"/>
          <w:bCs w:val="1"/>
          <w:color w:val="auto"/>
        </w:rPr>
        <w:t>001-16503</w:t>
      </w:r>
    </w:p>
    <w:p>
      <w:pPr>
        <w:spacing w:after="0" w:line="26"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6"/>
          <w:szCs w:val="16"/>
          <w:b w:val="1"/>
          <w:bCs w:val="1"/>
          <w:color w:val="auto"/>
        </w:rPr>
        <w:t>(Commission</w:t>
      </w:r>
    </w:p>
    <w:p>
      <w:pPr>
        <w:spacing w:after="0" w:line="7"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5"/>
          <w:szCs w:val="15"/>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98-0352587</w:t>
      </w:r>
    </w:p>
    <w:p>
      <w:pPr>
        <w:spacing w:after="0" w:line="26"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7"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5"/>
          <w:szCs w:val="15"/>
          <w:b w:val="1"/>
          <w:bCs w:val="1"/>
          <w:color w:val="auto"/>
        </w:rPr>
        <w:t>Identification No.)</w:t>
      </w:r>
    </w:p>
    <w:p>
      <w:pPr>
        <w:spacing w:after="0" w:line="191" w:lineRule="exact"/>
        <w:rPr>
          <w:sz w:val="24"/>
          <w:szCs w:val="24"/>
          <w:color w:val="auto"/>
        </w:rPr>
      </w:pPr>
    </w:p>
    <w:p>
      <w:pPr>
        <w:sectPr>
          <w:pgSz w:w="11900" w:h="16838" w:orient="portrait"/>
          <w:cols w:equalWidth="0" w:num="3">
            <w:col w:w="4584" w:space="720"/>
            <w:col w:w="2820" w:space="720"/>
            <w:col w:w="2420"/>
          </w:cols>
          <w:pgMar w:left="316" w:top="408" w:right="31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c/o Willis Group Limited, 51 Lime Street, London, EC3M 7DQ, England</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(Address, including Zip Code, of Principal Executive Offices)</w:t>
      </w:r>
    </w:p>
    <w:p>
      <w:pPr>
        <w:spacing w:after="0" w:line="18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code:(011) (44)-(20)-3124-6000</w:t>
      </w:r>
    </w:p>
    <w:p>
      <w:pPr>
        <w:spacing w:after="0" w:line="21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71481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7620"/>
                    </a:xfrm>
                    <a:prstGeom prst="rect">
                      <a:avLst/>
                    </a:prstGeom>
                    <a:noFill/>
                  </pic:spPr>
                </pic:pic>
              </a:graphicData>
            </a:graphic>
          </wp:anchor>
        </w:drawing>
      </w:r>
    </w:p>
    <w:p>
      <w:pPr>
        <w:sectPr>
          <w:pgSz w:w="11900" w:h="16838" w:orient="portrait"/>
          <w:cols w:equalWidth="0" w:num="1">
            <w:col w:w="11264"/>
          </w:cols>
          <w:pgMar w:left="316" w:top="408" w:right="319" w:bottom="1440" w:gutter="0" w:footer="0" w:header="0"/>
          <w:type w:val="continuous"/>
        </w:sectPr>
      </w:pPr>
    </w:p>
    <w:p>
      <w:pPr>
        <w:spacing w:after="0" w:line="200" w:lineRule="exact"/>
        <w:rPr>
          <w:sz w:val="24"/>
          <w:szCs w:val="24"/>
          <w:color w:val="auto"/>
        </w:rPr>
      </w:pPr>
    </w:p>
    <w:p>
      <w:pPr>
        <w:spacing w:after="0" w:line="233"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8" w:lineRule="exact"/>
        <w:rPr>
          <w:sz w:val="24"/>
          <w:szCs w:val="24"/>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98" w:lineRule="exact"/>
        <w:rPr>
          <w:rFonts w:ascii="MS PGothic" w:cs="MS PGothic" w:eastAsia="MS PGothic" w:hAnsi="MS PGothic"/>
          <w:sz w:val="16"/>
          <w:szCs w:val="16"/>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44" w:hanging="444"/>
        <w:spacing w:after="0"/>
        <w:tabs>
          <w:tab w:leader="none" w:pos="44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5" w:lineRule="exact"/>
        <w:rPr>
          <w:sz w:val="24"/>
          <w:szCs w:val="24"/>
          <w:color w:val="auto"/>
        </w:rPr>
      </w:pPr>
    </w:p>
    <w:tbl>
      <w:tblPr>
        <w:tblLayout w:type="fixed"/>
        <w:tblInd w:w="14" w:type="dxa"/>
        <w:tblCellMar>
          <w:top w:w="0" w:type="dxa"/>
          <w:left w:w="0" w:type="dxa"/>
          <w:bottom w:w="0" w:type="dxa"/>
          <w:right w:w="0" w:type="dxa"/>
        </w:tblCellMar>
      </w:tblPr>
      <w:tr>
        <w:trPr>
          <w:trHeight w:val="203"/>
        </w:trPr>
        <w:tc>
          <w:tcPr>
            <w:tcW w:w="4620" w:type="dxa"/>
            <w:vAlign w:val="bottom"/>
            <w:tcBorders>
              <w:top w:val="single" w:sz="8" w:color="auto"/>
              <w:left w:val="single" w:sz="8" w:color="auto"/>
              <w:bottom w:val="single" w:sz="8" w:color="auto"/>
              <w:right w:val="single" w:sz="8" w:color="auto"/>
            </w:tcBorders>
          </w:tcPr>
          <w:p>
            <w:pPr>
              <w:ind w:left="17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83"/>
        </w:trPr>
        <w:tc>
          <w:tcPr>
            <w:tcW w:w="462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Ordinary Shares, nominal value $0.000304635 per share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WTW</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NASDAQ Global Select Market</w:t>
            </w:r>
          </w:p>
        </w:tc>
      </w:tr>
    </w:tbl>
    <w:p>
      <w:pPr>
        <w:spacing w:after="0" w:line="175" w:lineRule="exact"/>
        <w:rPr>
          <w:sz w:val="24"/>
          <w:szCs w:val="24"/>
          <w:color w:val="auto"/>
        </w:rPr>
      </w:pPr>
    </w:p>
    <w:p>
      <w:pPr>
        <w:ind w:left="4" w:right="30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08"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34" w:lineRule="exact"/>
        <w:rPr>
          <w:sz w:val="24"/>
          <w:szCs w:val="24"/>
          <w:color w:val="auto"/>
        </w:rPr>
      </w:pPr>
    </w:p>
    <w:p>
      <w:pPr>
        <w:ind w:left="4" w:right="200"/>
        <w:spacing w:after="0" w:line="21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304165</wp:posOffset>
            </wp:positionV>
            <wp:extent cx="7148195" cy="30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30480"/>
                    </a:xfrm>
                    <a:prstGeom prst="rect">
                      <a:avLst/>
                    </a:prstGeom>
                    <a:noFill/>
                  </pic:spPr>
                </pic:pic>
              </a:graphicData>
            </a:graphic>
          </wp:anchor>
        </w:drawing>
      </w:r>
    </w:p>
    <w:p>
      <w:pPr>
        <w:sectPr>
          <w:pgSz w:w="11900" w:h="16838" w:orient="portrait"/>
          <w:cols w:equalWidth="0" w:num="1">
            <w:col w:w="11264"/>
          </w:cols>
          <w:pgMar w:left="316" w:top="408" w:right="319" w:bottom="1440" w:gutter="0" w:footer="0" w:header="0"/>
          <w:type w:val="continuous"/>
        </w:sectPr>
      </w:pPr>
    </w:p>
    <w:bookmarkStart w:id="1" w:name="page2"/>
    <w:bookmarkEnd w:id="1"/>
    <w:p>
      <w:pPr>
        <w:ind w:left="4"/>
        <w:spacing w:after="0"/>
        <w:tabs>
          <w:tab w:leader="none" w:pos="1004" w:val="left"/>
        </w:tabs>
        <w:rPr>
          <w:sz w:val="20"/>
          <w:szCs w:val="20"/>
          <w:color w:val="auto"/>
        </w:rPr>
      </w:pPr>
      <w:r>
        <w:rPr>
          <w:rFonts w:ascii="Times New Roman" w:cs="Times New Roman" w:eastAsia="Times New Roman" w:hAnsi="Times New Roman"/>
          <w:sz w:val="16"/>
          <w:szCs w:val="16"/>
          <w:b w:val="1"/>
          <w:bCs w:val="1"/>
          <w:color w:val="auto"/>
        </w:rPr>
        <w:t>Item 2.02</w:t>
      </w:r>
      <w:r>
        <w:rPr>
          <w:sz w:val="20"/>
          <w:szCs w:val="20"/>
          <w:color w:val="auto"/>
        </w:rPr>
        <w:tab/>
      </w:r>
      <w:r>
        <w:rPr>
          <w:rFonts w:ascii="Times New Roman" w:cs="Times New Roman" w:eastAsia="Times New Roman" w:hAnsi="Times New Roman"/>
          <w:sz w:val="15"/>
          <w:szCs w:val="15"/>
          <w:b w:val="1"/>
          <w:bCs w:val="1"/>
          <w:color w:val="auto"/>
        </w:rPr>
        <w:t>Results of Operations and Financial Condition.</w:t>
      </w:r>
    </w:p>
    <w:p>
      <w:pPr>
        <w:spacing w:after="0" w:line="200" w:lineRule="exact"/>
        <w:rPr>
          <w:sz w:val="20"/>
          <w:szCs w:val="20"/>
          <w:color w:val="auto"/>
        </w:rPr>
      </w:pPr>
    </w:p>
    <w:p>
      <w:pPr>
        <w:jc w:val="both"/>
        <w:ind w:left="4" w:firstLine="574"/>
        <w:spacing w:after="0" w:line="280" w:lineRule="auto"/>
        <w:rPr>
          <w:sz w:val="20"/>
          <w:szCs w:val="20"/>
          <w:color w:val="auto"/>
        </w:rPr>
      </w:pPr>
      <w:r>
        <w:rPr>
          <w:rFonts w:ascii="Times New Roman" w:cs="Times New Roman" w:eastAsia="Times New Roman" w:hAnsi="Times New Roman"/>
          <w:sz w:val="16"/>
          <w:szCs w:val="16"/>
          <w:color w:val="auto"/>
        </w:rPr>
        <w:t>On October 29, 2026, Willis Towers Watson Public Limited Company (“WTW”) issued a press release announcing its financial results for the period ended September 30, 2026.</w:t>
      </w:r>
    </w:p>
    <w:p>
      <w:pPr>
        <w:spacing w:after="0" w:line="144"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A copy of WTW’s press release is attached hereto as Exhibit 99.1 to this Current Report on Form 8-K and is incorporated by reference herein. A reconciliation between certain non-GAAP financial measures and reported financial results is provided as an attachment to the press release.</w:t>
      </w:r>
    </w:p>
    <w:p>
      <w:pPr>
        <w:spacing w:after="0" w:line="142" w:lineRule="exact"/>
        <w:rPr>
          <w:sz w:val="20"/>
          <w:szCs w:val="20"/>
          <w:color w:val="auto"/>
        </w:rPr>
      </w:pPr>
    </w:p>
    <w:p>
      <w:pPr>
        <w:ind w:left="4"/>
        <w:spacing w:after="0"/>
        <w:tabs>
          <w:tab w:leader="none" w:pos="1004" w:val="left"/>
        </w:tabs>
        <w:rPr>
          <w:sz w:val="20"/>
          <w:szCs w:val="20"/>
          <w:color w:val="auto"/>
        </w:rPr>
      </w:pPr>
      <w:r>
        <w:rPr>
          <w:rFonts w:ascii="Times New Roman" w:cs="Times New Roman" w:eastAsia="Times New Roman" w:hAnsi="Times New Roman"/>
          <w:sz w:val="16"/>
          <w:szCs w:val="16"/>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w:t>
      </w:r>
    </w:p>
    <w:p>
      <w:pPr>
        <w:spacing w:after="0" w:line="200" w:lineRule="exact"/>
        <w:rPr>
          <w:sz w:val="20"/>
          <w:szCs w:val="20"/>
          <w:color w:val="auto"/>
        </w:rPr>
      </w:pPr>
    </w:p>
    <w:p>
      <w:pPr>
        <w:jc w:val="both"/>
        <w:ind w:left="4" w:right="20" w:firstLine="574"/>
        <w:spacing w:after="0" w:line="280" w:lineRule="auto"/>
        <w:rPr>
          <w:sz w:val="20"/>
          <w:szCs w:val="20"/>
          <w:color w:val="auto"/>
        </w:rPr>
      </w:pPr>
      <w:r>
        <w:rPr>
          <w:rFonts w:ascii="Times New Roman" w:cs="Times New Roman" w:eastAsia="Times New Roman" w:hAnsi="Times New Roman"/>
          <w:sz w:val="16"/>
          <w:szCs w:val="16"/>
          <w:color w:val="auto"/>
        </w:rPr>
        <w:t>WTW also posted to the investor relations section of its website a slide presentation which it may refer to during its conference call to discuss the results. The slide presentation is attached hereto as Exhibit 99.2 to this Current Report on Form 8-K and is incorporated by reference herein.</w:t>
      </w:r>
    </w:p>
    <w:p>
      <w:pPr>
        <w:spacing w:after="0" w:line="144" w:lineRule="exact"/>
        <w:rPr>
          <w:sz w:val="20"/>
          <w:szCs w:val="20"/>
          <w:color w:val="auto"/>
        </w:rPr>
      </w:pPr>
    </w:p>
    <w:p>
      <w:pPr>
        <w:jc w:val="both"/>
        <w:ind w:left="4" w:firstLine="574"/>
        <w:spacing w:after="0" w:line="259" w:lineRule="auto"/>
        <w:rPr>
          <w:sz w:val="20"/>
          <w:szCs w:val="20"/>
          <w:color w:val="auto"/>
        </w:rPr>
      </w:pPr>
      <w:r>
        <w:rPr>
          <w:rFonts w:ascii="Times New Roman" w:cs="Times New Roman" w:eastAsia="Times New Roman" w:hAnsi="Times New Roman"/>
          <w:sz w:val="16"/>
          <w:szCs w:val="16"/>
          <w:color w:val="auto"/>
        </w:rPr>
        <w:t>The information contained in Item 2.02 and Item 7.01 of this Current Report on Form 8-K (including Exhibits 99.1 and 99.2) is being furnished and shall not be deemed “filed” for the purposes of Section 18 of the Securities Exchange Act of 1934, as amended (the “Exchange Act”), or otherwise subject to the liabilities of that section. Such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160" w:lineRule="exact"/>
        <w:rPr>
          <w:sz w:val="20"/>
          <w:szCs w:val="20"/>
          <w:color w:val="auto"/>
        </w:rPr>
      </w:pPr>
    </w:p>
    <w:p>
      <w:pPr>
        <w:ind w:left="4"/>
        <w:spacing w:after="0"/>
        <w:tabs>
          <w:tab w:leader="none" w:pos="1004"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200" w:lineRule="exact"/>
        <w:rPr>
          <w:sz w:val="20"/>
          <w:szCs w:val="20"/>
          <w:color w:val="auto"/>
        </w:rPr>
      </w:pPr>
    </w:p>
    <w:p>
      <w:pPr>
        <w:ind w:left="444" w:hanging="444"/>
        <w:spacing w:after="0"/>
        <w:tabs>
          <w:tab w:leader="none" w:pos="44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The following exhibits are furnished herewith:</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3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140" w:type="dxa"/>
            <w:vAlign w:val="bottom"/>
          </w:tcPr>
          <w:p>
            <w:pPr>
              <w:spacing w:after="0"/>
              <w:rPr>
                <w:sz w:val="16"/>
                <w:szCs w:val="16"/>
                <w:color w:val="auto"/>
              </w:rPr>
            </w:pPr>
          </w:p>
        </w:tc>
      </w:tr>
      <w:tr>
        <w:trPr>
          <w:trHeight w:val="210"/>
        </w:trPr>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3"/>
              </w:rPr>
              <w:t>No.</w:t>
            </w:r>
          </w:p>
        </w:tc>
        <w:tc>
          <w:tcPr>
            <w:tcW w:w="340" w:type="dxa"/>
            <w:vAlign w:val="bottom"/>
          </w:tcPr>
          <w:p>
            <w:pPr>
              <w:spacing w:after="0"/>
              <w:rPr>
                <w:sz w:val="18"/>
                <w:szCs w:val="18"/>
                <w:color w:val="auto"/>
              </w:rPr>
            </w:pPr>
          </w:p>
        </w:tc>
        <w:tc>
          <w:tcPr>
            <w:tcW w:w="10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7"/>
        </w:trPr>
        <w:tc>
          <w:tcPr>
            <w:tcW w:w="280" w:type="dxa"/>
            <w:vAlign w:val="bottom"/>
            <w:tcBorders>
              <w:bottom w:val="single" w:sz="8" w:color="0000EE"/>
            </w:tcBorders>
          </w:tcPr>
          <w:p>
            <w:pPr>
              <w:spacing w:after="0" w:line="148" w:lineRule="exact"/>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1</w:t>
            </w: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8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6"/>
                <w:szCs w:val="16"/>
                <w:color w:val="0000EE"/>
                <w:w w:val="99"/>
              </w:rPr>
              <w:t>Press release, dated October 29, 2026, announcing the financial results for the period ended September 30, 2026, for WTW.</w:t>
            </w:r>
          </w:p>
        </w:tc>
        <w:tc>
          <w:tcPr>
            <w:tcW w:w="2140" w:type="dxa"/>
            <w:vAlign w:val="bottom"/>
          </w:tcPr>
          <w:p>
            <w:pPr>
              <w:spacing w:after="0"/>
              <w:rPr>
                <w:sz w:val="12"/>
                <w:szCs w:val="12"/>
                <w:color w:val="auto"/>
              </w:rPr>
            </w:pPr>
          </w:p>
        </w:tc>
      </w:tr>
      <w:tr>
        <w:trPr>
          <w:trHeight w:val="171"/>
        </w:trPr>
        <w:tc>
          <w:tcPr>
            <w:tcW w:w="280" w:type="dxa"/>
            <w:vAlign w:val="bottom"/>
            <w:tcBorders>
              <w:bottom w:val="single" w:sz="8" w:color="0000EE"/>
            </w:tcBorders>
          </w:tcPr>
          <w:p>
            <w:pPr>
              <w:spacing w:after="0" w:line="171" w:lineRule="exact"/>
              <w:rPr>
                <w:sz w:val="20"/>
                <w:szCs w:val="20"/>
                <w:color w:val="auto"/>
              </w:rPr>
            </w:pPr>
            <w:r>
              <w:rPr>
                <w:rFonts w:ascii="Times New Roman" w:cs="Times New Roman" w:eastAsia="Times New Roman" w:hAnsi="Times New Roman"/>
                <w:sz w:val="16"/>
                <w:szCs w:val="16"/>
                <w:color w:val="0000EE"/>
                <w:w w:val="92"/>
              </w:rPr>
              <w:t>99.</w:t>
            </w:r>
            <w:r>
              <w:rPr>
                <w:rFonts w:ascii="Times New Roman" w:cs="Times New Roman" w:eastAsia="Times New Roman" w:hAnsi="Times New Roman"/>
                <w:sz w:val="16"/>
                <w:szCs w:val="16"/>
                <w:u w:val="single" w:color="auto"/>
                <w:color w:val="0000EE"/>
                <w:w w:val="92"/>
              </w:rPr>
              <w:t>2</w:t>
            </w: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20" w:type="dxa"/>
            <w:vAlign w:val="bottom"/>
            <w:tcBorders>
              <w:bottom w:val="single" w:sz="8" w:color="0000EE"/>
            </w:tcBorders>
          </w:tcPr>
          <w:p>
            <w:pPr>
              <w:spacing w:after="0" w:line="171" w:lineRule="exact"/>
              <w:rPr>
                <w:sz w:val="20"/>
                <w:szCs w:val="20"/>
                <w:color w:val="auto"/>
              </w:rPr>
            </w:pPr>
            <w:r>
              <w:rPr>
                <w:rFonts w:ascii="Times New Roman" w:cs="Times New Roman" w:eastAsia="Times New Roman" w:hAnsi="Times New Roman"/>
                <w:sz w:val="16"/>
                <w:szCs w:val="16"/>
                <w:color w:val="0000EE"/>
                <w:w w:val="99"/>
              </w:rPr>
              <w:t>Slide Presentation, supplementing the above press release.</w:t>
            </w:r>
          </w:p>
        </w:tc>
        <w:tc>
          <w:tcPr>
            <w:tcW w:w="6300" w:type="dxa"/>
            <w:vAlign w:val="bottom"/>
            <w:gridSpan w:val="2"/>
          </w:tcPr>
          <w:p>
            <w:pPr>
              <w:spacing w:after="0"/>
              <w:rPr>
                <w:sz w:val="14"/>
                <w:szCs w:val="14"/>
                <w:color w:val="auto"/>
              </w:rPr>
            </w:pPr>
          </w:p>
        </w:tc>
      </w:tr>
      <w:tr>
        <w:trPr>
          <w:trHeight w:val="207"/>
        </w:trPr>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94"/>
        </w:trPr>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71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440"/>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60" w:type="dxa"/>
            <w:vAlign w:val="bottom"/>
          </w:tcPr>
          <w:p>
            <w:pPr>
              <w:spacing w:after="0"/>
              <w:rPr>
                <w:sz w:val="16"/>
                <w:szCs w:val="16"/>
                <w:color w:val="auto"/>
              </w:rPr>
            </w:pP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6"/>
                <w:szCs w:val="16"/>
                <w:b w:val="1"/>
                <w:bCs w:val="1"/>
                <w:color w:val="auto"/>
              </w:rPr>
              <w:t>WILLIS TOWERS WATSON</w:t>
            </w:r>
          </w:p>
        </w:tc>
      </w:tr>
      <w:tr>
        <w:trPr>
          <w:trHeight w:val="210"/>
        </w:trPr>
        <w:tc>
          <w:tcPr>
            <w:tcW w:w="3560" w:type="dxa"/>
            <w:vAlign w:val="bottom"/>
          </w:tcPr>
          <w:p>
            <w:pPr>
              <w:spacing w:after="0"/>
              <w:rPr>
                <w:sz w:val="18"/>
                <w:szCs w:val="18"/>
                <w:color w:val="auto"/>
              </w:rPr>
            </w:pPr>
          </w:p>
        </w:tc>
        <w:tc>
          <w:tcPr>
            <w:tcW w:w="7700" w:type="dxa"/>
            <w:vAlign w:val="bottom"/>
            <w:gridSpan w:val="2"/>
          </w:tcPr>
          <w:p>
            <w:pPr>
              <w:ind w:left="2080"/>
              <w:spacing w:after="0"/>
              <w:rPr>
                <w:sz w:val="20"/>
                <w:szCs w:val="20"/>
                <w:color w:val="auto"/>
              </w:rPr>
            </w:pPr>
            <w:r>
              <w:rPr>
                <w:rFonts w:ascii="Times New Roman" w:cs="Times New Roman" w:eastAsia="Times New Roman" w:hAnsi="Times New Roman"/>
                <w:sz w:val="16"/>
                <w:szCs w:val="16"/>
                <w:b w:val="1"/>
                <w:bCs w:val="1"/>
                <w:color w:val="auto"/>
              </w:rPr>
              <w:t>PUBLIC LIMITED COMPANY</w:t>
            </w:r>
          </w:p>
        </w:tc>
      </w:tr>
      <w:tr>
        <w:trPr>
          <w:trHeight w:val="382"/>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Date: October 29, 2026</w:t>
            </w:r>
          </w:p>
        </w:tc>
        <w:tc>
          <w:tcPr>
            <w:tcW w:w="264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Andrew Krasner</w:t>
            </w:r>
          </w:p>
        </w:tc>
      </w:tr>
      <w:tr>
        <w:trPr>
          <w:trHeight w:val="167"/>
        </w:trPr>
        <w:tc>
          <w:tcPr>
            <w:tcW w:w="3560" w:type="dxa"/>
            <w:vAlign w:val="bottom"/>
          </w:tcPr>
          <w:p>
            <w:pPr>
              <w:spacing w:after="0"/>
              <w:rPr>
                <w:sz w:val="14"/>
                <w:szCs w:val="14"/>
                <w:color w:val="auto"/>
              </w:rPr>
            </w:pPr>
          </w:p>
        </w:tc>
        <w:tc>
          <w:tcPr>
            <w:tcW w:w="2640" w:type="dxa"/>
            <w:vAlign w:val="bottom"/>
          </w:tcPr>
          <w:p>
            <w:pPr>
              <w:ind w:left="2080"/>
              <w:spacing w:after="0" w:line="167" w:lineRule="exact"/>
              <w:rPr>
                <w:sz w:val="20"/>
                <w:szCs w:val="20"/>
                <w:color w:val="auto"/>
              </w:rPr>
            </w:pPr>
            <w:r>
              <w:rPr>
                <w:rFonts w:ascii="Times New Roman" w:cs="Times New Roman" w:eastAsia="Times New Roman" w:hAnsi="Times New Roman"/>
                <w:sz w:val="16"/>
                <w:szCs w:val="16"/>
                <w:color w:val="auto"/>
              </w:rPr>
              <w:t>Name:</w:t>
            </w:r>
          </w:p>
        </w:tc>
        <w:tc>
          <w:tcPr>
            <w:tcW w:w="5060" w:type="dxa"/>
            <w:vAlign w:val="bottom"/>
          </w:tcPr>
          <w:p>
            <w:pPr>
              <w:spacing w:after="0" w:line="167" w:lineRule="exact"/>
              <w:rPr>
                <w:sz w:val="20"/>
                <w:szCs w:val="20"/>
                <w:color w:val="auto"/>
              </w:rPr>
            </w:pPr>
            <w:r>
              <w:rPr>
                <w:rFonts w:ascii="Times New Roman" w:cs="Times New Roman" w:eastAsia="Times New Roman" w:hAnsi="Times New Roman"/>
                <w:sz w:val="16"/>
                <w:szCs w:val="16"/>
                <w:color w:val="auto"/>
              </w:rPr>
              <w:t>Andrew Krasner</w:t>
            </w:r>
          </w:p>
        </w:tc>
      </w:tr>
      <w:tr>
        <w:trPr>
          <w:trHeight w:val="208"/>
        </w:trPr>
        <w:tc>
          <w:tcPr>
            <w:tcW w:w="3560" w:type="dxa"/>
            <w:vAlign w:val="bottom"/>
          </w:tcPr>
          <w:p>
            <w:pPr>
              <w:spacing w:after="0"/>
              <w:rPr>
                <w:sz w:val="18"/>
                <w:szCs w:val="18"/>
                <w:color w:val="auto"/>
              </w:rPr>
            </w:pPr>
          </w:p>
        </w:tc>
        <w:tc>
          <w:tcPr>
            <w:tcW w:w="264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987"/>
        </w:trPr>
        <w:tc>
          <w:tcPr>
            <w:tcW w:w="35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18" w:right="319" w:bottom="1440" w:gutter="0" w:footer="0" w:header="0"/>
        </w:sectPr>
      </w:pPr>
    </w:p>
    <w:bookmarkStart w:id="3" w:name="page4"/>
    <w:bookmarkEnd w:id="3"/>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19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WTW Reports Third Quarter 2026 Earnings</w:t>
      </w:r>
    </w:p>
    <w:p>
      <w:pPr>
        <w:spacing w:after="0" w:line="1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b w:val="1"/>
          <w:bCs w:val="1"/>
          <w:color w:val="auto"/>
        </w:rPr>
        <w:t>Revenue</w:t>
      </w:r>
      <w:r>
        <w:rPr>
          <w:rFonts w:ascii="Times New Roman" w:cs="Times New Roman" w:eastAsia="Times New Roman" w:hAnsi="Times New Roman"/>
          <w:sz w:val="31"/>
          <w:szCs w:val="31"/>
          <w:b w:val="1"/>
          <w:bCs w:val="1"/>
          <w:color w:val="auto"/>
          <w:vertAlign w:val="superscript"/>
        </w:rPr>
        <w:t>1</w:t>
      </w:r>
      <w:r>
        <w:rPr>
          <w:rFonts w:ascii="Times New Roman" w:cs="Times New Roman" w:eastAsia="Times New Roman" w:hAnsi="Times New Roman"/>
          <w:sz w:val="19"/>
          <w:szCs w:val="19"/>
          <w:b w:val="1"/>
          <w:bCs w:val="1"/>
          <w:color w:val="auto"/>
        </w:rPr>
        <w:t xml:space="preserve"> increased 8% from prior year to $2.5 billion for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line="236" w:lineRule="auto"/>
        <w:rPr>
          <w:sz w:val="20"/>
          <w:szCs w:val="20"/>
          <w:color w:val="auto"/>
        </w:rPr>
      </w:pPr>
      <w:r>
        <w:rPr>
          <w:rFonts w:ascii="Times New Roman" w:cs="Times New Roman" w:eastAsia="Times New Roman" w:hAnsi="Times New Roman"/>
          <w:sz w:val="19"/>
          <w:szCs w:val="19"/>
          <w:b w:val="1"/>
          <w:bCs w:val="1"/>
          <w:color w:val="auto"/>
        </w:rPr>
        <w:t>Organic Revenue growth of 4% for the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line="236" w:lineRule="auto"/>
        <w:rPr>
          <w:sz w:val="20"/>
          <w:szCs w:val="20"/>
          <w:color w:val="auto"/>
        </w:rPr>
      </w:pPr>
      <w:r>
        <w:rPr>
          <w:rFonts w:ascii="Times New Roman" w:cs="Times New Roman" w:eastAsia="Times New Roman" w:hAnsi="Times New Roman"/>
          <w:sz w:val="19"/>
          <w:szCs w:val="19"/>
          <w:b w:val="1"/>
          <w:bCs w:val="1"/>
          <w:color w:val="auto"/>
        </w:rPr>
        <w:t>Diluted Earnings per Share was $3.24 for the quarter, up 4% over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line="236" w:lineRule="auto"/>
        <w:rPr>
          <w:sz w:val="20"/>
          <w:szCs w:val="20"/>
          <w:color w:val="auto"/>
        </w:rPr>
      </w:pPr>
      <w:r>
        <w:rPr>
          <w:rFonts w:ascii="Times New Roman" w:cs="Times New Roman" w:eastAsia="Times New Roman" w:hAnsi="Times New Roman"/>
          <w:sz w:val="19"/>
          <w:szCs w:val="19"/>
          <w:b w:val="1"/>
          <w:bCs w:val="1"/>
          <w:color w:val="auto"/>
        </w:rPr>
        <w:t>Adjusted Diluted Earnings per Share was $3.63 for the quarter, up 18% over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line="237" w:lineRule="auto"/>
        <w:rPr>
          <w:sz w:val="20"/>
          <w:szCs w:val="20"/>
          <w:color w:val="auto"/>
        </w:rPr>
      </w:pPr>
      <w:r>
        <w:rPr>
          <w:rFonts w:ascii="Times New Roman" w:cs="Times New Roman" w:eastAsia="Times New Roman" w:hAnsi="Times New Roman"/>
          <w:sz w:val="19"/>
          <w:szCs w:val="19"/>
          <w:b w:val="1"/>
          <w:bCs w:val="1"/>
          <w:color w:val="auto"/>
        </w:rPr>
        <w:t>Operating Margin was 17.4% for the quarter, down 90 basis points from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9"/>
          <w:szCs w:val="19"/>
          <w:b w:val="1"/>
          <w:bCs w:val="1"/>
          <w:color w:val="auto"/>
        </w:rPr>
        <w:t>Adjusted Operating Margin was 21.9% for the quarter, up 150 basis points from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-95885</wp:posOffset>
            </wp:positionV>
            <wp:extent cx="63500" cy="63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36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auto"/>
        </w:rPr>
        <w:t>LONDON, Oct. 29, 2026 (GLOBE NEWSWIRE) -- WTW (NASDAQ: WTW) (the “Company”), a leading global advisory, broking and solutions company, today announced financial results for the third quarter ended September 30, 2026.</w:t>
      </w:r>
    </w:p>
    <w:p>
      <w:pPr>
        <w:spacing w:after="0" w:line="12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9"/>
          <w:szCs w:val="19"/>
          <w:color w:val="auto"/>
        </w:rPr>
        <w:t>“WTW delivered another quarter of solid results in the face of a volatile market environment, reflecting the strength and resilience of our business,” said Carl Hess, WTW’s Chief Executive Officer. “Our strategy is working. Investments in talent, technology and innovation are differentiating WTW in the market and sustaining our momentum across the company. While Propel, our AI Acceleration Plan, is in its early days, I’m excited by the initial impact we’re seeing as we scale AI to enhance client service, unlock growth opportunities, strengthen our colleague experience and drive greater efficiency. Our continued strategic progress and the strength of our client proposition give us confidence in our ability to create durable long-term value.”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Consolidated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As reported, USD millions, except %</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86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Key Metrics</w:t>
            </w:r>
          </w:p>
        </w:tc>
        <w:tc>
          <w:tcPr>
            <w:tcW w:w="14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9"/>
                <w:szCs w:val="19"/>
                <w:b w:val="1"/>
                <w:bCs w:val="1"/>
                <w:color w:val="auto"/>
              </w:rPr>
              <w:t>Q3-26</w:t>
            </w:r>
          </w:p>
        </w:tc>
        <w:tc>
          <w:tcPr>
            <w:tcW w:w="14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9"/>
                <w:szCs w:val="19"/>
                <w:b w:val="1"/>
                <w:bCs w:val="1"/>
                <w:color w:val="auto"/>
              </w:rPr>
              <w:t>Q3-25</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Y/Y Change</w:t>
            </w:r>
          </w:p>
        </w:tc>
      </w:tr>
      <w:tr>
        <w:trPr>
          <w:trHeight w:val="279"/>
        </w:trPr>
        <w:tc>
          <w:tcPr>
            <w:tcW w:w="3860" w:type="dxa"/>
            <w:vAlign w:val="bottom"/>
            <w:tcBorders>
              <w:left w:val="single" w:sz="8" w:color="auto"/>
              <w:bottom w:val="single" w:sz="8" w:color="auto"/>
              <w:right w:val="single" w:sz="8" w:color="auto"/>
            </w:tcBorders>
          </w:tcPr>
          <w:p>
            <w:pPr>
              <w:ind w:left="120"/>
              <w:spacing w:after="0" w:line="278" w:lineRule="exact"/>
              <w:rPr>
                <w:sz w:val="20"/>
                <w:szCs w:val="20"/>
                <w:color w:val="auto"/>
              </w:rPr>
            </w:pPr>
            <w:r>
              <w:rPr>
                <w:rFonts w:ascii="Times New Roman" w:cs="Times New Roman" w:eastAsia="Times New Roman" w:hAnsi="Times New Roman"/>
                <w:sz w:val="19"/>
                <w:szCs w:val="19"/>
                <w:b w:val="1"/>
                <w:bCs w:val="1"/>
                <w:color w:val="auto"/>
              </w:rPr>
              <w:t>Revenue</w:t>
            </w:r>
            <w:r>
              <w:rPr>
                <w:rFonts w:ascii="Times New Roman" w:cs="Times New Roman" w:eastAsia="Times New Roman" w:hAnsi="Times New Roman"/>
                <w:sz w:val="31"/>
                <w:szCs w:val="31"/>
                <w:b w:val="1"/>
                <w:bCs w:val="1"/>
                <w:color w:val="auto"/>
                <w:vertAlign w:val="superscript"/>
              </w:rPr>
              <w:t>1</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$2,460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$2,288</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Reported 8% | CC 8% | Organic 4%</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Income from Operations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$429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$418</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3%</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Operating Margin %</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17.4%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18.3%</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(90) bps</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Adjusted Operating Income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$539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$467</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15%</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Adjusted Operating Margin %</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21.9%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20.4%</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150 bps</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Net Income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$309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$306</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Adjusted Net Income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$339</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$301</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13%</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Diluted EPS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$3.24</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$3.11</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4%</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Adjusted Diluted EPS</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8"/>
              </w:rPr>
              <w:t>$3.63</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$3.07</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18%</w:t>
            </w:r>
          </w:p>
        </w:tc>
      </w:tr>
    </w:tbl>
    <w:p>
      <w:pPr>
        <w:spacing w:after="0" w:line="200" w:lineRule="exact"/>
        <w:rPr>
          <w:sz w:val="20"/>
          <w:szCs w:val="20"/>
          <w:color w:val="auto"/>
        </w:rPr>
      </w:pPr>
    </w:p>
    <w:p>
      <w:pPr>
        <w:spacing w:after="0" w:line="384" w:lineRule="exact"/>
        <w:rPr>
          <w:sz w:val="20"/>
          <w:szCs w:val="20"/>
          <w:color w:val="auto"/>
        </w:rPr>
      </w:pPr>
    </w:p>
    <w:p>
      <w:pPr>
        <w:ind w:left="360" w:right="200" w:hanging="352"/>
        <w:spacing w:after="0" w:line="271" w:lineRule="auto"/>
        <w:tabs>
          <w:tab w:leader="none" w:pos="3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The revenue amounts included in this release are presented on a U.S. GAAP basis except where stated otherwise. The segment discussion is on an organic basis.</w:t>
      </w:r>
    </w:p>
    <w:p>
      <w:pPr>
        <w:spacing w:after="0" w:line="379" w:lineRule="exact"/>
        <w:rPr>
          <w:sz w:val="20"/>
          <w:szCs w:val="20"/>
          <w:color w:val="auto"/>
        </w:rPr>
      </w:pPr>
    </w:p>
    <w:p>
      <w:pPr>
        <w:jc w:val="both"/>
        <w:ind w:right="720"/>
        <w:spacing w:after="0" w:line="253" w:lineRule="auto"/>
        <w:rPr>
          <w:sz w:val="20"/>
          <w:szCs w:val="20"/>
          <w:color w:val="auto"/>
        </w:rPr>
      </w:pPr>
      <w:r>
        <w:rPr>
          <w:rFonts w:ascii="Times New Roman" w:cs="Times New Roman" w:eastAsia="Times New Roman" w:hAnsi="Times New Roman"/>
          <w:sz w:val="19"/>
          <w:szCs w:val="19"/>
          <w:color w:val="auto"/>
        </w:rPr>
        <w:t>Revenue was $2.46 billion for the third quarter of 2026, an increase of 8% compared to $2.29 billion for the same period in the prior year. Excluding the impact of foreign currency, revenue increased 8%. On an organic basis, revenue increased 4%. See Supplemental Segment Information for additional detail on book-of-business settlements and interest income included in revenue.</w:t>
      </w:r>
    </w:p>
    <w:p>
      <w:pPr>
        <w:spacing w:after="0" w:line="146"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9"/>
          <w:szCs w:val="19"/>
          <w:color w:val="auto"/>
        </w:rPr>
        <w:t>Net Income for the third quarter of 2026 was $309 million compared to $306 million in the prior-year third quarter. Adjusted EBITDA for the third quarter was $577 million, or 23.5% of revenue, an increase of 12%, compared to Adjusted EBITDA of $515 million, or 22.5% of revenue, in the prior-year third quarter. The U.S. GAAP tax rate for the third quarter was 19.5%, and the adjusted income tax rate for the third quarter used in calculating adjusted diluted earnings per share was 21.9%.</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Cash Flow and Capital Allocation</w:t>
      </w:r>
    </w:p>
    <w:p>
      <w:pPr>
        <w:spacing w:after="0" w:line="190"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9"/>
          <w:szCs w:val="19"/>
          <w:color w:val="auto"/>
        </w:rPr>
        <w:t>Cash flows from operating activities were $1.2 billion for the nine months ended September 30, 2026, compared to $1.0 billion in the prior year. Free cash flow for the nine months ended September 30, 2026 and 2025 was $1.1 billion and $838 million, respectively, an increase of $226 million. The increase was primarily driven by operating margin expansion. The period also included $29 million of cash proceeds from the disposal of buildings and related improvements. During the quarter ended September 30, 2026, the Company repurchased 687,386 of its outstanding shares for $220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Third Quarter 2026 Segment Highlights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Health, Wealth &amp; Career (“HWC”)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As reported, USD millions, except %</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86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Health, Wealth &amp; Career</w:t>
            </w:r>
          </w:p>
        </w:tc>
        <w:tc>
          <w:tcPr>
            <w:tcW w:w="14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9"/>
                <w:szCs w:val="19"/>
                <w:b w:val="1"/>
                <w:bCs w:val="1"/>
                <w:color w:val="auto"/>
              </w:rPr>
              <w:t>Q3-26</w:t>
            </w:r>
          </w:p>
        </w:tc>
        <w:tc>
          <w:tcPr>
            <w:tcW w:w="14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9"/>
                <w:szCs w:val="19"/>
                <w:b w:val="1"/>
                <w:bCs w:val="1"/>
                <w:color w:val="auto"/>
              </w:rPr>
              <w:t>Q3-25</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Y/Y Change</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Total Revenue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$1,350</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$1,261</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Reported 7% | CC 7% | Organic 4%</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Operating Income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$398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$361</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10%</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Operating Margin %</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29.5%</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28.6%</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90 bps</w:t>
            </w:r>
          </w:p>
        </w:tc>
      </w:tr>
    </w:tbl>
    <w:p>
      <w:pPr>
        <w:spacing w:after="0" w:line="200" w:lineRule="exact"/>
        <w:rPr>
          <w:sz w:val="20"/>
          <w:szCs w:val="20"/>
          <w:color w:val="auto"/>
        </w:rPr>
      </w:pPr>
    </w:p>
    <w:p>
      <w:pPr>
        <w:spacing w:after="0" w:line="20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9"/>
          <w:szCs w:val="19"/>
          <w:color w:val="auto"/>
        </w:rPr>
        <w:t>The HWC segment had revenue of $1.35 billion in the third quarter of 2026, an increase of 7% (7% increase constant currency and organic growth of 4%) from $1.26 billion in the prior year. Health delivered organic revenue growth with positive contributions from all regions, driven by new business and strong renewals. Wealth generated organic revenue growth supported by the strength of Retirement work outside of North America and new client wins. Career organic revenue growth was primarily driven by higher compensation survey sales and a return to typical timing for compensation survey delivery, along with increased communications project work. Benefits Delivery &amp; Outsourcing (BD&amp;O) organic revenue</w:t>
      </w:r>
    </w:p>
    <w:p>
      <w:pPr>
        <w:sectPr>
          <w:pgSz w:w="11900" w:h="16893" w:orient="portrait"/>
          <w:cols w:equalWidth="0" w:num="1">
            <w:col w:w="11260"/>
          </w:cols>
          <w:pgMar w:left="320" w:top="112" w:right="319" w:bottom="0" w:gutter="0" w:footer="0" w:header="0"/>
        </w:sectPr>
      </w:pPr>
    </w:p>
    <w:bookmarkStart w:id="4" w:name="page5"/>
    <w:bookmarkEnd w:id="4"/>
    <w:p>
      <w:pPr>
        <w:spacing w:after="0" w:line="43" w:lineRule="exact"/>
        <w:rPr>
          <w:sz w:val="20"/>
          <w:szCs w:val="20"/>
          <w:color w:val="auto"/>
        </w:rPr>
      </w:pPr>
    </w:p>
    <w:p>
      <w:pPr>
        <w:ind w:right="840"/>
        <w:spacing w:after="0" w:line="270" w:lineRule="auto"/>
        <w:rPr>
          <w:sz w:val="20"/>
          <w:szCs w:val="20"/>
          <w:color w:val="auto"/>
        </w:rPr>
      </w:pPr>
      <w:r>
        <w:rPr>
          <w:rFonts w:ascii="Times New Roman" w:cs="Times New Roman" w:eastAsia="Times New Roman" w:hAnsi="Times New Roman"/>
          <w:sz w:val="19"/>
          <w:szCs w:val="19"/>
          <w:color w:val="auto"/>
        </w:rPr>
        <w:t>declined, with growth from new client wins, project work and regulatory-driven activity in Outsourcing being more than offset by lower commissions in Individual Marketplace.</w:t>
      </w:r>
    </w:p>
    <w:p>
      <w:pPr>
        <w:spacing w:after="0" w:line="129"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9"/>
          <w:szCs w:val="19"/>
          <w:color w:val="auto"/>
        </w:rPr>
        <w:t>Operating margin in the HWC segment increased 90 basis points from the prior-year third quarter to 29.5%. The increase was primarily driven by improved operating leverage and expense discipline.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Risk &amp; Broking (“R&amp;B”)</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As reported, USD millions, except %</w: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3860" w:type="dxa"/>
            <w:vAlign w:val="bottom"/>
            <w:tcBorders>
              <w:top w:val="single" w:sz="8" w:color="auto"/>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Risk &amp; Broking</w:t>
            </w:r>
          </w:p>
        </w:tc>
        <w:tc>
          <w:tcPr>
            <w:tcW w:w="14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9"/>
                <w:szCs w:val="19"/>
                <w:b w:val="1"/>
                <w:bCs w:val="1"/>
                <w:color w:val="auto"/>
              </w:rPr>
              <w:t>Q3-26</w:t>
            </w:r>
          </w:p>
        </w:tc>
        <w:tc>
          <w:tcPr>
            <w:tcW w:w="146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9"/>
                <w:szCs w:val="19"/>
                <w:b w:val="1"/>
                <w:bCs w:val="1"/>
                <w:color w:val="auto"/>
              </w:rPr>
              <w:t>Q3-25</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Y/Y Change</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Total Revenue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$1,087</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$1,007</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Reported 8% | CC 8% | Organic 5%</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Operating Income</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$216</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$189</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7"/>
              </w:rPr>
              <w:t>14%</w:t>
            </w:r>
          </w:p>
        </w:tc>
      </w:tr>
      <w:tr>
        <w:trPr>
          <w:trHeight w:val="231"/>
        </w:trPr>
        <w:tc>
          <w:tcPr>
            <w:tcW w:w="38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Operating Margin %</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19.8%</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18.8%</w:t>
            </w:r>
          </w:p>
        </w:tc>
        <w:tc>
          <w:tcPr>
            <w:tcW w:w="4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100 bps</w:t>
            </w:r>
          </w:p>
        </w:tc>
      </w:tr>
    </w:tbl>
    <w:p>
      <w:pPr>
        <w:spacing w:after="0" w:line="200" w:lineRule="exact"/>
        <w:rPr>
          <w:sz w:val="20"/>
          <w:szCs w:val="20"/>
          <w:color w:val="auto"/>
        </w:rPr>
      </w:pPr>
    </w:p>
    <w:p>
      <w:pPr>
        <w:spacing w:after="0" w:line="20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9"/>
          <w:szCs w:val="19"/>
          <w:color w:val="auto"/>
        </w:rPr>
        <w:t>The R&amp;B segment had revenue of $1.09 billion in the third quarter of 2026, an increase of 8% (8% increase constant currency and organic growth of 5%) from $1.01 billion in the prior year. Corporate Risk &amp; Broking (CRB) had organic revenue growth driven by strong new business activity in North America and International, along with higher book-of-business settlement activity, partially offset by a strong prior-year comparable that included revenue recognized from multi-year project-based placements within the global specialty businesses. Insurance Consulting and Technology (ICT) delivered organic revenue growth primarily from strong software sales in the Technology practice, partially offset by lower Consulting revenue.</w:t>
      </w:r>
    </w:p>
    <w:p>
      <w:pPr>
        <w:spacing w:after="0" w:line="15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9"/>
          <w:szCs w:val="19"/>
          <w:color w:val="auto"/>
        </w:rPr>
        <w:t>Operating margin in the R&amp;B segment increased 100 basis points from the prior-year third quarter to 19.8%. The increase was primarily driven by higher book-of-business settlement activity alongside disciplined expense management.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Propel: WTW's AI Acceleration Plan</w:t>
      </w:r>
    </w:p>
    <w:p>
      <w:pPr>
        <w:spacing w:after="0" w:line="190"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9"/>
          <w:szCs w:val="19"/>
          <w:color w:val="auto"/>
        </w:rPr>
        <w:t>On July 28, 2026, the Board of Directors of WTW approved and authorized management to execute Propel, an Artificial Intelligence ('AI') Acceleration Plan. Propel will extend through December 31, 2028 and embed AI and automation across the Company. Supported by WTW's ongoing investments in AI, data and technology, including the acquisition of Newfront, Propel is expected to enhance client service, create additional opportunities for growth and strengthen the colleague experience, as well as streamline core operating processes. WTW expects these efforts to accelerate performance and enhance efficiency, reinforcing WTW's strategic objectives.</w:t>
      </w:r>
    </w:p>
    <w:p>
      <w:pPr>
        <w:spacing w:after="0" w:line="152" w:lineRule="exact"/>
        <w:rPr>
          <w:sz w:val="20"/>
          <w:szCs w:val="20"/>
          <w:color w:val="auto"/>
        </w:rPr>
      </w:pPr>
    </w:p>
    <w:p>
      <w:pPr>
        <w:ind w:right="1660"/>
        <w:spacing w:after="0" w:line="247" w:lineRule="auto"/>
        <w:rPr>
          <w:sz w:val="20"/>
          <w:szCs w:val="20"/>
          <w:color w:val="auto"/>
        </w:rPr>
      </w:pPr>
      <w:r>
        <w:rPr>
          <w:rFonts w:ascii="Times New Roman" w:cs="Times New Roman" w:eastAsia="Times New Roman" w:hAnsi="Times New Roman"/>
          <w:sz w:val="19"/>
          <w:szCs w:val="19"/>
          <w:color w:val="auto"/>
        </w:rPr>
        <w:t>The Company expects to invest approximately $625 million of cash and incur approximately $25 million in non-cash charges to generate approximately $400 million in run-rate savings, delivering a cash-cost-to-achieve ratio of approximately 1.6 times. After reinvesting approximately $50 million to support growth, the Company expects to deliver approximately $350 million in net run-rate savings and approximately 30% adjusted operating margin in 2028.</w:t>
      </w:r>
    </w:p>
    <w:p>
      <w:pPr>
        <w:spacing w:after="0" w:line="152"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9"/>
          <w:szCs w:val="19"/>
          <w:color w:val="auto"/>
        </w:rPr>
        <w:t>The costs incurred under Propel from commencement to September 30, 2026 consisted of $14 million in restructuring costs and $7 million in transaction and program expenses. The annualized run-rate savings achieved under Propel from commencement to September 30, 2026 were $18 million. Please refer to the third quarter 2026 supplemental slides in the Investor Relations section of the Company's website for further details.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Select 2026 Financial Considerations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Adjusted operating margin: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Continued annual margin expansion at the enterprise level driven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-81915</wp:posOffset>
            </wp:positionV>
            <wp:extent cx="63500" cy="635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9"/>
          <w:szCs w:val="19"/>
          <w:color w:val="auto"/>
        </w:rPr>
        <w:t>~100 basis points of annual margin expansion in R&amp;B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-93345</wp:posOffset>
            </wp:positionV>
            <wp:extent cx="63500" cy="63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9"/>
          <w:szCs w:val="19"/>
          <w:color w:val="auto"/>
        </w:rPr>
        <w:t>Incremental annual margin expansion in HWC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-95885</wp:posOffset>
            </wp:positionV>
            <wp:extent cx="63500" cy="63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Organic revenue: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Enterprise: Mid-single digits (MSD)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-81915</wp:posOffset>
            </wp:positionV>
            <wp:extent cx="63500" cy="63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9"/>
          <w:szCs w:val="19"/>
          <w:color w:val="auto"/>
        </w:rPr>
        <w:t>Health, Wealth &amp; Career: Low-single digits (LSD) to MSD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960"/>
        <w:spacing w:after="0" w:line="236" w:lineRule="auto"/>
        <w:rPr>
          <w:sz w:val="20"/>
          <w:szCs w:val="20"/>
          <w:color w:val="auto"/>
        </w:rPr>
      </w:pPr>
      <w:r>
        <w:rPr>
          <w:rFonts w:ascii="Times New Roman" w:cs="Times New Roman" w:eastAsia="Times New Roman" w:hAnsi="Times New Roman"/>
          <w:sz w:val="19"/>
          <w:szCs w:val="19"/>
          <w:color w:val="auto"/>
        </w:rPr>
        <w:t>Health: High-single digits (HSD)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-93345</wp:posOffset>
            </wp:positionV>
            <wp:extent cx="63500" cy="63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960"/>
        <w:spacing w:after="0" w:line="236" w:lineRule="auto"/>
        <w:rPr>
          <w:sz w:val="20"/>
          <w:szCs w:val="20"/>
          <w:color w:val="auto"/>
        </w:rPr>
      </w:pPr>
      <w:r>
        <w:rPr>
          <w:rFonts w:ascii="Times New Roman" w:cs="Times New Roman" w:eastAsia="Times New Roman" w:hAnsi="Times New Roman"/>
          <w:sz w:val="19"/>
          <w:szCs w:val="19"/>
          <w:color w:val="auto"/>
        </w:rPr>
        <w:t>Wealth: LSD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-93345</wp:posOffset>
            </wp:positionV>
            <wp:extent cx="63500" cy="63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960"/>
        <w:spacing w:after="0" w:line="236" w:lineRule="auto"/>
        <w:rPr>
          <w:sz w:val="20"/>
          <w:szCs w:val="20"/>
          <w:color w:val="auto"/>
        </w:rPr>
      </w:pPr>
      <w:r>
        <w:rPr>
          <w:rFonts w:ascii="Times New Roman" w:cs="Times New Roman" w:eastAsia="Times New Roman" w:hAnsi="Times New Roman"/>
          <w:sz w:val="19"/>
          <w:szCs w:val="19"/>
          <w:color w:val="auto"/>
        </w:rPr>
        <w:t>Career: LSD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-93345</wp:posOffset>
            </wp:positionV>
            <wp:extent cx="63500" cy="63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960"/>
        <w:spacing w:after="0" w:line="237" w:lineRule="auto"/>
        <w:rPr>
          <w:sz w:val="20"/>
          <w:szCs w:val="20"/>
          <w:color w:val="auto"/>
        </w:rPr>
      </w:pPr>
      <w:r>
        <w:rPr>
          <w:rFonts w:ascii="Times New Roman" w:cs="Times New Roman" w:eastAsia="Times New Roman" w:hAnsi="Times New Roman"/>
          <w:sz w:val="19"/>
          <w:szCs w:val="19"/>
          <w:color w:val="auto"/>
        </w:rPr>
        <w:t>BD&amp;O: Flat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-93345</wp:posOffset>
            </wp:positionV>
            <wp:extent cx="63500" cy="63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line="236" w:lineRule="auto"/>
        <w:rPr>
          <w:sz w:val="20"/>
          <w:szCs w:val="20"/>
          <w:color w:val="auto"/>
        </w:rPr>
      </w:pPr>
      <w:r>
        <w:rPr>
          <w:rFonts w:ascii="Times New Roman" w:cs="Times New Roman" w:eastAsia="Times New Roman" w:hAnsi="Times New Roman"/>
          <w:sz w:val="19"/>
          <w:szCs w:val="19"/>
          <w:color w:val="auto"/>
        </w:rPr>
        <w:t>Risk &amp; Broking: MSD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960"/>
        <w:spacing w:after="0" w:line="236" w:lineRule="auto"/>
        <w:rPr>
          <w:sz w:val="20"/>
          <w:szCs w:val="20"/>
          <w:color w:val="auto"/>
        </w:rPr>
      </w:pPr>
      <w:r>
        <w:rPr>
          <w:rFonts w:ascii="Times New Roman" w:cs="Times New Roman" w:eastAsia="Times New Roman" w:hAnsi="Times New Roman"/>
          <w:sz w:val="19"/>
          <w:szCs w:val="19"/>
          <w:color w:val="auto"/>
        </w:rPr>
        <w:t>CRB: MSD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-93345</wp:posOffset>
            </wp:positionV>
            <wp:extent cx="63500" cy="63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9"/>
          <w:szCs w:val="19"/>
          <w:color w:val="auto"/>
        </w:rPr>
        <w:t>ICT: LSD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469900</wp:posOffset>
            </wp:positionH>
            <wp:positionV relativeFrom="paragraph">
              <wp:posOffset>-95885</wp:posOffset>
            </wp:positionV>
            <wp:extent cx="63500" cy="63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Willis Re joint venture: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Expected to be a headwind on Adjusted Diluted EPS of ~$0.30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-81915</wp:posOffset>
            </wp:positionV>
            <wp:extent cx="63500" cy="63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9"/>
          <w:szCs w:val="19"/>
          <w:color w:val="auto"/>
        </w:rPr>
        <w:t>The remaining equity investments in the interest in earnings of associates line are not expected to be material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-95885</wp:posOffset>
            </wp:positionV>
            <wp:extent cx="63500" cy="63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Newfront acquisition:</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Expected to be ~$0.10 dilutive to Adjusted EPS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-81915</wp:posOffset>
            </wp:positionV>
            <wp:extent cx="63500" cy="63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rPr>
          <w:sz w:val="20"/>
          <w:szCs w:val="20"/>
          <w:color w:val="auto"/>
        </w:rPr>
      </w:pPr>
      <w:r>
        <w:rPr>
          <w:rFonts w:ascii="Times New Roman" w:cs="Times New Roman" w:eastAsia="Times New Roman" w:hAnsi="Times New Roman"/>
          <w:sz w:val="19"/>
          <w:szCs w:val="19"/>
          <w:color w:val="auto"/>
        </w:rPr>
        <w:t>Expected 2026 post-close revenue of ~$250M and an adjusted EBITDA margin of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-93345</wp:posOffset>
            </wp:positionV>
            <wp:extent cx="63500" cy="63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right="40"/>
        <w:spacing w:after="0" w:line="247" w:lineRule="auto"/>
        <w:rPr>
          <w:sz w:val="20"/>
          <w:szCs w:val="20"/>
          <w:color w:val="auto"/>
        </w:rPr>
      </w:pPr>
      <w:r>
        <w:rPr>
          <w:rFonts w:ascii="Times New Roman" w:cs="Times New Roman" w:eastAsia="Times New Roman" w:hAnsi="Times New Roman"/>
          <w:sz w:val="19"/>
          <w:szCs w:val="19"/>
          <w:color w:val="auto"/>
        </w:rPr>
        <w:t>Newfront’s Total Rewards business segment (~42%) will be included in HWC and Newfront’s Business Insurance business segment (~58%) will be included in R&amp;B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-242570</wp:posOffset>
            </wp:positionV>
            <wp:extent cx="63500" cy="63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Capital allocation:</w:t>
      </w:r>
    </w:p>
    <w:p>
      <w:pPr>
        <w:spacing w:after="0" w:line="188" w:lineRule="exact"/>
        <w:rPr>
          <w:sz w:val="20"/>
          <w:szCs w:val="20"/>
          <w:color w:val="auto"/>
        </w:rPr>
      </w:pPr>
    </w:p>
    <w:p>
      <w:pPr>
        <w:ind w:left="480" w:right="840"/>
        <w:spacing w:after="0" w:line="271" w:lineRule="auto"/>
        <w:rPr>
          <w:sz w:val="20"/>
          <w:szCs w:val="20"/>
          <w:color w:val="auto"/>
        </w:rPr>
      </w:pPr>
      <w:r>
        <w:rPr>
          <w:rFonts w:ascii="Times New Roman" w:cs="Times New Roman" w:eastAsia="Times New Roman" w:hAnsi="Times New Roman"/>
          <w:sz w:val="19"/>
          <w:szCs w:val="19"/>
          <w:color w:val="auto"/>
        </w:rPr>
        <w:t>Expect share repurchases in excess of $1.0B, subject to market conditions and potential capital allocation to organic and inorganic investment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-256540</wp:posOffset>
            </wp:positionV>
            <wp:extent cx="63500" cy="635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ectPr>
          <w:pgSz w:w="11900" w:h="16881" w:orient="portrait"/>
          <w:cols w:equalWidth="0" w:num="1">
            <w:col w:w="11260"/>
          </w:cols>
          <w:pgMar w:left="320" w:top="115" w:right="319" w:bottom="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9"/>
          <w:szCs w:val="19"/>
          <w:color w:val="auto"/>
        </w:rPr>
        <w:t>Free cash flow:</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Continual improvement in FCF margin primarily from operating margin expansion along with evolving our business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-81915</wp:posOffset>
            </wp:positionV>
            <wp:extent cx="63500" cy="63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Foreign exchange:</w:t>
      </w:r>
    </w:p>
    <w:p>
      <w:pPr>
        <w:spacing w:after="0" w:line="188" w:lineRule="exact"/>
        <w:rPr>
          <w:sz w:val="20"/>
          <w:szCs w:val="20"/>
          <w:color w:val="auto"/>
        </w:rPr>
      </w:pPr>
    </w:p>
    <w:p>
      <w:pPr>
        <w:ind w:left="480" w:right="340"/>
        <w:spacing w:after="0" w:line="271" w:lineRule="auto"/>
        <w:rPr>
          <w:sz w:val="20"/>
          <w:szCs w:val="20"/>
          <w:color w:val="auto"/>
        </w:rPr>
      </w:pPr>
      <w:r>
        <w:rPr>
          <w:rFonts w:ascii="Times New Roman" w:cs="Times New Roman" w:eastAsia="Times New Roman" w:hAnsi="Times New Roman"/>
          <w:sz w:val="19"/>
          <w:szCs w:val="19"/>
          <w:color w:val="auto"/>
        </w:rPr>
        <w:t>Expect an incremental foreign currency tailwind on Adjusted Diluted EPS of ~$0.02 for the fourth quarter of 2026, resulting in a ~$0.35 tailwind for the full year 2026 at today's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-256540</wp:posOffset>
            </wp:positionV>
            <wp:extent cx="63500" cy="635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10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9"/>
          <w:szCs w:val="19"/>
          <w:color w:val="auto"/>
        </w:rPr>
        <w:t>The 2026 Financial Considerations above include Non-GAAP financial measures. We do not reconcile forward-looking Non-GAAP measures for reasons explained under "WTW Non-GAAP Measures" below.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Conference Call</w:t>
      </w:r>
    </w:p>
    <w:p>
      <w:pPr>
        <w:spacing w:after="0" w:line="190"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9"/>
          <w:szCs w:val="19"/>
          <w:color w:val="auto"/>
        </w:rPr>
        <w:t>The Company will host a conference call to discuss the financial results for the third quarter 2026, including an update on strategic priorities. It will be held on Thursday, October 29, 2026, beginning at 9:00 a.m. Eastern Time. A live, listen-only webcast of the conference call will be available on WTW’s website. Analysts and institutional investors may participate in the conference call’s question-and-answer session by registering in advance here. An online replay will be available at investors.wtwco.com shortly after the call concludes.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About WTW</w:t>
      </w:r>
    </w:p>
    <w:p>
      <w:pPr>
        <w:spacing w:after="0" w:line="19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At WTW (NASDAQ: WTW), we provide data-driven, insight-led solutions in the areas of people, risk and capital. Leveraging the global view and local expertise of our colleagues serving more than 140 countries and markets, we help organizations sharpen their strategy, enhance organizational resilience, motivate their workforce and maximize performance. Working shoulder to shoulder with our clients, we uncover opportunities for sustainable success—and provide perspective that moves you. Learn more at www.wtwco.com.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WTW Non-GAAP Measures</w:t>
      </w:r>
    </w:p>
    <w:p>
      <w:pPr>
        <w:spacing w:after="0" w:line="190" w:lineRule="exact"/>
        <w:rPr>
          <w:sz w:val="20"/>
          <w:szCs w:val="20"/>
          <w:color w:val="auto"/>
        </w:rPr>
      </w:pPr>
    </w:p>
    <w:p>
      <w:pPr>
        <w:ind w:right="400"/>
        <w:spacing w:after="0" w:line="247" w:lineRule="auto"/>
        <w:rPr>
          <w:sz w:val="20"/>
          <w:szCs w:val="20"/>
          <w:color w:val="auto"/>
        </w:rPr>
      </w:pPr>
      <w:r>
        <w:rPr>
          <w:rFonts w:ascii="Times New Roman" w:cs="Times New Roman" w:eastAsia="Times New Roman" w:hAnsi="Times New Roman"/>
          <w:sz w:val="19"/>
          <w:szCs w:val="19"/>
          <w:color w:val="auto"/>
        </w:rPr>
        <w:t>In order to assist readers of our consolidated financial statements in understanding the core operating results that WTW’s management uses to evaluate the business and for financial planning, we present the following non-GAAP measures: (1) Constant Currency Change, (2) Organic Change, (3) Adjusted Operating Income/Margin, (4) Adjusted EBITDA/Margin, (5) Adjusted Net Income, (6) Adjusted Diluted Earnings Per Share, (7) Adjusted Income Before Taxes, (8) Adjusted Income Taxes/Tax Rate, (9) Free Cash Flow and (10) Free Cash Flow Margin.</w:t>
      </w:r>
    </w:p>
    <w:p>
      <w:pPr>
        <w:spacing w:after="0" w:line="15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We believe that those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12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9"/>
          <w:szCs w:val="19"/>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p>
    <w:p>
      <w:pPr>
        <w:spacing w:after="0" w:line="152" w:lineRule="exact"/>
        <w:rPr>
          <w:sz w:val="20"/>
          <w:szCs w:val="20"/>
          <w:color w:val="auto"/>
        </w:rPr>
      </w:pPr>
    </w:p>
    <w:p>
      <w:pPr>
        <w:ind w:left="480" w:right="400"/>
        <w:spacing w:after="0" w:line="242" w:lineRule="auto"/>
        <w:rPr>
          <w:sz w:val="20"/>
          <w:szCs w:val="20"/>
          <w:color w:val="auto"/>
        </w:rPr>
      </w:pPr>
      <w:r>
        <w:rPr>
          <w:rFonts w:ascii="Times New Roman" w:cs="Times New Roman" w:eastAsia="Times New Roman" w:hAnsi="Times New Roman"/>
          <w:sz w:val="19"/>
          <w:szCs w:val="19"/>
          <w:color w:val="auto"/>
        </w:rPr>
        <w:t>Restructuring costs and transaction and program expenses – Management believes it is appropriate to adjust for restructuring costs, significant acquisition-related transaction expenses, and program expenses, which include integration expenses pertaining to significant acquisitions and expenses associated with our Propel AI Acceleration Plan. We believe the adjustment is necessary to present how the Company is performing, both now and in the future when the incurrence of these costs will have concluded.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-502285</wp:posOffset>
            </wp:positionV>
            <wp:extent cx="63500" cy="63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jc w:val="both"/>
        <w:ind w:left="480" w:right="160"/>
        <w:spacing w:after="0" w:line="236" w:lineRule="auto"/>
        <w:rPr>
          <w:sz w:val="20"/>
          <w:szCs w:val="20"/>
          <w:color w:val="auto"/>
        </w:rPr>
      </w:pPr>
      <w:r>
        <w:rPr>
          <w:rFonts w:ascii="Times New Roman" w:cs="Times New Roman" w:eastAsia="Times New Roman" w:hAnsi="Times New Roman"/>
          <w:sz w:val="19"/>
          <w:szCs w:val="19"/>
          <w:color w:val="auto"/>
        </w:rPr>
        <w:t>Acquisition-related adjustments – Adjustment to remove the gains or losses associated with earnout adjustments, including both fair value adjustments and interest accretion, and gains or losses associated with amounts that were estimated at the time of acquisition but for which the measurement period has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-366395</wp:posOffset>
            </wp:positionV>
            <wp:extent cx="63500" cy="63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right="380"/>
        <w:spacing w:after="0" w:line="236" w:lineRule="auto"/>
        <w:rPr>
          <w:sz w:val="20"/>
          <w:szCs w:val="20"/>
          <w:color w:val="auto"/>
        </w:rPr>
      </w:pPr>
      <w:r>
        <w:rPr>
          <w:rFonts w:ascii="Times New Roman" w:cs="Times New Roman" w:eastAsia="Times New Roman" w:hAnsi="Times New Roman"/>
          <w:sz w:val="19"/>
          <w:szCs w:val="19"/>
          <w:color w:val="auto"/>
        </w:rPr>
        <w:t>Gains and losses on disposals of operations – Adjustment to remove the gains or losses resulting from disposed operations that have not been classified as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-229870</wp:posOffset>
            </wp:positionV>
            <wp:extent cx="63500" cy="635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ind w:left="480"/>
        <w:spacing w:after="0" w:line="247" w:lineRule="auto"/>
        <w:rPr>
          <w:sz w:val="20"/>
          <w:szCs w:val="20"/>
          <w:color w:val="auto"/>
        </w:rPr>
      </w:pPr>
      <w:r>
        <w:rPr>
          <w:rFonts w:ascii="Times New Roman" w:cs="Times New Roman" w:eastAsia="Times New Roman" w:hAnsi="Times New Roman"/>
          <w:sz w:val="19"/>
          <w:szCs w:val="19"/>
          <w:color w:val="auto"/>
        </w:rPr>
        <w:t>Net periodic pension and postretirement benefits – Adjustment to remove the recognition of net periodic pension and postretirement benefits (including pension settlements), other than 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-242570</wp:posOffset>
            </wp:positionV>
            <wp:extent cx="63500" cy="63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500" cy="63500"/>
                    </a:xfrm>
                    <a:prstGeom prst="rect">
                      <a:avLst/>
                    </a:prstGeom>
                    <a:noFill/>
                  </pic:spPr>
                </pic:pic>
              </a:graphicData>
            </a:graphic>
          </wp:anchor>
        </w:drawing>
      </w:r>
    </w:p>
    <w:p>
      <w:pPr>
        <w:spacing w:after="0" w:line="345" w:lineRule="exact"/>
        <w:rPr>
          <w:sz w:val="20"/>
          <w:szCs w:val="20"/>
          <w:color w:val="auto"/>
        </w:rPr>
      </w:pPr>
    </w:p>
    <w:p>
      <w:pPr>
        <w:ind w:right="580"/>
        <w:spacing w:after="0" w:line="253" w:lineRule="auto"/>
        <w:rPr>
          <w:sz w:val="20"/>
          <w:szCs w:val="20"/>
          <w:color w:val="auto"/>
        </w:rPr>
      </w:pPr>
      <w:r>
        <w:rPr>
          <w:rFonts w:ascii="Times New Roman" w:cs="Times New Roman" w:eastAsia="Times New Roman" w:hAnsi="Times New Roman"/>
          <w:sz w:val="19"/>
          <w:szCs w:val="19"/>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146"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9"/>
          <w:szCs w:val="19"/>
          <w:color w:val="auto"/>
        </w:rPr>
        <w:t>We consider Constant Currency Change, Organic Change, Adjusted Operating Income/Margin, Adjusted EBITDA/Margin, Adjusted Net Income, Adjusted Diluted Earnings Per Share, Adjusted Income Before Taxes, Adjusted Income Taxes/Tax Rate and Free Cash Flow to be important financial measures, which are used to internally evaluate and assess our core operations and to benchmark our operating and liquidity results against our competitors. These non-GAAP measures are important in illustrating what our comparable operating and liquidity results would have been had we not incurred transaction-related and non-recurring items. Reconciliations of these measures are included in the accompanying tables with the following exception: The Company does not reconcile its forward-looking non-GAAP financial measures to the corresponding U.S. GAAP measures, due to variability and difficulty in making accurate forecasts and projections and/or certain information not being ascertainable or accessible; and because not all of the information, such as foreign currency impacts necessary for a quantitative reconciliation of these forward-looking non-GAAP financial measures to the most directly comparable U.S. GAAP financial measure, is available to the Company without unreasonable efforts. For the same reasons, the Company is unable to address the probable significance of the unavailable information. The Company provides non-GAAP financial measures that it believes will be achieved, however it cannot accurately predict all of the components of the adjusted calculations and the U.S. GAAP measures may be materially different than the non-GAAP measures.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Our non-GAAP measures and their accompanying definitions are presented as follows:</w:t>
      </w:r>
    </w:p>
    <w:p>
      <w:pPr>
        <w:spacing w:after="0" w:line="18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9"/>
          <w:szCs w:val="19"/>
          <w:color w:val="auto"/>
        </w:rPr>
        <w:t>Constant Currency Change – Represents the year-over-year change in revenue excluding the impact of foreign currency fluctuations. To calculate this impact, the prior-year local currency results are first translated using the current year monthly average exchange rates. The change is calculated by comparing the prior year revenue, translated at the current year monthly average exchange rates, to the current year as reported revenue, for the same period. We believe constant currency measures provide useful information to investors because they provide transparency to</w:t>
      </w:r>
    </w:p>
    <w:p>
      <w:pPr>
        <w:sectPr>
          <w:pgSz w:w="11900" w:h="16838" w:orient="portrait"/>
          <w:cols w:equalWidth="0" w:num="1">
            <w:col w:w="11240"/>
          </w:cols>
          <w:pgMar w:left="320" w:top="115" w:right="339" w:bottom="0" w:gutter="0" w:footer="0" w:header="0"/>
        </w:sectPr>
      </w:pPr>
    </w:p>
    <w:bookmarkStart w:id="6" w:name="page7"/>
    <w:bookmarkEnd w:id="6"/>
    <w:p>
      <w:pPr>
        <w:spacing w:after="0" w:line="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performance by excluding the effects that foreign currency exchange rate fluctuations have on period-over-period comparability given volatility in foreign currency exchange markets.</w:t>
      </w:r>
    </w:p>
    <w:p>
      <w:pPr>
        <w:spacing w:after="0" w:line="12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9"/>
          <w:szCs w:val="19"/>
          <w:color w:val="auto"/>
        </w:rPr>
        <w:t>Organic Change – Excludes the impact of fluctuations in foreign currency exchange rates, as described above and the period-over-period impact of 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5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9"/>
          <w:szCs w:val="19"/>
          <w:color w:val="auto"/>
        </w:rPr>
        <w:t>Adjusted Operating Income/Margin – Income from operations adjusted for amortization, restructuring costs, transaction and program expenses, acquisition-related adjustments and non-recurring items that, in management’s judgment, significantly affect the period-over-period assessment of operating results. Adjusted operating income margin is calculated by dividing adjusted operating income by revenue. We consider adjusted operating income/margin to be important financial measures, which are used internally to evaluate and assess our core operations and to benchmark our operating results against our competitors.</w:t>
      </w:r>
    </w:p>
    <w:p>
      <w:pPr>
        <w:spacing w:after="0" w:line="152"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9"/>
          <w:szCs w:val="19"/>
          <w:color w:val="auto"/>
        </w:rPr>
        <w:t>Adjusted EBITDA/Margin – Net Income adjusted for provision for income taxes, interest expense, depreciation and amortization, restructuring costs, transaction and program expenses, gains and losses on disposals of operations, net periodic pension and postretirement benefits, acquisition-related adjustments, and non-recurring items that, in management’s judgment, significantly affect the period-over-period assessment of operating results. Adjusted EBITDA Margin is calculated by dividing adjusted EBITDA by revenue. 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55"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9"/>
          <w:szCs w:val="19"/>
          <w:color w:val="auto"/>
        </w:rPr>
        <w:t>Adjusted Net Income – Net Income Attributable to WTW adjusted for amortization, restructuring costs, transaction and program expenses, gains and losses on disposals of operations, net periodic pension and postretirement benefits, acquisition-related adjustments, and non-recurring items that, in management’s judgment, significantly affect the period-over-period assessment of operating results and the related tax effect of those adjustments and the tax effects of significant adjustments. This measure is used solely for the purpose of calculating adjusted diluted earnings per share.</w:t>
      </w:r>
    </w:p>
    <w:p>
      <w:pPr>
        <w:spacing w:after="0" w:line="152"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9"/>
          <w:szCs w:val="19"/>
          <w:color w:val="auto"/>
        </w:rPr>
        <w:t>Adjusted Diluted Earnings Per Share –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128" w:lineRule="exact"/>
        <w:rPr>
          <w:sz w:val="20"/>
          <w:szCs w:val="20"/>
          <w:color w:val="auto"/>
        </w:rPr>
      </w:pPr>
    </w:p>
    <w:p>
      <w:pPr>
        <w:ind w:right="420"/>
        <w:spacing w:after="0" w:line="247" w:lineRule="auto"/>
        <w:rPr>
          <w:sz w:val="20"/>
          <w:szCs w:val="20"/>
          <w:color w:val="auto"/>
        </w:rPr>
      </w:pPr>
      <w:r>
        <w:rPr>
          <w:rFonts w:ascii="Times New Roman" w:cs="Times New Roman" w:eastAsia="Times New Roman" w:hAnsi="Times New Roman"/>
          <w:sz w:val="19"/>
          <w:szCs w:val="19"/>
          <w:color w:val="auto"/>
        </w:rPr>
        <w:t>Adjusted Income Before Taxes – Income from operations before income taxes and interest in earnings of associates adjusted for amortization, restructuring costs, transaction and program expenses, gains and losses on disposals of operations, net periodic pension and postretirement benefits, acquisition-related adjustments, and non-recurring items that, in management’s judgment, significantly affect the period-over-period assessment of operating results. Adjusted income before taxes is used solely for the purpose of calculating the adjusted income tax rate.</w:t>
      </w:r>
    </w:p>
    <w:p>
      <w:pPr>
        <w:spacing w:after="0" w:line="152" w:lineRule="exact"/>
        <w:rPr>
          <w:sz w:val="20"/>
          <w:szCs w:val="20"/>
          <w:color w:val="auto"/>
        </w:rPr>
      </w:pPr>
    </w:p>
    <w:p>
      <w:pPr>
        <w:ind w:right="160"/>
        <w:spacing w:after="0" w:line="242" w:lineRule="auto"/>
        <w:rPr>
          <w:sz w:val="20"/>
          <w:szCs w:val="20"/>
          <w:color w:val="auto"/>
        </w:rPr>
      </w:pPr>
      <w:r>
        <w:rPr>
          <w:rFonts w:ascii="Times New Roman" w:cs="Times New Roman" w:eastAsia="Times New Roman" w:hAnsi="Times New Roman"/>
          <w:sz w:val="19"/>
          <w:szCs w:val="19"/>
          <w:color w:val="auto"/>
        </w:rPr>
        <w:t>Adjusted Income Taxes/Tax Rate – Provision for income taxes adjusted for taxes on certain items of amortization, restructuring costs, transaction and program expenses, gains and losses on disposals of operations, net periodic pension and postretirement benefits, acquisition-related adjustments, the tax effects of significant adjustments and non-recurring items that, in management’s judgment, significantly affect the period-over-period assessment of operating results, divided by adjusted income before taxes. Adjusted income taxes is used solely for the purpose of calculating the adjusted income tax rate. Management believes that the adjusted income tax rate presents a rate that is more closely aligned to the rate that we would incur if not for the reduction of pre-tax income for the adjusted items and the tax effects of significant adjustments, which are not core to our current and future operations.</w:t>
      </w:r>
    </w:p>
    <w:p>
      <w:pPr>
        <w:spacing w:after="0" w:line="155"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9"/>
          <w:szCs w:val="19"/>
          <w:color w:val="auto"/>
        </w:rPr>
        <w:t>Free Cash Flow – Cash flows from operating activities less net cash used to purchase fixed assets and software. Management believes that free cash flow presents the core operating performance and cash-generating capabilities of our business operations.</w:t>
      </w:r>
    </w:p>
    <w:p>
      <w:pPr>
        <w:spacing w:after="0" w:line="128"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9"/>
          <w:szCs w:val="19"/>
          <w:color w:val="auto"/>
        </w:rPr>
        <w:t>Free Cash Flow Margin – Free Cash Flow as a percentage of revenue, which represents how much of revenue would be realized on a cash basis. We consider this measure to be a meaningful metric for tracking cash conversion on a year-over-year basis due to the non-cash nature of our pension income, which is included in our GAAP and Non-GAAP earnings metrics presented herein.</w:t>
      </w:r>
    </w:p>
    <w:p>
      <w:pPr>
        <w:spacing w:after="0" w:line="14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9"/>
          <w:szCs w:val="19"/>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WTW Forward-Looking Statements</w:t>
      </w:r>
    </w:p>
    <w:p>
      <w:pPr>
        <w:spacing w:after="0" w:line="190"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9"/>
          <w:szCs w:val="19"/>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or certain considerations relating to our future results.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the impact of macroeconomic trends, including inflation, changes in interest rates, trade policies and other geopolitical risks; future capital expenditures; ongoing working capital efforts; future share repurchases; financial results (including our revenue, costs or margins) and the impact of changes to tax laws on our financial results; existing and evolving business strategies, including with respect to our reinsurance joint-venture investment with Bain Capital; our indebtedness; our ability to execute strategic transactions, including both acquisitions and dispositions, including our ability to receive adequate consideration or any earnout proceeds in return for any dispositions or integrate or manage acquired businesses (such as our recent acquisitions of Newfront Insurance Holdings, Inc. and Cushon) or effect internal reorganizations; demand for our services and competitive strengths; strategic goals; the benefits of new initiatives or investments in technology;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or investment initiatives including our newly launched artificial intelligence acceleration plan (the ‘Plan’); our cybersecurity and privacy processes; our application of artificial intelligence technologies throughout our business and our ability to compete with artificial intelligence technologies offered by new or existing competitors; our ability to protect our intellectual property; our compliance with laws and regulations; risks associated with being an Irish-incorporated company;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income, adjusted operating margin and adjusted earnings per share, are forward-looking statements. Also, when we use words such as ‘may’, ‘will’, ‘would’, ‘anticipate’, ‘believe’, ‘estimate’, ‘expect’, ‘intend’, ‘plan’, ‘continues’, ‘seek’, ‘target’, ‘goal’, ‘focus’, ‘probably’, or similar</w:t>
      </w:r>
    </w:p>
    <w:p>
      <w:pPr>
        <w:sectPr>
          <w:pgSz w:w="11900" w:h="16840" w:orient="portrait"/>
          <w:cols w:equalWidth="0" w:num="1">
            <w:col w:w="11260"/>
          </w:cols>
          <w:pgMar w:left="320" w:top="115" w:right="319" w:bottom="0" w:gutter="0" w:footer="0" w:header="0"/>
        </w:sectPr>
      </w:pPr>
    </w:p>
    <w:bookmarkStart w:id="7" w:name="page8"/>
    <w:bookmarkEnd w:id="7"/>
    <w:p>
      <w:pPr>
        <w:ind w:right="60"/>
        <w:spacing w:after="0" w:line="253" w:lineRule="auto"/>
        <w:rPr>
          <w:sz w:val="20"/>
          <w:szCs w:val="20"/>
          <w:color w:val="auto"/>
        </w:rPr>
      </w:pPr>
      <w:r>
        <w:rPr>
          <w:rFonts w:ascii="Times New Roman" w:cs="Times New Roman" w:eastAsia="Times New Roman" w:hAnsi="Times New Roman"/>
          <w:sz w:val="19"/>
          <w:szCs w:val="19"/>
          <w:color w:val="auto"/>
        </w:rPr>
        <w:t>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4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9"/>
          <w:szCs w:val="19"/>
          <w:color w:val="auto"/>
        </w:rPr>
        <w:t>There are important risks, uncertainties, events and factors that could cause our actual results or performance to differ materially from those in the forward-looking statements contained in this document, including the following: our ability to successfully establish, execute and achieve our global business strategy as it evolves; our ability to fully realize the anticipated benefits of our growth strategy, including inorganic growth through acquisitions; our ability to achieve our short-term and long-term financial goals, including with respect to our cash flow generation, the timing with respect to such achievement and how such achievement may be impacted by any of the risks or uncertainties set forth herein or elsewhere; the risks related to changes in general economic conditions, business and political conditions, changes in the financial markets, inflation, credit availability, increased interest rates, changes in trade policies, increased tariffs and retaliatory actions; our ability to make divestitures or acquisitions, including our ability to integrate or manage acquired businesses or carve-out businesses to be disposed, as well as our ability to identify and successfully execute on opportunities for strategic collaboration; the risks relating to the adverse impacts of macroeconomic trends, including those relating to changes in trade policies and tariffs, as well as political events, war, such as the Russia-Ukraine war and conflict in the Middle East, and other international disputes, terrorism, natural disasters, public health issues and other business interruptions on the global economy and capital markets, such as uncertainty in the global markets, inflation, changes in interest rates and recessionary trends, changes in spending by government agencies and contractors, which could have a material adverse effect on our business, financial condition, results of operations and long-term goals; our ability to successfully hedge against fluctuations in foreign currency rates; significant competition that we face and the potential for loss of market share and/or profitability; the impact of seasonality and differences in timing of renewals and non-recurring revenue increases from disposals and book-of-business sales; our ability to comply with complex and evolving regulations related to data privacy, cybersecurity and artificial intelligence; material interruptions to or loss of our information processing capabilities, or failure to effectively maintain and upgrade our information technology resources and systems and related risks of cybersecurity breaches or incidents; the insufficiency of client data protection, potential breaches of information systems or insufficient safeguards against cybersecurity breaches or incidents; our ability to effectively apply artificial intelligence and other technology, data and analytics solutions, including through the use of artificial intelligence, for internal operations, maintaining industry standards, meeting client preferences and gaining competitive advantage, among other things; the effect of competitive products (including those incorporating artificial intelligence) and pricing including the level of success of new product developments and related global expansion; the risk of increased liability or new legal claims arising from or relating to our operations, products and/or services, and expectations, intentions and outcomes relating to outstanding litigation; the risk of substantial negative outcomes on existing or potential future litigation or investigation matters; changes in the regulatory environment in which we operate, including, among other risks, the impacts of pending competition law and regulatory investigations; compliance with extensive government regulation; the risk of regulatory claims, government inquiries or investigations or the potential for regulatory action in various jurisdictions where we operate around the world; our ability to integrate direct-to-consumer sales and marketing solutions with our existing offerings and solutions; our ability to successfully manage organizational changes, including as a result of our investments in improving systems and processes or other initiatives, and in connection with our acquisition and divestiture activities; the risks relating to the implementation of the Plan; disasters or business continuity problems; the risks relating to the adverse impacts of natural or man-made disasters such as health pandemics and other world health crises on the demand for our products and services, our cash flows and our business operations; our ability to increase free cash flow through enhanced billing, collection and other working capital efforts; our ability to properly identify and manage conflicts of interest; reputational damage, including from association with third parties; reliance on third-party service providers and suppliers; risks relating to changes in our management structures and in senior leadership; our ability to hire key employees and maintain an appropriate number of employees; our ability to maintain our corporate culture; doing business internationally, including the impact of global trade policies and retaliatory considerations as well as foreign currency exchange rates; the risk of sanctions imposed by governments, or changes to associated sanction regulations and related counter-sanctions; changes and developments in the insurance industry or the U.S. healthcare system, including those related to Medicare, and any other changes and developments in legal, regulatory, economic, business or operational conditions that could impact our businesses; the inability to protect our intellectual property rights, or the potential infringement upon the intellectual property rights of others; 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 risks relating to our capital structure, including indebtedness amounts, the limitations imposed by the covenants in the documents governing such indebtedness and the maintenance of the financial and disclosure controls and procedures of each; our ability to obtain financing on favorable terms or at all; adverse changes in our credit ratings; the impact of recent or potential changes to applicable U.S. state, federal and/or foreign laws, rules and regulations, recent judicial decisions and case law developments, and any other relevant policy changes and legislative actions, including the ‘Act to provide for reconciliation pursuant to title II of H. Con. Res. 14’ (‘H.R. 1’) signed into law on July 4, 2025, on our business, operations or results; the impact of recent or potential changes in state, federal, and/or foreign tax laws and regulations, including those that may impose additional excise taxes or impact our effective tax rate, including H.R. 1; U.S. federal income tax consequences to U.S. persons owning at least 10% of our shares; changes in accounting principles, estimates or assumptions; our recognition of future impairment charges; risks relating to or arising from environmental, social and governance (‘ESG’) practices; fluctuation in revenue against our relatively fixed or higher-than-expected expenses; the risk that market downturns can have a significant impact on investments made across our portfolios; the laws of Ireland being different from the laws of the U.S. and potentially affording less protections to the holders of our securities; and our holding company structure potentially preventing us from being able to receive dividends or other distributions in needed amounts from our subsidiaries.</w:t>
      </w:r>
    </w:p>
    <w:p>
      <w:pPr>
        <w:spacing w:after="0" w:line="15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9"/>
          <w:szCs w:val="19"/>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46"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9"/>
          <w:szCs w:val="19"/>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document, our inclusion of this information is not a representation or guarantee by us that our objectives and plans will be achieved.</w:t>
      </w:r>
    </w:p>
    <w:p>
      <w:pPr>
        <w:spacing w:after="0" w:line="15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9"/>
          <w:szCs w:val="19"/>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INVESTORS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Claudia De La Hoz | Claudia.Delahoz@wtwco.com</w:t>
      </w:r>
    </w:p>
    <w:p>
      <w:pPr>
        <w:sectPr>
          <w:pgSz w:w="11900" w:h="16838" w:orient="portrait"/>
          <w:cols w:equalWidth="0" w:num="1">
            <w:col w:w="11260"/>
          </w:cols>
          <w:pgMar w:left="320" w:top="115" w:right="319" w:bottom="0" w:gutter="0" w:footer="0" w:header="0"/>
        </w:sectPr>
      </w:pPr>
    </w:p>
    <w:bookmarkStart w:id="8" w:name="page9"/>
    <w:bookmarkEnd w:id="8"/>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WTW</w:t>
      </w:r>
    </w:p>
    <w:p>
      <w:pPr>
        <w:spacing w:after="0" w:line="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Supplemental Segment Information</w:t>
      </w:r>
    </w:p>
    <w:p>
      <w:pPr>
        <w:jc w:val="center"/>
        <w:ind w:right="-3"/>
        <w:spacing w:after="0" w:line="236" w:lineRule="auto"/>
        <w:rPr>
          <w:sz w:val="20"/>
          <w:szCs w:val="20"/>
          <w:color w:val="auto"/>
        </w:rPr>
      </w:pPr>
      <w:r>
        <w:rPr>
          <w:rFonts w:ascii="Times New Roman" w:cs="Times New Roman" w:eastAsia="Times New Roman" w:hAnsi="Times New Roman"/>
          <w:sz w:val="19"/>
          <w:szCs w:val="19"/>
          <w:color w:val="auto"/>
        </w:rPr>
        <w:t>(In millions of U.S. dollars)</w:t>
      </w:r>
    </w:p>
    <w:p>
      <w:pPr>
        <w:jc w:val="center"/>
        <w:ind w:right="-3"/>
        <w:spacing w:after="0"/>
        <w:rPr>
          <w:sz w:val="20"/>
          <w:szCs w:val="20"/>
          <w:color w:val="auto"/>
        </w:rPr>
      </w:pPr>
      <w:r>
        <w:rPr>
          <w:rFonts w:ascii="Times New Roman" w:cs="Times New Roman" w:eastAsia="Times New Roman" w:hAnsi="Times New Roman"/>
          <w:sz w:val="19"/>
          <w:szCs w:val="19"/>
          <w:color w:val="auto"/>
        </w:rPr>
        <w:t>(Unaudited)</w:t>
      </w:r>
    </w:p>
    <w:p>
      <w:pPr>
        <w:spacing w:after="0" w:line="236" w:lineRule="exact"/>
        <w:rPr>
          <w:sz w:val="20"/>
          <w:szCs w:val="20"/>
          <w:color w:val="auto"/>
        </w:rPr>
      </w:pPr>
    </w:p>
    <w:tbl>
      <w:tblPr>
        <w:tblLayout w:type="fixed"/>
        <w:tblInd w:w="4" w:type="dxa"/>
        <w:tblCellMar>
          <w:top w:w="0" w:type="dxa"/>
          <w:left w:w="0" w:type="dxa"/>
          <w:bottom w:w="0" w:type="dxa"/>
          <w:right w:w="0" w:type="dxa"/>
        </w:tblCellMar>
      </w:tblPr>
      <w:tr>
        <w:trPr>
          <w:trHeight w:val="252"/>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REVENUE</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700" w:type="dxa"/>
            <w:vAlign w:val="bottom"/>
            <w:gridSpan w:val="7"/>
            <w:vMerge w:val="restart"/>
          </w:tcPr>
          <w:p>
            <w:pPr>
              <w:spacing w:after="0"/>
              <w:rPr>
                <w:sz w:val="20"/>
                <w:szCs w:val="20"/>
                <w:color w:val="auto"/>
              </w:rPr>
            </w:pPr>
            <w:r>
              <w:rPr>
                <w:rFonts w:ascii="Times New Roman" w:cs="Times New Roman" w:eastAsia="Times New Roman" w:hAnsi="Times New Roman"/>
                <w:sz w:val="19"/>
                <w:szCs w:val="19"/>
                <w:color w:val="auto"/>
                <w:w w:val="99"/>
              </w:rPr>
              <w:t>Components of Revenue Change</w:t>
            </w:r>
            <w:r>
              <w:rPr>
                <w:rFonts w:ascii="Times New Roman" w:cs="Times New Roman" w:eastAsia="Times New Roman" w:hAnsi="Times New Roman"/>
                <w:sz w:val="31"/>
                <w:szCs w:val="31"/>
                <w:color w:val="auto"/>
                <w:w w:val="99"/>
                <w:vertAlign w:val="superscript"/>
              </w:rPr>
              <w:t>(i)</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3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vMerge w:val="continue"/>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4"/>
            <w:vMerge w:val="restart"/>
          </w:tcPr>
          <w:p>
            <w:pPr>
              <w:jc w:val="right"/>
              <w:ind w:right="164"/>
              <w:spacing w:after="0"/>
              <w:rPr>
                <w:sz w:val="20"/>
                <w:szCs w:val="20"/>
                <w:color w:val="auto"/>
              </w:rPr>
            </w:pPr>
            <w:r>
              <w:rPr>
                <w:rFonts w:ascii="Times New Roman" w:cs="Times New Roman" w:eastAsia="Times New Roman" w:hAnsi="Times New Roman"/>
                <w:sz w:val="19"/>
                <w:szCs w:val="19"/>
                <w:color w:val="auto"/>
              </w:rPr>
              <w:t>Three Months Ended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Less: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9"/>
                <w:szCs w:val="19"/>
                <w:color w:val="auto"/>
              </w:rPr>
              <w:t>Constant</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color w:val="auto"/>
                <w:w w:val="99"/>
              </w:rPr>
              <w:t>Less: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6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4"/>
          </w:tcPr>
          <w:p>
            <w:pPr>
              <w:jc w:val="right"/>
              <w:ind w:right="404"/>
              <w:spacing w:after="0"/>
              <w:rPr>
                <w:sz w:val="20"/>
                <w:szCs w:val="20"/>
                <w:color w:val="auto"/>
              </w:rPr>
            </w:pPr>
            <w:r>
              <w:rPr>
                <w:rFonts w:ascii="Times New Roman" w:cs="Times New Roman" w:eastAsia="Times New Roman" w:hAnsi="Times New Roman"/>
                <w:sz w:val="19"/>
                <w:szCs w:val="19"/>
                <w:color w:val="auto"/>
              </w:rPr>
              <w:t>September 30,</w:t>
            </w:r>
          </w:p>
        </w:tc>
        <w:tc>
          <w:tcPr>
            <w:tcW w:w="1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As Reported</w:t>
            </w: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w w:val="98"/>
              </w:rPr>
              <w:t>Currency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Currency</w:t>
            </w: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9"/>
                <w:szCs w:val="19"/>
                <w:color w:val="auto"/>
              </w:rPr>
              <w:t>Acquisitions/</w:t>
            </w: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Organic</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2026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9"/>
                <w:szCs w:val="19"/>
                <w:color w:val="auto"/>
              </w:rPr>
              <w:t>2025</w:t>
            </w:r>
          </w:p>
        </w:tc>
        <w:tc>
          <w:tcPr>
            <w:tcW w:w="12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 Change</w:t>
            </w: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Impact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Change</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color w:val="auto"/>
              </w:rPr>
              <w:t>Divestitures</w:t>
            </w: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9"/>
              </w:rPr>
              <w:t>Change</w:t>
            </w:r>
          </w:p>
        </w:tc>
        <w:tc>
          <w:tcPr>
            <w:tcW w:w="0" w:type="dxa"/>
            <w:vAlign w:val="bottom"/>
          </w:tcPr>
          <w:p>
            <w:pPr>
              <w:spacing w:after="0"/>
              <w:rPr>
                <w:sz w:val="1"/>
                <w:szCs w:val="1"/>
                <w:color w:val="auto"/>
              </w:rPr>
            </w:pP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Health, Wealth &amp; Career</w:t>
            </w:r>
          </w:p>
        </w:tc>
        <w:tc>
          <w:tcPr>
            <w:tcW w:w="1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Revenue excluding 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1,343</w:t>
            </w:r>
          </w:p>
        </w:tc>
        <w:tc>
          <w:tcPr>
            <w:tcW w:w="100" w:type="dxa"/>
            <w:vAlign w:val="bottom"/>
          </w:tcPr>
          <w:p>
            <w:pPr>
              <w:spacing w:after="0"/>
              <w:rPr>
                <w:sz w:val="20"/>
                <w:szCs w:val="20"/>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1,253</w:t>
            </w:r>
          </w:p>
        </w:tc>
        <w:tc>
          <w:tcPr>
            <w:tcW w:w="1120" w:type="dxa"/>
            <w:vAlign w:val="bottom"/>
            <w:gridSpan w:val="2"/>
          </w:tcPr>
          <w:p>
            <w:pPr>
              <w:jc w:val="center"/>
              <w:ind w:left="44"/>
              <w:spacing w:after="0"/>
              <w:rPr>
                <w:sz w:val="20"/>
                <w:szCs w:val="20"/>
                <w:color w:val="auto"/>
              </w:rPr>
            </w:pPr>
            <w:r>
              <w:rPr>
                <w:rFonts w:ascii="Times New Roman" w:cs="Times New Roman" w:eastAsia="Times New Roman" w:hAnsi="Times New Roman"/>
                <w:sz w:val="19"/>
                <w:szCs w:val="19"/>
                <w:color w:val="auto"/>
              </w:rPr>
              <w:t>7%</w:t>
            </w:r>
          </w:p>
        </w:tc>
        <w:tc>
          <w:tcPr>
            <w:tcW w:w="100" w:type="dxa"/>
            <w:vAlign w:val="bottom"/>
          </w:tcPr>
          <w:p>
            <w:pPr>
              <w:spacing w:after="0"/>
              <w:rPr>
                <w:sz w:val="20"/>
                <w:szCs w:val="20"/>
                <w:color w:val="auto"/>
              </w:rPr>
            </w:pP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0%</w:t>
            </w:r>
          </w:p>
        </w:tc>
        <w:tc>
          <w:tcPr>
            <w:tcW w:w="1260" w:type="dxa"/>
            <w:vAlign w:val="bottom"/>
            <w:gridSpan w:val="3"/>
          </w:tcPr>
          <w:p>
            <w:pPr>
              <w:jc w:val="center"/>
              <w:ind w:left="184"/>
              <w:spacing w:after="0"/>
              <w:rPr>
                <w:sz w:val="20"/>
                <w:szCs w:val="20"/>
                <w:color w:val="auto"/>
              </w:rPr>
            </w:pPr>
            <w:r>
              <w:rPr>
                <w:rFonts w:ascii="Times New Roman" w:cs="Times New Roman" w:eastAsia="Times New Roman" w:hAnsi="Times New Roman"/>
                <w:sz w:val="19"/>
                <w:szCs w:val="19"/>
                <w:color w:val="auto"/>
              </w:rPr>
              <w:t>7%</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7</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80" w:type="dxa"/>
            <w:vAlign w:val="bottom"/>
          </w:tcPr>
          <w:p>
            <w:pPr>
              <w:spacing w:after="0"/>
              <w:rPr>
                <w:sz w:val="21"/>
                <w:szCs w:val="21"/>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1,350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1,261</w:t>
            </w:r>
          </w:p>
        </w:tc>
        <w:tc>
          <w:tcPr>
            <w:tcW w:w="112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w w:val="98"/>
              </w:rPr>
              <w:t>7%</w:t>
            </w:r>
          </w:p>
        </w:tc>
        <w:tc>
          <w:tcPr>
            <w:tcW w:w="100" w:type="dxa"/>
            <w:vAlign w:val="bottom"/>
          </w:tcPr>
          <w:p>
            <w:pPr>
              <w:spacing w:after="0"/>
              <w:rPr>
                <w:sz w:val="21"/>
                <w:szCs w:val="21"/>
                <w:color w:val="auto"/>
              </w:rPr>
            </w:pPr>
          </w:p>
        </w:tc>
        <w:tc>
          <w:tcPr>
            <w:tcW w:w="8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w w:val="98"/>
              </w:rPr>
              <w:t>0%</w:t>
            </w:r>
          </w:p>
        </w:tc>
        <w:tc>
          <w:tcPr>
            <w:tcW w:w="1260" w:type="dxa"/>
            <w:vAlign w:val="bottom"/>
            <w:gridSpan w:val="3"/>
          </w:tcPr>
          <w:p>
            <w:pPr>
              <w:jc w:val="center"/>
              <w:ind w:left="164"/>
              <w:spacing w:after="0"/>
              <w:rPr>
                <w:sz w:val="20"/>
                <w:szCs w:val="20"/>
                <w:color w:val="auto"/>
              </w:rPr>
            </w:pPr>
            <w:r>
              <w:rPr>
                <w:rFonts w:ascii="Times New Roman" w:cs="Times New Roman" w:eastAsia="Times New Roman" w:hAnsi="Times New Roman"/>
                <w:sz w:val="19"/>
                <w:szCs w:val="19"/>
                <w:b w:val="1"/>
                <w:bCs w:val="1"/>
                <w:color w:val="auto"/>
                <w:w w:val="98"/>
              </w:rPr>
              <w:t>7%</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center"/>
              <w:ind w:right="66"/>
              <w:spacing w:after="0"/>
              <w:rPr>
                <w:sz w:val="20"/>
                <w:szCs w:val="20"/>
                <w:color w:val="auto"/>
              </w:rPr>
            </w:pPr>
            <w:r>
              <w:rPr>
                <w:rFonts w:ascii="Times New Roman" w:cs="Times New Roman" w:eastAsia="Times New Roman" w:hAnsi="Times New Roman"/>
                <w:sz w:val="19"/>
                <w:szCs w:val="19"/>
                <w:b w:val="1"/>
                <w:bCs w:val="1"/>
                <w:color w:val="auto"/>
                <w:w w:val="98"/>
              </w:rPr>
              <w:t>4%</w:t>
            </w:r>
          </w:p>
        </w:tc>
        <w:tc>
          <w:tcPr>
            <w:tcW w:w="0" w:type="dxa"/>
            <w:vAlign w:val="bottom"/>
          </w:tcPr>
          <w:p>
            <w:pPr>
              <w:spacing w:after="0"/>
              <w:rPr>
                <w:sz w:val="1"/>
                <w:szCs w:val="1"/>
                <w:color w:val="auto"/>
              </w:rPr>
            </w:pPr>
          </w:p>
        </w:tc>
      </w:tr>
      <w:tr>
        <w:trPr>
          <w:trHeight w:val="452"/>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Risk &amp; Broking</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Revenue excluding interest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1,061</w:t>
            </w:r>
          </w:p>
        </w:tc>
        <w:tc>
          <w:tcPr>
            <w:tcW w:w="100" w:type="dxa"/>
            <w:vAlign w:val="bottom"/>
          </w:tcPr>
          <w:p>
            <w:pPr>
              <w:spacing w:after="0"/>
              <w:rPr>
                <w:sz w:val="20"/>
                <w:szCs w:val="20"/>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979</w:t>
            </w:r>
          </w:p>
        </w:tc>
        <w:tc>
          <w:tcPr>
            <w:tcW w:w="1120" w:type="dxa"/>
            <w:vAlign w:val="bottom"/>
            <w:gridSpan w:val="2"/>
          </w:tcPr>
          <w:p>
            <w:pPr>
              <w:jc w:val="center"/>
              <w:ind w:left="44"/>
              <w:spacing w:after="0"/>
              <w:rPr>
                <w:sz w:val="20"/>
                <w:szCs w:val="20"/>
                <w:color w:val="auto"/>
              </w:rPr>
            </w:pPr>
            <w:r>
              <w:rPr>
                <w:rFonts w:ascii="Times New Roman" w:cs="Times New Roman" w:eastAsia="Times New Roman" w:hAnsi="Times New Roman"/>
                <w:sz w:val="19"/>
                <w:szCs w:val="19"/>
                <w:color w:val="auto"/>
              </w:rPr>
              <w:t>8%</w:t>
            </w:r>
          </w:p>
        </w:tc>
        <w:tc>
          <w:tcPr>
            <w:tcW w:w="100" w:type="dxa"/>
            <w:vAlign w:val="bottom"/>
          </w:tcPr>
          <w:p>
            <w:pPr>
              <w:spacing w:after="0"/>
              <w:rPr>
                <w:sz w:val="20"/>
                <w:szCs w:val="20"/>
                <w:color w:val="auto"/>
              </w:rPr>
            </w:pP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0%</w:t>
            </w:r>
          </w:p>
        </w:tc>
        <w:tc>
          <w:tcPr>
            <w:tcW w:w="1260" w:type="dxa"/>
            <w:vAlign w:val="bottom"/>
            <w:gridSpan w:val="3"/>
          </w:tcPr>
          <w:p>
            <w:pPr>
              <w:jc w:val="center"/>
              <w:ind w:left="184"/>
              <w:spacing w:after="0"/>
              <w:rPr>
                <w:sz w:val="20"/>
                <w:szCs w:val="20"/>
                <w:color w:val="auto"/>
              </w:rPr>
            </w:pPr>
            <w:r>
              <w:rPr>
                <w:rFonts w:ascii="Times New Roman" w:cs="Times New Roman" w:eastAsia="Times New Roman" w:hAnsi="Times New Roman"/>
                <w:sz w:val="19"/>
                <w:szCs w:val="19"/>
                <w:color w:val="auto"/>
              </w:rPr>
              <w:t>8%</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26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28</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80" w:type="dxa"/>
            <w:vAlign w:val="bottom"/>
          </w:tcPr>
          <w:p>
            <w:pPr>
              <w:spacing w:after="0"/>
              <w:rPr>
                <w:sz w:val="21"/>
                <w:szCs w:val="21"/>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1,087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1,007</w:t>
            </w:r>
          </w:p>
        </w:tc>
        <w:tc>
          <w:tcPr>
            <w:tcW w:w="112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w w:val="98"/>
              </w:rPr>
              <w:t>8%</w:t>
            </w:r>
          </w:p>
        </w:tc>
        <w:tc>
          <w:tcPr>
            <w:tcW w:w="100" w:type="dxa"/>
            <w:vAlign w:val="bottom"/>
          </w:tcPr>
          <w:p>
            <w:pPr>
              <w:spacing w:after="0"/>
              <w:rPr>
                <w:sz w:val="21"/>
                <w:szCs w:val="21"/>
                <w:color w:val="auto"/>
              </w:rPr>
            </w:pPr>
          </w:p>
        </w:tc>
        <w:tc>
          <w:tcPr>
            <w:tcW w:w="8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w w:val="98"/>
              </w:rPr>
              <w:t>0%</w:t>
            </w:r>
          </w:p>
        </w:tc>
        <w:tc>
          <w:tcPr>
            <w:tcW w:w="1260" w:type="dxa"/>
            <w:vAlign w:val="bottom"/>
            <w:gridSpan w:val="3"/>
          </w:tcPr>
          <w:p>
            <w:pPr>
              <w:jc w:val="center"/>
              <w:ind w:left="164"/>
              <w:spacing w:after="0"/>
              <w:rPr>
                <w:sz w:val="20"/>
                <w:szCs w:val="20"/>
                <w:color w:val="auto"/>
              </w:rPr>
            </w:pPr>
            <w:r>
              <w:rPr>
                <w:rFonts w:ascii="Times New Roman" w:cs="Times New Roman" w:eastAsia="Times New Roman" w:hAnsi="Times New Roman"/>
                <w:sz w:val="19"/>
                <w:szCs w:val="19"/>
                <w:b w:val="1"/>
                <w:bCs w:val="1"/>
                <w:color w:val="auto"/>
                <w:w w:val="98"/>
              </w:rPr>
              <w:t>8%</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center"/>
              <w:ind w:right="66"/>
              <w:spacing w:after="0"/>
              <w:rPr>
                <w:sz w:val="20"/>
                <w:szCs w:val="20"/>
                <w:color w:val="auto"/>
              </w:rPr>
            </w:pPr>
            <w:r>
              <w:rPr>
                <w:rFonts w:ascii="Times New Roman" w:cs="Times New Roman" w:eastAsia="Times New Roman" w:hAnsi="Times New Roman"/>
                <w:sz w:val="19"/>
                <w:szCs w:val="19"/>
                <w:b w:val="1"/>
                <w:bCs w:val="1"/>
                <w:color w:val="auto"/>
                <w:w w:val="98"/>
              </w:rPr>
              <w:t>5%</w:t>
            </w:r>
          </w:p>
        </w:tc>
        <w:tc>
          <w:tcPr>
            <w:tcW w:w="0" w:type="dxa"/>
            <w:vAlign w:val="bottom"/>
          </w:tcPr>
          <w:p>
            <w:pPr>
              <w:spacing w:after="0"/>
              <w:rPr>
                <w:sz w:val="1"/>
                <w:szCs w:val="1"/>
                <w:color w:val="auto"/>
              </w:rPr>
            </w:pPr>
          </w:p>
        </w:tc>
      </w:tr>
      <w:tr>
        <w:trPr>
          <w:trHeight w:val="452"/>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Segment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2,437</w:t>
            </w:r>
          </w:p>
        </w:tc>
        <w:tc>
          <w:tcPr>
            <w:tcW w:w="100" w:type="dxa"/>
            <w:vAlign w:val="bottom"/>
          </w:tcPr>
          <w:p>
            <w:pPr>
              <w:spacing w:after="0"/>
              <w:rPr>
                <w:sz w:val="24"/>
                <w:szCs w:val="24"/>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2,268</w:t>
            </w:r>
          </w:p>
        </w:tc>
        <w:tc>
          <w:tcPr>
            <w:tcW w:w="1120" w:type="dxa"/>
            <w:vAlign w:val="bottom"/>
            <w:gridSpan w:val="2"/>
          </w:tcPr>
          <w:p>
            <w:pPr>
              <w:jc w:val="center"/>
              <w:ind w:left="44"/>
              <w:spacing w:after="0"/>
              <w:rPr>
                <w:sz w:val="20"/>
                <w:szCs w:val="20"/>
                <w:color w:val="auto"/>
              </w:rPr>
            </w:pPr>
            <w:r>
              <w:rPr>
                <w:rFonts w:ascii="Times New Roman" w:cs="Times New Roman" w:eastAsia="Times New Roman" w:hAnsi="Times New Roman"/>
                <w:sz w:val="19"/>
                <w:szCs w:val="19"/>
                <w:color w:val="auto"/>
              </w:rPr>
              <w:t>8%</w:t>
            </w:r>
          </w:p>
        </w:tc>
        <w:tc>
          <w:tcPr>
            <w:tcW w:w="100" w:type="dxa"/>
            <w:vAlign w:val="bottom"/>
          </w:tcPr>
          <w:p>
            <w:pPr>
              <w:spacing w:after="0"/>
              <w:rPr>
                <w:sz w:val="24"/>
                <w:szCs w:val="24"/>
                <w:color w:val="auto"/>
              </w:rPr>
            </w:pP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0%</w:t>
            </w:r>
          </w:p>
        </w:tc>
        <w:tc>
          <w:tcPr>
            <w:tcW w:w="1260" w:type="dxa"/>
            <w:vAlign w:val="bottom"/>
            <w:gridSpan w:val="3"/>
          </w:tcPr>
          <w:p>
            <w:pPr>
              <w:jc w:val="center"/>
              <w:ind w:left="184"/>
              <w:spacing w:after="0"/>
              <w:rPr>
                <w:sz w:val="20"/>
                <w:szCs w:val="20"/>
                <w:color w:val="auto"/>
              </w:rPr>
            </w:pPr>
            <w:r>
              <w:rPr>
                <w:rFonts w:ascii="Times New Roman" w:cs="Times New Roman" w:eastAsia="Times New Roman" w:hAnsi="Times New Roman"/>
                <w:sz w:val="19"/>
                <w:szCs w:val="19"/>
                <w:color w:val="auto"/>
              </w:rPr>
              <w:t>8%</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15"/>
        </w:trPr>
        <w:tc>
          <w:tcPr>
            <w:tcW w:w="350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Corporate, reimbursable expenses and</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other</w:t>
            </w:r>
          </w:p>
        </w:tc>
        <w:tc>
          <w:tcPr>
            <w:tcW w:w="180" w:type="dxa"/>
            <w:vAlign w:val="bottom"/>
          </w:tcPr>
          <w:p>
            <w:pPr>
              <w:spacing w:after="0"/>
              <w:rPr>
                <w:sz w:val="20"/>
                <w:szCs w:val="20"/>
                <w:color w:val="auto"/>
              </w:rPr>
            </w:pPr>
          </w:p>
        </w:tc>
        <w:tc>
          <w:tcPr>
            <w:tcW w:w="8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restart"/>
          </w:tcPr>
          <w:p>
            <w:pPr>
              <w:jc w:val="center"/>
              <w:ind w:right="86"/>
              <w:spacing w:after="0"/>
              <w:rPr>
                <w:sz w:val="20"/>
                <w:szCs w:val="20"/>
                <w:color w:val="auto"/>
              </w:rPr>
            </w:pPr>
            <w:r>
              <w:rPr>
                <w:rFonts w:ascii="Times New Roman" w:cs="Times New Roman" w:eastAsia="Times New Roman" w:hAnsi="Times New Roman"/>
                <w:sz w:val="38"/>
                <w:szCs w:val="38"/>
                <w:b w:val="1"/>
                <w:bCs w:val="1"/>
                <w:color w:val="auto"/>
                <w:w w:val="86"/>
                <w:vertAlign w:val="subscript"/>
              </w:rPr>
              <w:t>4%</w:t>
            </w:r>
            <w:r>
              <w:rPr>
                <w:rFonts w:ascii="Times New Roman" w:cs="Times New Roman" w:eastAsia="Times New Roman" w:hAnsi="Times New Roman"/>
                <w:sz w:val="16"/>
                <w:szCs w:val="16"/>
                <w:b w:val="1"/>
                <w:bCs w:val="1"/>
                <w:color w:val="auto"/>
                <w:w w:val="86"/>
              </w:rPr>
              <w:t>(ii)</w:t>
            </w:r>
          </w:p>
        </w:tc>
        <w:tc>
          <w:tcPr>
            <w:tcW w:w="0" w:type="dxa"/>
            <w:vAlign w:val="bottom"/>
          </w:tcPr>
          <w:p>
            <w:pPr>
              <w:spacing w:after="0"/>
              <w:rPr>
                <w:sz w:val="1"/>
                <w:szCs w:val="1"/>
                <w:color w:val="auto"/>
              </w:rPr>
            </w:pPr>
          </w:p>
        </w:tc>
      </w:tr>
      <w:tr>
        <w:trPr>
          <w:trHeight w:val="244"/>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Revenue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8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2,460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2,288</w:t>
            </w:r>
          </w:p>
        </w:tc>
        <w:tc>
          <w:tcPr>
            <w:tcW w:w="112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w w:val="98"/>
              </w:rPr>
              <w:t>8%</w:t>
            </w:r>
          </w:p>
        </w:tc>
        <w:tc>
          <w:tcPr>
            <w:tcW w:w="100" w:type="dxa"/>
            <w:vAlign w:val="bottom"/>
          </w:tcPr>
          <w:p>
            <w:pPr>
              <w:spacing w:after="0"/>
              <w:rPr>
                <w:sz w:val="21"/>
                <w:szCs w:val="21"/>
                <w:color w:val="auto"/>
              </w:rPr>
            </w:pPr>
          </w:p>
        </w:tc>
        <w:tc>
          <w:tcPr>
            <w:tcW w:w="8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w w:val="98"/>
              </w:rPr>
              <w:t>0%</w:t>
            </w:r>
          </w:p>
        </w:tc>
        <w:tc>
          <w:tcPr>
            <w:tcW w:w="1260" w:type="dxa"/>
            <w:vAlign w:val="bottom"/>
            <w:gridSpan w:val="3"/>
          </w:tcPr>
          <w:p>
            <w:pPr>
              <w:jc w:val="center"/>
              <w:ind w:left="164"/>
              <w:spacing w:after="0"/>
              <w:rPr>
                <w:sz w:val="20"/>
                <w:szCs w:val="20"/>
                <w:color w:val="auto"/>
              </w:rPr>
            </w:pPr>
            <w:r>
              <w:rPr>
                <w:rFonts w:ascii="Times New Roman" w:cs="Times New Roman" w:eastAsia="Times New Roman" w:hAnsi="Times New Roman"/>
                <w:sz w:val="19"/>
                <w:szCs w:val="19"/>
                <w:b w:val="1"/>
                <w:bCs w:val="1"/>
                <w:color w:val="auto"/>
                <w:w w:val="98"/>
              </w:rPr>
              <w:t>8%</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 w:type="dxa"/>
        <w:tblCellMar>
          <w:top w:w="0" w:type="dxa"/>
          <w:left w:w="0" w:type="dxa"/>
          <w:bottom w:w="0" w:type="dxa"/>
          <w:right w:w="0" w:type="dxa"/>
        </w:tblCellMar>
      </w:tblPr>
      <w:tr>
        <w:trPr>
          <w:trHeight w:val="356"/>
        </w:trPr>
        <w:tc>
          <w:tcPr>
            <w:tcW w:w="3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9"/>
                <w:szCs w:val="19"/>
                <w:color w:val="auto"/>
                <w:w w:val="99"/>
              </w:rPr>
              <w:t>Components of Revenue Change</w:t>
            </w:r>
            <w:r>
              <w:rPr>
                <w:rFonts w:ascii="Times New Roman" w:cs="Times New Roman" w:eastAsia="Times New Roman" w:hAnsi="Times New Roman"/>
                <w:sz w:val="31"/>
                <w:szCs w:val="31"/>
                <w:color w:val="auto"/>
                <w:w w:val="99"/>
                <w:vertAlign w:val="superscript"/>
              </w:rPr>
              <w:t>(i)</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40" w:type="dxa"/>
            <w:vAlign w:val="bottom"/>
            <w:gridSpan w:val="4"/>
            <w:vMerge w:val="restart"/>
          </w:tcPr>
          <w:p>
            <w:pPr>
              <w:jc w:val="right"/>
              <w:ind w:right="204"/>
              <w:spacing w:after="0"/>
              <w:rPr>
                <w:sz w:val="20"/>
                <w:szCs w:val="20"/>
                <w:color w:val="auto"/>
              </w:rPr>
            </w:pPr>
            <w:r>
              <w:rPr>
                <w:rFonts w:ascii="Times New Roman" w:cs="Times New Roman" w:eastAsia="Times New Roman" w:hAnsi="Times New Roman"/>
                <w:sz w:val="19"/>
                <w:szCs w:val="19"/>
                <w:color w:val="auto"/>
              </w:rPr>
              <w:t>Nine Months Ended</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Less: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9"/>
                <w:szCs w:val="19"/>
                <w:color w:val="auto"/>
              </w:rPr>
              <w:t>Constant</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color w:val="auto"/>
                <w:w w:val="99"/>
              </w:rPr>
              <w:t>Less:</w:t>
            </w: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gridSpan w:val="4"/>
          </w:tcPr>
          <w:p>
            <w:pPr>
              <w:jc w:val="right"/>
              <w:ind w:right="404"/>
              <w:spacing w:after="0"/>
              <w:rPr>
                <w:sz w:val="20"/>
                <w:szCs w:val="20"/>
                <w:color w:val="auto"/>
              </w:rPr>
            </w:pPr>
            <w:r>
              <w:rPr>
                <w:rFonts w:ascii="Times New Roman" w:cs="Times New Roman" w:eastAsia="Times New Roman" w:hAnsi="Times New Roman"/>
                <w:sz w:val="19"/>
                <w:szCs w:val="19"/>
                <w:color w:val="auto"/>
              </w:rPr>
              <w:t>September 30,</w:t>
            </w:r>
          </w:p>
        </w:tc>
        <w:tc>
          <w:tcPr>
            <w:tcW w:w="12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As Reported</w:t>
            </w: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w w:val="98"/>
              </w:rPr>
              <w:t>Currency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Currency</w:t>
            </w:r>
          </w:p>
        </w:tc>
        <w:tc>
          <w:tcPr>
            <w:tcW w:w="1340" w:type="dxa"/>
            <w:vAlign w:val="bottom"/>
            <w:gridSpan w:val="3"/>
          </w:tcPr>
          <w:p>
            <w:pPr>
              <w:jc w:val="center"/>
              <w:ind w:right="280"/>
              <w:spacing w:after="0"/>
              <w:rPr>
                <w:sz w:val="20"/>
                <w:szCs w:val="20"/>
                <w:color w:val="auto"/>
              </w:rPr>
            </w:pPr>
            <w:r>
              <w:rPr>
                <w:rFonts w:ascii="Times New Roman" w:cs="Times New Roman" w:eastAsia="Times New Roman" w:hAnsi="Times New Roman"/>
                <w:sz w:val="19"/>
                <w:szCs w:val="19"/>
                <w:color w:val="auto"/>
              </w:rPr>
              <w:t>Acquisitions/</w:t>
            </w: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Organic</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2026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04"/>
              <w:spacing w:after="0"/>
              <w:rPr>
                <w:sz w:val="20"/>
                <w:szCs w:val="20"/>
                <w:color w:val="auto"/>
              </w:rPr>
            </w:pPr>
            <w:r>
              <w:rPr>
                <w:rFonts w:ascii="Times New Roman" w:cs="Times New Roman" w:eastAsia="Times New Roman" w:hAnsi="Times New Roman"/>
                <w:sz w:val="19"/>
                <w:szCs w:val="19"/>
                <w:color w:val="auto"/>
              </w:rPr>
              <w:t>2025</w:t>
            </w:r>
          </w:p>
        </w:tc>
        <w:tc>
          <w:tcPr>
            <w:tcW w:w="12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 Change</w:t>
            </w: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Impact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Change</w:t>
            </w:r>
          </w:p>
        </w:tc>
        <w:tc>
          <w:tcPr>
            <w:tcW w:w="1340" w:type="dxa"/>
            <w:vAlign w:val="bottom"/>
            <w:gridSpan w:val="3"/>
          </w:tcPr>
          <w:p>
            <w:pPr>
              <w:jc w:val="center"/>
              <w:ind w:right="260"/>
              <w:spacing w:after="0"/>
              <w:rPr>
                <w:sz w:val="20"/>
                <w:szCs w:val="20"/>
                <w:color w:val="auto"/>
              </w:rPr>
            </w:pPr>
            <w:r>
              <w:rPr>
                <w:rFonts w:ascii="Times New Roman" w:cs="Times New Roman" w:eastAsia="Times New Roman" w:hAnsi="Times New Roman"/>
                <w:sz w:val="19"/>
                <w:szCs w:val="19"/>
                <w:color w:val="auto"/>
              </w:rPr>
              <w:t>Divestitures</w:t>
            </w: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w w:val="99"/>
              </w:rPr>
              <w:t>Change</w:t>
            </w:r>
          </w:p>
        </w:tc>
        <w:tc>
          <w:tcPr>
            <w:tcW w:w="0" w:type="dxa"/>
            <w:vAlign w:val="bottom"/>
          </w:tcPr>
          <w:p>
            <w:pPr>
              <w:spacing w:after="0"/>
              <w:rPr>
                <w:sz w:val="1"/>
                <w:szCs w:val="1"/>
                <w:color w:val="auto"/>
              </w:rPr>
            </w:pPr>
          </w:p>
        </w:tc>
      </w:tr>
      <w:tr>
        <w:trPr>
          <w:trHeight w:val="459"/>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Health, Wealth &amp; Career</w:t>
            </w:r>
          </w:p>
        </w:tc>
        <w:tc>
          <w:tcPr>
            <w:tcW w:w="2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Revenue excluding interest income</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3,863</w:t>
            </w:r>
          </w:p>
        </w:tc>
        <w:tc>
          <w:tcPr>
            <w:tcW w:w="100" w:type="dxa"/>
            <w:vAlign w:val="bottom"/>
          </w:tcPr>
          <w:p>
            <w:pPr>
              <w:spacing w:after="0"/>
              <w:rPr>
                <w:sz w:val="20"/>
                <w:szCs w:val="20"/>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3,584</w:t>
            </w:r>
          </w:p>
        </w:tc>
        <w:tc>
          <w:tcPr>
            <w:tcW w:w="1120" w:type="dxa"/>
            <w:vAlign w:val="bottom"/>
            <w:gridSpan w:val="2"/>
          </w:tcPr>
          <w:p>
            <w:pPr>
              <w:jc w:val="center"/>
              <w:ind w:left="44"/>
              <w:spacing w:after="0"/>
              <w:rPr>
                <w:sz w:val="20"/>
                <w:szCs w:val="20"/>
                <w:color w:val="auto"/>
              </w:rPr>
            </w:pPr>
            <w:r>
              <w:rPr>
                <w:rFonts w:ascii="Times New Roman" w:cs="Times New Roman" w:eastAsia="Times New Roman" w:hAnsi="Times New Roman"/>
                <w:sz w:val="19"/>
                <w:szCs w:val="19"/>
                <w:color w:val="auto"/>
              </w:rPr>
              <w:t>8%</w:t>
            </w:r>
          </w:p>
        </w:tc>
        <w:tc>
          <w:tcPr>
            <w:tcW w:w="100" w:type="dxa"/>
            <w:vAlign w:val="bottom"/>
          </w:tcPr>
          <w:p>
            <w:pPr>
              <w:spacing w:after="0"/>
              <w:rPr>
                <w:sz w:val="20"/>
                <w:szCs w:val="20"/>
                <w:color w:val="auto"/>
              </w:rPr>
            </w:pP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1%</w:t>
            </w:r>
          </w:p>
        </w:tc>
        <w:tc>
          <w:tcPr>
            <w:tcW w:w="1260" w:type="dxa"/>
            <w:vAlign w:val="bottom"/>
            <w:gridSpan w:val="3"/>
          </w:tcPr>
          <w:p>
            <w:pPr>
              <w:jc w:val="center"/>
              <w:ind w:left="184"/>
              <w:spacing w:after="0"/>
              <w:rPr>
                <w:sz w:val="20"/>
                <w:szCs w:val="20"/>
                <w:color w:val="auto"/>
              </w:rPr>
            </w:pPr>
            <w:r>
              <w:rPr>
                <w:rFonts w:ascii="Times New Roman" w:cs="Times New Roman" w:eastAsia="Times New Roman" w:hAnsi="Times New Roman"/>
                <w:sz w:val="19"/>
                <w:szCs w:val="19"/>
                <w:color w:val="auto"/>
              </w:rPr>
              <w:t>6%</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22</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00" w:type="dxa"/>
            <w:vAlign w:val="bottom"/>
          </w:tcPr>
          <w:p>
            <w:pPr>
              <w:spacing w:after="0"/>
              <w:rPr>
                <w:sz w:val="21"/>
                <w:szCs w:val="21"/>
                <w:color w:val="auto"/>
              </w:rPr>
            </w:pP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3,885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3,606</w:t>
            </w:r>
          </w:p>
        </w:tc>
        <w:tc>
          <w:tcPr>
            <w:tcW w:w="112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w w:val="98"/>
              </w:rPr>
              <w:t>8%</w:t>
            </w:r>
          </w:p>
        </w:tc>
        <w:tc>
          <w:tcPr>
            <w:tcW w:w="100" w:type="dxa"/>
            <w:vAlign w:val="bottom"/>
          </w:tcPr>
          <w:p>
            <w:pPr>
              <w:spacing w:after="0"/>
              <w:rPr>
                <w:sz w:val="21"/>
                <w:szCs w:val="21"/>
                <w:color w:val="auto"/>
              </w:rPr>
            </w:pPr>
          </w:p>
        </w:tc>
        <w:tc>
          <w:tcPr>
            <w:tcW w:w="8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w w:val="98"/>
              </w:rPr>
              <w:t>1%</w:t>
            </w:r>
          </w:p>
        </w:tc>
        <w:tc>
          <w:tcPr>
            <w:tcW w:w="1260" w:type="dxa"/>
            <w:vAlign w:val="bottom"/>
            <w:gridSpan w:val="3"/>
          </w:tcPr>
          <w:p>
            <w:pPr>
              <w:jc w:val="center"/>
              <w:ind w:left="164"/>
              <w:spacing w:after="0"/>
              <w:rPr>
                <w:sz w:val="20"/>
                <w:szCs w:val="20"/>
                <w:color w:val="auto"/>
              </w:rPr>
            </w:pPr>
            <w:r>
              <w:rPr>
                <w:rFonts w:ascii="Times New Roman" w:cs="Times New Roman" w:eastAsia="Times New Roman" w:hAnsi="Times New Roman"/>
                <w:sz w:val="19"/>
                <w:szCs w:val="19"/>
                <w:b w:val="1"/>
                <w:bCs w:val="1"/>
                <w:color w:val="auto"/>
                <w:w w:val="98"/>
              </w:rPr>
              <w:t>6%</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center"/>
              <w:ind w:right="66"/>
              <w:spacing w:after="0"/>
              <w:rPr>
                <w:sz w:val="20"/>
                <w:szCs w:val="20"/>
                <w:color w:val="auto"/>
              </w:rPr>
            </w:pPr>
            <w:r>
              <w:rPr>
                <w:rFonts w:ascii="Times New Roman" w:cs="Times New Roman" w:eastAsia="Times New Roman" w:hAnsi="Times New Roman"/>
                <w:sz w:val="19"/>
                <w:szCs w:val="19"/>
                <w:b w:val="1"/>
                <w:bCs w:val="1"/>
                <w:color w:val="auto"/>
                <w:w w:val="98"/>
              </w:rPr>
              <w:t>3%</w:t>
            </w:r>
          </w:p>
        </w:tc>
        <w:tc>
          <w:tcPr>
            <w:tcW w:w="0" w:type="dxa"/>
            <w:vAlign w:val="bottom"/>
          </w:tcPr>
          <w:p>
            <w:pPr>
              <w:spacing w:after="0"/>
              <w:rPr>
                <w:sz w:val="1"/>
                <w:szCs w:val="1"/>
                <w:color w:val="auto"/>
              </w:rPr>
            </w:pPr>
          </w:p>
        </w:tc>
      </w:tr>
      <w:tr>
        <w:trPr>
          <w:trHeight w:val="452"/>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Risk &amp; Broking</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Revenue excluding interest income</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3,292</w:t>
            </w:r>
          </w:p>
        </w:tc>
        <w:tc>
          <w:tcPr>
            <w:tcW w:w="100" w:type="dxa"/>
            <w:vAlign w:val="bottom"/>
          </w:tcPr>
          <w:p>
            <w:pPr>
              <w:spacing w:after="0"/>
              <w:rPr>
                <w:sz w:val="20"/>
                <w:szCs w:val="20"/>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3,008</w:t>
            </w:r>
          </w:p>
        </w:tc>
        <w:tc>
          <w:tcPr>
            <w:tcW w:w="1120" w:type="dxa"/>
            <w:vAlign w:val="bottom"/>
            <w:gridSpan w:val="2"/>
          </w:tcPr>
          <w:p>
            <w:pPr>
              <w:jc w:val="center"/>
              <w:ind w:left="44"/>
              <w:spacing w:after="0"/>
              <w:rPr>
                <w:sz w:val="20"/>
                <w:szCs w:val="20"/>
                <w:color w:val="auto"/>
              </w:rPr>
            </w:pPr>
            <w:r>
              <w:rPr>
                <w:rFonts w:ascii="Times New Roman" w:cs="Times New Roman" w:eastAsia="Times New Roman" w:hAnsi="Times New Roman"/>
                <w:sz w:val="19"/>
                <w:szCs w:val="19"/>
                <w:color w:val="auto"/>
              </w:rPr>
              <w:t>9%</w:t>
            </w:r>
          </w:p>
        </w:tc>
        <w:tc>
          <w:tcPr>
            <w:tcW w:w="100" w:type="dxa"/>
            <w:vAlign w:val="bottom"/>
          </w:tcPr>
          <w:p>
            <w:pPr>
              <w:spacing w:after="0"/>
              <w:rPr>
                <w:sz w:val="20"/>
                <w:szCs w:val="20"/>
                <w:color w:val="auto"/>
              </w:rPr>
            </w:pP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2%</w:t>
            </w:r>
          </w:p>
        </w:tc>
        <w:tc>
          <w:tcPr>
            <w:tcW w:w="1260" w:type="dxa"/>
            <w:vAlign w:val="bottom"/>
            <w:gridSpan w:val="3"/>
          </w:tcPr>
          <w:p>
            <w:pPr>
              <w:jc w:val="center"/>
              <w:ind w:left="184"/>
              <w:spacing w:after="0"/>
              <w:rPr>
                <w:sz w:val="20"/>
                <w:szCs w:val="20"/>
                <w:color w:val="auto"/>
              </w:rPr>
            </w:pPr>
            <w:r>
              <w:rPr>
                <w:rFonts w:ascii="Times New Roman" w:cs="Times New Roman" w:eastAsia="Times New Roman" w:hAnsi="Times New Roman"/>
                <w:sz w:val="19"/>
                <w:szCs w:val="19"/>
                <w:color w:val="auto"/>
              </w:rPr>
              <w:t>7%</w:t>
            </w:r>
          </w:p>
        </w:tc>
        <w:tc>
          <w:tcPr>
            <w:tcW w:w="10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50"/>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75</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73</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200" w:type="dxa"/>
            <w:vAlign w:val="bottom"/>
          </w:tcPr>
          <w:p>
            <w:pPr>
              <w:spacing w:after="0"/>
              <w:rPr>
                <w:sz w:val="21"/>
                <w:szCs w:val="21"/>
                <w:color w:val="auto"/>
              </w:rPr>
            </w:pP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3,367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3,081</w:t>
            </w:r>
          </w:p>
        </w:tc>
        <w:tc>
          <w:tcPr>
            <w:tcW w:w="112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w w:val="98"/>
              </w:rPr>
              <w:t>9%</w:t>
            </w:r>
          </w:p>
        </w:tc>
        <w:tc>
          <w:tcPr>
            <w:tcW w:w="100" w:type="dxa"/>
            <w:vAlign w:val="bottom"/>
          </w:tcPr>
          <w:p>
            <w:pPr>
              <w:spacing w:after="0"/>
              <w:rPr>
                <w:sz w:val="21"/>
                <w:szCs w:val="21"/>
                <w:color w:val="auto"/>
              </w:rPr>
            </w:pPr>
          </w:p>
        </w:tc>
        <w:tc>
          <w:tcPr>
            <w:tcW w:w="8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w w:val="98"/>
              </w:rPr>
              <w:t>2%</w:t>
            </w:r>
          </w:p>
        </w:tc>
        <w:tc>
          <w:tcPr>
            <w:tcW w:w="1260" w:type="dxa"/>
            <w:vAlign w:val="bottom"/>
            <w:gridSpan w:val="3"/>
          </w:tcPr>
          <w:p>
            <w:pPr>
              <w:jc w:val="center"/>
              <w:ind w:left="164"/>
              <w:spacing w:after="0"/>
              <w:rPr>
                <w:sz w:val="20"/>
                <w:szCs w:val="20"/>
                <w:color w:val="auto"/>
              </w:rPr>
            </w:pPr>
            <w:r>
              <w:rPr>
                <w:rFonts w:ascii="Times New Roman" w:cs="Times New Roman" w:eastAsia="Times New Roman" w:hAnsi="Times New Roman"/>
                <w:sz w:val="19"/>
                <w:szCs w:val="19"/>
                <w:b w:val="1"/>
                <w:bCs w:val="1"/>
                <w:color w:val="auto"/>
                <w:w w:val="98"/>
              </w:rPr>
              <w:t>7%</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center"/>
              <w:ind w:right="66"/>
              <w:spacing w:after="0"/>
              <w:rPr>
                <w:sz w:val="20"/>
                <w:szCs w:val="20"/>
                <w:color w:val="auto"/>
              </w:rPr>
            </w:pPr>
            <w:r>
              <w:rPr>
                <w:rFonts w:ascii="Times New Roman" w:cs="Times New Roman" w:eastAsia="Times New Roman" w:hAnsi="Times New Roman"/>
                <w:sz w:val="19"/>
                <w:szCs w:val="19"/>
                <w:b w:val="1"/>
                <w:bCs w:val="1"/>
                <w:color w:val="auto"/>
                <w:w w:val="98"/>
              </w:rPr>
              <w:t>4%</w:t>
            </w:r>
          </w:p>
        </w:tc>
        <w:tc>
          <w:tcPr>
            <w:tcW w:w="0" w:type="dxa"/>
            <w:vAlign w:val="bottom"/>
          </w:tcPr>
          <w:p>
            <w:pPr>
              <w:spacing w:after="0"/>
              <w:rPr>
                <w:sz w:val="1"/>
                <w:szCs w:val="1"/>
                <w:color w:val="auto"/>
              </w:rPr>
            </w:pPr>
          </w:p>
        </w:tc>
      </w:tr>
      <w:tr>
        <w:trPr>
          <w:trHeight w:val="452"/>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Segment Revenue</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7,252</w:t>
            </w:r>
          </w:p>
        </w:tc>
        <w:tc>
          <w:tcPr>
            <w:tcW w:w="100" w:type="dxa"/>
            <w:vAlign w:val="bottom"/>
          </w:tcPr>
          <w:p>
            <w:pPr>
              <w:spacing w:after="0"/>
              <w:rPr>
                <w:sz w:val="24"/>
                <w:szCs w:val="24"/>
                <w:color w:val="auto"/>
              </w:rPr>
            </w:pP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6,687</w:t>
            </w:r>
          </w:p>
        </w:tc>
        <w:tc>
          <w:tcPr>
            <w:tcW w:w="1120" w:type="dxa"/>
            <w:vAlign w:val="bottom"/>
            <w:gridSpan w:val="2"/>
          </w:tcPr>
          <w:p>
            <w:pPr>
              <w:jc w:val="center"/>
              <w:ind w:left="44"/>
              <w:spacing w:after="0"/>
              <w:rPr>
                <w:sz w:val="20"/>
                <w:szCs w:val="20"/>
                <w:color w:val="auto"/>
              </w:rPr>
            </w:pPr>
            <w:r>
              <w:rPr>
                <w:rFonts w:ascii="Times New Roman" w:cs="Times New Roman" w:eastAsia="Times New Roman" w:hAnsi="Times New Roman"/>
                <w:sz w:val="19"/>
                <w:szCs w:val="19"/>
                <w:color w:val="auto"/>
              </w:rPr>
              <w:t>8%</w:t>
            </w:r>
          </w:p>
        </w:tc>
        <w:tc>
          <w:tcPr>
            <w:tcW w:w="100" w:type="dxa"/>
            <w:vAlign w:val="bottom"/>
          </w:tcPr>
          <w:p>
            <w:pPr>
              <w:spacing w:after="0"/>
              <w:rPr>
                <w:sz w:val="24"/>
                <w:szCs w:val="24"/>
                <w:color w:val="auto"/>
              </w:rPr>
            </w:pPr>
          </w:p>
        </w:tc>
        <w:tc>
          <w:tcPr>
            <w:tcW w:w="860" w:type="dxa"/>
            <w:vAlign w:val="bottom"/>
          </w:tcPr>
          <w:p>
            <w:pPr>
              <w:jc w:val="center"/>
              <w:ind w:left="64"/>
              <w:spacing w:after="0"/>
              <w:rPr>
                <w:sz w:val="20"/>
                <w:szCs w:val="20"/>
                <w:color w:val="auto"/>
              </w:rPr>
            </w:pPr>
            <w:r>
              <w:rPr>
                <w:rFonts w:ascii="Times New Roman" w:cs="Times New Roman" w:eastAsia="Times New Roman" w:hAnsi="Times New Roman"/>
                <w:sz w:val="19"/>
                <w:szCs w:val="19"/>
                <w:color w:val="auto"/>
              </w:rPr>
              <w:t>2%</w:t>
            </w:r>
          </w:p>
        </w:tc>
        <w:tc>
          <w:tcPr>
            <w:tcW w:w="1260" w:type="dxa"/>
            <w:vAlign w:val="bottom"/>
            <w:gridSpan w:val="3"/>
          </w:tcPr>
          <w:p>
            <w:pPr>
              <w:jc w:val="center"/>
              <w:ind w:left="184"/>
              <w:spacing w:after="0"/>
              <w:rPr>
                <w:sz w:val="20"/>
                <w:szCs w:val="20"/>
                <w:color w:val="auto"/>
              </w:rPr>
            </w:pPr>
            <w:r>
              <w:rPr>
                <w:rFonts w:ascii="Times New Roman" w:cs="Times New Roman" w:eastAsia="Times New Roman" w:hAnsi="Times New Roman"/>
                <w:sz w:val="19"/>
                <w:szCs w:val="19"/>
                <w:color w:val="auto"/>
              </w:rPr>
              <w:t>7%</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4"/>
              </w:rPr>
              <w:t>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center"/>
              <w:ind w:right="86"/>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15"/>
        </w:trPr>
        <w:tc>
          <w:tcPr>
            <w:tcW w:w="3500" w:type="dxa"/>
            <w:vAlign w:val="bottom"/>
          </w:tcPr>
          <w:p>
            <w:pPr>
              <w:spacing w:after="0" w:line="215" w:lineRule="exact"/>
              <w:rPr>
                <w:sz w:val="20"/>
                <w:szCs w:val="20"/>
                <w:color w:val="auto"/>
              </w:rPr>
            </w:pPr>
            <w:r>
              <w:rPr>
                <w:rFonts w:ascii="Times New Roman" w:cs="Times New Roman" w:eastAsia="Times New Roman" w:hAnsi="Times New Roman"/>
                <w:sz w:val="19"/>
                <w:szCs w:val="19"/>
                <w:color w:val="auto"/>
              </w:rPr>
              <w:t>Corporate, reimbursable expenses and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other</w:t>
            </w:r>
          </w:p>
        </w:tc>
        <w:tc>
          <w:tcPr>
            <w:tcW w:w="200" w:type="dxa"/>
            <w:vAlign w:val="bottom"/>
          </w:tcPr>
          <w:p>
            <w:pPr>
              <w:spacing w:after="0"/>
              <w:rPr>
                <w:sz w:val="20"/>
                <w:szCs w:val="20"/>
                <w:color w:val="auto"/>
              </w:rPr>
            </w:pPr>
          </w:p>
        </w:tc>
        <w:tc>
          <w:tcPr>
            <w:tcW w:w="84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11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26</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restart"/>
          </w:tcPr>
          <w:p>
            <w:pPr>
              <w:jc w:val="center"/>
              <w:ind w:right="86"/>
              <w:spacing w:after="0"/>
              <w:rPr>
                <w:sz w:val="20"/>
                <w:szCs w:val="20"/>
                <w:color w:val="auto"/>
              </w:rPr>
            </w:pPr>
            <w:r>
              <w:rPr>
                <w:rFonts w:ascii="Times New Roman" w:cs="Times New Roman" w:eastAsia="Times New Roman" w:hAnsi="Times New Roman"/>
                <w:sz w:val="38"/>
                <w:szCs w:val="38"/>
                <w:b w:val="1"/>
                <w:bCs w:val="1"/>
                <w:color w:val="auto"/>
                <w:w w:val="86"/>
                <w:vertAlign w:val="subscript"/>
              </w:rPr>
              <w:t>4%</w:t>
            </w:r>
            <w:r>
              <w:rPr>
                <w:rFonts w:ascii="Times New Roman" w:cs="Times New Roman" w:eastAsia="Times New Roman" w:hAnsi="Times New Roman"/>
                <w:sz w:val="16"/>
                <w:szCs w:val="16"/>
                <w:b w:val="1"/>
                <w:bCs w:val="1"/>
                <w:color w:val="auto"/>
                <w:w w:val="86"/>
              </w:rPr>
              <w:t>(ii)</w:t>
            </w:r>
          </w:p>
        </w:tc>
        <w:tc>
          <w:tcPr>
            <w:tcW w:w="0" w:type="dxa"/>
            <w:vAlign w:val="bottom"/>
          </w:tcPr>
          <w:p>
            <w:pPr>
              <w:spacing w:after="0"/>
              <w:rPr>
                <w:sz w:val="1"/>
                <w:szCs w:val="1"/>
                <w:color w:val="auto"/>
              </w:rPr>
            </w:pPr>
          </w:p>
        </w:tc>
      </w:tr>
      <w:tr>
        <w:trPr>
          <w:trHeight w:val="244"/>
        </w:trPr>
        <w:tc>
          <w:tcPr>
            <w:tcW w:w="35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Revenue</w:t>
            </w:r>
          </w:p>
        </w:tc>
        <w:tc>
          <w:tcPr>
            <w:tcW w:w="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8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b w:val="1"/>
                <w:bCs w:val="1"/>
                <w:color w:val="auto"/>
              </w:rPr>
              <w:t>7,338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b w:val="1"/>
                <w:bCs w:val="1"/>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b w:val="1"/>
                <w:bCs w:val="1"/>
                <w:color w:val="auto"/>
              </w:rPr>
              <w:t>6,772</w:t>
            </w:r>
          </w:p>
        </w:tc>
        <w:tc>
          <w:tcPr>
            <w:tcW w:w="1120" w:type="dxa"/>
            <w:vAlign w:val="bottom"/>
            <w:gridSpan w:val="2"/>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w w:val="98"/>
              </w:rPr>
              <w:t>8%</w:t>
            </w:r>
          </w:p>
        </w:tc>
        <w:tc>
          <w:tcPr>
            <w:tcW w:w="100" w:type="dxa"/>
            <w:vAlign w:val="bottom"/>
          </w:tcPr>
          <w:p>
            <w:pPr>
              <w:spacing w:after="0"/>
              <w:rPr>
                <w:sz w:val="21"/>
                <w:szCs w:val="21"/>
                <w:color w:val="auto"/>
              </w:rPr>
            </w:pPr>
          </w:p>
        </w:tc>
        <w:tc>
          <w:tcPr>
            <w:tcW w:w="860" w:type="dxa"/>
            <w:vAlign w:val="bottom"/>
          </w:tcPr>
          <w:p>
            <w:pPr>
              <w:jc w:val="center"/>
              <w:ind w:left="84"/>
              <w:spacing w:after="0"/>
              <w:rPr>
                <w:sz w:val="20"/>
                <w:szCs w:val="20"/>
                <w:color w:val="auto"/>
              </w:rPr>
            </w:pPr>
            <w:r>
              <w:rPr>
                <w:rFonts w:ascii="Times New Roman" w:cs="Times New Roman" w:eastAsia="Times New Roman" w:hAnsi="Times New Roman"/>
                <w:sz w:val="19"/>
                <w:szCs w:val="19"/>
                <w:b w:val="1"/>
                <w:bCs w:val="1"/>
                <w:color w:val="auto"/>
                <w:w w:val="98"/>
              </w:rPr>
              <w:t>2%</w:t>
            </w:r>
          </w:p>
        </w:tc>
        <w:tc>
          <w:tcPr>
            <w:tcW w:w="1260" w:type="dxa"/>
            <w:vAlign w:val="bottom"/>
            <w:gridSpan w:val="3"/>
          </w:tcPr>
          <w:p>
            <w:pPr>
              <w:jc w:val="center"/>
              <w:ind w:left="164"/>
              <w:spacing w:after="0"/>
              <w:rPr>
                <w:sz w:val="20"/>
                <w:szCs w:val="20"/>
                <w:color w:val="auto"/>
              </w:rPr>
            </w:pPr>
            <w:r>
              <w:rPr>
                <w:rFonts w:ascii="Times New Roman" w:cs="Times New Roman" w:eastAsia="Times New Roman" w:hAnsi="Times New Roman"/>
                <w:sz w:val="19"/>
                <w:szCs w:val="19"/>
                <w:b w:val="1"/>
                <w:bCs w:val="1"/>
                <w:color w:val="auto"/>
                <w:w w:val="98"/>
              </w:rPr>
              <w:t>6%</w:t>
            </w:r>
          </w:p>
        </w:tc>
        <w:tc>
          <w:tcPr>
            <w:tcW w:w="10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ind w:left="244" w:hanging="244"/>
        <w:spacing w:after="0"/>
        <w:tabs>
          <w:tab w:leader="none" w:pos="244" w:val="left"/>
        </w:tabs>
        <w:numPr>
          <w:ilvl w:val="0"/>
          <w:numId w:val="4"/>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Components of revenue change may not add due to rounding.</w:t>
      </w:r>
    </w:p>
    <w:p>
      <w:pPr>
        <w:spacing w:after="0" w:line="34" w:lineRule="exact"/>
        <w:rPr>
          <w:rFonts w:ascii="Times New Roman" w:cs="Times New Roman" w:eastAsia="Times New Roman" w:hAnsi="Times New Roman"/>
          <w:sz w:val="32"/>
          <w:szCs w:val="32"/>
          <w:color w:val="auto"/>
          <w:vertAlign w:val="superscript"/>
        </w:rPr>
      </w:pPr>
    </w:p>
    <w:p>
      <w:pPr>
        <w:ind w:left="284" w:hanging="284"/>
        <w:spacing w:after="0" w:line="183" w:lineRule="auto"/>
        <w:tabs>
          <w:tab w:leader="none" w:pos="284"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Interest income did not contribute to organic change for the three and nine months ended September 30, 2026.</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BOOK-OF-BUSINESS SETTLEMENTS AND INTEREST INCOME</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251"/>
        </w:trPr>
        <w:tc>
          <w:tcPr>
            <w:tcW w:w="2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9"/>
          </w:tcPr>
          <w:p>
            <w:pPr>
              <w:jc w:val="right"/>
              <w:ind w:right="424"/>
              <w:spacing w:after="0"/>
              <w:rPr>
                <w:sz w:val="20"/>
                <w:szCs w:val="20"/>
                <w:color w:val="auto"/>
              </w:rPr>
            </w:pPr>
            <w:r>
              <w:rPr>
                <w:rFonts w:ascii="Times New Roman" w:cs="Times New Roman" w:eastAsia="Times New Roman" w:hAnsi="Times New Roman"/>
                <w:sz w:val="19"/>
                <w:szCs w:val="19"/>
                <w:color w:val="auto"/>
              </w:rPr>
              <w:t>Three Months Ended September 30,</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HWC</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R&amp;B</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9"/>
                <w:szCs w:val="19"/>
                <w:color w:val="auto"/>
              </w:rPr>
              <w:t>Corporate</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Total</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3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Book-of-business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9"/>
                <w:szCs w:val="19"/>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9"/>
                <w:szCs w:val="19"/>
                <w:color w:val="auto"/>
              </w:rPr>
              <w:t>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9"/>
                <w:szCs w:val="19"/>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9"/>
                <w:szCs w:val="19"/>
                <w:color w:val="auto"/>
              </w:rPr>
              <w:t>2026</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2025</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9"/>
                <w:szCs w:val="19"/>
                <w:color w:val="auto"/>
              </w:rPr>
              <w:t>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9"/>
                <w:szCs w:val="19"/>
                <w:color w:val="auto"/>
              </w:rPr>
              <w:t>2025</w:t>
            </w:r>
          </w:p>
        </w:tc>
        <w:tc>
          <w:tcPr>
            <w:tcW w:w="0" w:type="dxa"/>
            <w:vAlign w:val="bottom"/>
          </w:tcPr>
          <w:p>
            <w:pPr>
              <w:spacing w:after="0"/>
              <w:rPr>
                <w:sz w:val="1"/>
                <w:szCs w:val="1"/>
                <w:color w:val="auto"/>
              </w:rPr>
            </w:pPr>
          </w:p>
        </w:tc>
      </w:tr>
      <w:tr>
        <w:trPr>
          <w:trHeight w:val="182"/>
        </w:trPr>
        <w:tc>
          <w:tcPr>
            <w:tcW w:w="2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9"/>
                <w:szCs w:val="19"/>
                <w:color w:val="auto"/>
              </w:rPr>
              <w:t>settlements</w:t>
            </w:r>
          </w:p>
        </w:tc>
        <w:tc>
          <w:tcPr>
            <w:tcW w:w="2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2</w:t>
            </w:r>
          </w:p>
        </w:tc>
        <w:tc>
          <w:tcPr>
            <w:tcW w:w="120" w:type="dxa"/>
            <w:vAlign w:val="bottom"/>
          </w:tcPr>
          <w:p>
            <w:pPr>
              <w:spacing w:after="0"/>
              <w:rPr>
                <w:sz w:val="20"/>
                <w:szCs w:val="20"/>
                <w:color w:val="auto"/>
              </w:rPr>
            </w:pP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18</w:t>
            </w:r>
          </w:p>
        </w:tc>
        <w:tc>
          <w:tcPr>
            <w:tcW w:w="100" w:type="dxa"/>
            <w:vAlign w:val="bottom"/>
          </w:tcPr>
          <w:p>
            <w:pPr>
              <w:spacing w:after="0"/>
              <w:rPr>
                <w:sz w:val="20"/>
                <w:szCs w:val="20"/>
                <w:color w:val="auto"/>
              </w:rPr>
            </w:pPr>
          </w:p>
        </w:tc>
        <w:tc>
          <w:tcPr>
            <w:tcW w:w="2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w:t>
            </w:r>
          </w:p>
        </w:tc>
        <w:tc>
          <w:tcPr>
            <w:tcW w:w="120" w:type="dxa"/>
            <w:vAlign w:val="bottom"/>
          </w:tcPr>
          <w:p>
            <w:pPr>
              <w:spacing w:after="0"/>
              <w:rPr>
                <w:sz w:val="20"/>
                <w:szCs w:val="20"/>
                <w:color w:val="auto"/>
              </w:rPr>
            </w:pP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ind w:right="484"/>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w w:val="94"/>
              </w:rPr>
              <w:t>—</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20</w:t>
            </w:r>
          </w:p>
        </w:tc>
        <w:tc>
          <w:tcPr>
            <w:tcW w:w="100" w:type="dxa"/>
            <w:vAlign w:val="bottom"/>
          </w:tcPr>
          <w:p>
            <w:pPr>
              <w:spacing w:after="0"/>
              <w:rPr>
                <w:sz w:val="20"/>
                <w:szCs w:val="20"/>
                <w:color w:val="auto"/>
              </w:rPr>
            </w:pPr>
          </w:p>
        </w:tc>
        <w:tc>
          <w:tcPr>
            <w:tcW w:w="2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251"/>
        </w:trPr>
        <w:tc>
          <w:tcPr>
            <w:tcW w:w="238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w:t>
            </w:r>
          </w:p>
        </w:tc>
        <w:tc>
          <w:tcPr>
            <w:tcW w:w="1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6</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42</w:t>
            </w: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9"/>
                <w:szCs w:val="19"/>
                <w:color w:val="auto"/>
              </w:rPr>
              <w:t>Total</w:t>
            </w:r>
          </w:p>
        </w:tc>
        <w:tc>
          <w:tcPr>
            <w:tcW w:w="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8</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44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4"/>
          </w:cols>
          <w:pgMar w:left="316" w:top="351" w:right="319" w:bottom="145" w:gutter="0" w:footer="0" w:header="0"/>
        </w:sectPr>
      </w:pPr>
    </w:p>
    <w:bookmarkStart w:id="9" w:name="page10"/>
    <w:bookmarkEnd w:id="9"/>
    <w:p>
      <w:pPr>
        <w:spacing w:after="0" w:line="52" w:lineRule="exact"/>
        <w:rPr>
          <w:sz w:val="20"/>
          <w:szCs w:val="20"/>
          <w:color w:val="auto"/>
        </w:rPr>
      </w:pPr>
    </w:p>
    <w:tbl>
      <w:tblPr>
        <w:tblLayout w:type="fixed"/>
        <w:tblInd w:w="4" w:type="dxa"/>
        <w:tblCellMar>
          <w:top w:w="0" w:type="dxa"/>
          <w:left w:w="0" w:type="dxa"/>
          <w:bottom w:w="0" w:type="dxa"/>
          <w:right w:w="0" w:type="dxa"/>
        </w:tblCellMar>
      </w:tblPr>
      <w:tr>
        <w:trPr>
          <w:trHeight w:val="251"/>
        </w:trPr>
        <w:tc>
          <w:tcPr>
            <w:tcW w:w="2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9"/>
          </w:tcPr>
          <w:p>
            <w:pPr>
              <w:jc w:val="right"/>
              <w:ind w:right="464"/>
              <w:spacing w:after="0"/>
              <w:rPr>
                <w:sz w:val="20"/>
                <w:szCs w:val="20"/>
                <w:color w:val="auto"/>
              </w:rPr>
            </w:pPr>
            <w:r>
              <w:rPr>
                <w:rFonts w:ascii="Times New Roman" w:cs="Times New Roman" w:eastAsia="Times New Roman" w:hAnsi="Times New Roman"/>
                <w:sz w:val="19"/>
                <w:szCs w:val="19"/>
                <w:color w:val="auto"/>
              </w:rPr>
              <w:t>Nine Months Ended September 30,</w:t>
            </w: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HWC</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R&amp;B</w:t>
            </w: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64"/>
              <w:spacing w:after="0"/>
              <w:rPr>
                <w:sz w:val="20"/>
                <w:szCs w:val="20"/>
                <w:color w:val="auto"/>
              </w:rPr>
            </w:pPr>
            <w:r>
              <w:rPr>
                <w:rFonts w:ascii="Times New Roman" w:cs="Times New Roman" w:eastAsia="Times New Roman" w:hAnsi="Times New Roman"/>
                <w:sz w:val="19"/>
                <w:szCs w:val="19"/>
                <w:color w:val="auto"/>
              </w:rPr>
              <w:t>Corporate</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9"/>
                <w:szCs w:val="19"/>
                <w:color w:val="auto"/>
              </w:rPr>
              <w:t>Total</w:t>
            </w: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3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Book-of-business</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9"/>
                <w:szCs w:val="19"/>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9"/>
                <w:szCs w:val="19"/>
                <w:color w:val="auto"/>
              </w:rPr>
              <w:t>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9"/>
                <w:szCs w:val="19"/>
                <w:color w:val="auto"/>
              </w:rPr>
              <w:t>2025</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9"/>
                <w:szCs w:val="19"/>
                <w:color w:val="auto"/>
              </w:rPr>
              <w:t>2026</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2025</w:t>
            </w:r>
          </w:p>
        </w:tc>
        <w:tc>
          <w:tcPr>
            <w:tcW w:w="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9"/>
                <w:szCs w:val="19"/>
                <w:color w:val="auto"/>
              </w:rPr>
              <w:t>2026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9"/>
                <w:szCs w:val="19"/>
                <w:color w:val="auto"/>
              </w:rPr>
              <w:t>2025</w:t>
            </w:r>
          </w:p>
        </w:tc>
        <w:tc>
          <w:tcPr>
            <w:tcW w:w="0" w:type="dxa"/>
            <w:vAlign w:val="bottom"/>
          </w:tcPr>
          <w:p>
            <w:pPr>
              <w:spacing w:after="0"/>
              <w:rPr>
                <w:sz w:val="1"/>
                <w:szCs w:val="1"/>
                <w:color w:val="auto"/>
              </w:rPr>
            </w:pPr>
          </w:p>
        </w:tc>
      </w:tr>
      <w:tr>
        <w:trPr>
          <w:trHeight w:val="182"/>
        </w:trPr>
        <w:tc>
          <w:tcPr>
            <w:tcW w:w="23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380" w:type="dxa"/>
            <w:vAlign w:val="bottom"/>
          </w:tcPr>
          <w:p>
            <w:pPr>
              <w:spacing w:after="0"/>
              <w:rPr>
                <w:sz w:val="20"/>
                <w:szCs w:val="20"/>
                <w:color w:val="auto"/>
              </w:rPr>
            </w:pPr>
            <w:r>
              <w:rPr>
                <w:rFonts w:ascii="Times New Roman" w:cs="Times New Roman" w:eastAsia="Times New Roman" w:hAnsi="Times New Roman"/>
                <w:sz w:val="19"/>
                <w:szCs w:val="19"/>
                <w:color w:val="auto"/>
              </w:rPr>
              <w:t>settlements</w:t>
            </w:r>
          </w:p>
        </w:tc>
        <w:tc>
          <w:tcPr>
            <w:tcW w:w="2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4</w:t>
            </w:r>
          </w:p>
        </w:tc>
        <w:tc>
          <w:tcPr>
            <w:tcW w:w="120" w:type="dxa"/>
            <w:vAlign w:val="bottom"/>
          </w:tcPr>
          <w:p>
            <w:pPr>
              <w:spacing w:after="0"/>
              <w:rPr>
                <w:sz w:val="20"/>
                <w:szCs w:val="20"/>
                <w:color w:val="auto"/>
              </w:rPr>
            </w:pPr>
          </w:p>
        </w:tc>
        <w:tc>
          <w:tcPr>
            <w:tcW w:w="24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2</w:t>
            </w:r>
          </w:p>
        </w:tc>
        <w:tc>
          <w:tcPr>
            <w:tcW w:w="120" w:type="dxa"/>
            <w:vAlign w:val="bottom"/>
          </w:tcPr>
          <w:p>
            <w:pPr>
              <w:spacing w:after="0"/>
              <w:rPr>
                <w:sz w:val="20"/>
                <w:szCs w:val="20"/>
                <w:color w:val="auto"/>
              </w:rPr>
            </w:pP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28</w:t>
            </w:r>
          </w:p>
        </w:tc>
        <w:tc>
          <w:tcPr>
            <w:tcW w:w="100" w:type="dxa"/>
            <w:vAlign w:val="bottom"/>
          </w:tcPr>
          <w:p>
            <w:pPr>
              <w:spacing w:after="0"/>
              <w:rPr>
                <w:sz w:val="20"/>
                <w:szCs w:val="20"/>
                <w:color w:val="auto"/>
              </w:rPr>
            </w:pPr>
          </w:p>
        </w:tc>
        <w:tc>
          <w:tcPr>
            <w:tcW w:w="2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w:t>
            </w:r>
          </w:p>
        </w:tc>
        <w:tc>
          <w:tcPr>
            <w:tcW w:w="120" w:type="dxa"/>
            <w:vAlign w:val="bottom"/>
          </w:tcPr>
          <w:p>
            <w:pPr>
              <w:spacing w:after="0"/>
              <w:rPr>
                <w:sz w:val="20"/>
                <w:szCs w:val="20"/>
                <w:color w:val="auto"/>
              </w:rPr>
            </w:pP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ind w:right="484"/>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32</w:t>
            </w:r>
          </w:p>
        </w:tc>
        <w:tc>
          <w:tcPr>
            <w:tcW w:w="100" w:type="dxa"/>
            <w:vAlign w:val="bottom"/>
          </w:tcPr>
          <w:p>
            <w:pPr>
              <w:spacing w:after="0"/>
              <w:rPr>
                <w:sz w:val="20"/>
                <w:szCs w:val="20"/>
                <w:color w:val="auto"/>
              </w:rPr>
            </w:pPr>
          </w:p>
        </w:tc>
        <w:tc>
          <w:tcPr>
            <w:tcW w:w="2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w:t>
            </w:r>
          </w:p>
        </w:tc>
        <w:tc>
          <w:tcPr>
            <w:tcW w:w="0" w:type="dxa"/>
            <w:vAlign w:val="bottom"/>
          </w:tcPr>
          <w:p>
            <w:pPr>
              <w:spacing w:after="0"/>
              <w:rPr>
                <w:sz w:val="1"/>
                <w:szCs w:val="1"/>
                <w:color w:val="auto"/>
              </w:rPr>
            </w:pPr>
          </w:p>
        </w:tc>
      </w:tr>
      <w:tr>
        <w:trPr>
          <w:trHeight w:val="251"/>
        </w:trPr>
        <w:tc>
          <w:tcPr>
            <w:tcW w:w="2380" w:type="dxa"/>
            <w:vAlign w:val="bottom"/>
          </w:tcPr>
          <w:p>
            <w:pPr>
              <w:spacing w:after="0"/>
              <w:rPr>
                <w:sz w:val="20"/>
                <w:szCs w:val="20"/>
                <w:color w:val="auto"/>
              </w:rPr>
            </w:pPr>
            <w:r>
              <w:rPr>
                <w:rFonts w:ascii="Times New Roman" w:cs="Times New Roman" w:eastAsia="Times New Roman" w:hAnsi="Times New Roman"/>
                <w:sz w:val="19"/>
                <w:szCs w:val="19"/>
                <w:color w:val="auto"/>
              </w:rPr>
              <w:t>Interest income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22</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22</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11</w:t>
            </w:r>
          </w:p>
        </w:tc>
        <w:tc>
          <w:tcPr>
            <w:tcW w:w="1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26</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108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121</w:t>
            </w:r>
          </w:p>
        </w:tc>
        <w:tc>
          <w:tcPr>
            <w:tcW w:w="0" w:type="dxa"/>
            <w:vAlign w:val="bottom"/>
          </w:tcPr>
          <w:p>
            <w:pPr>
              <w:spacing w:after="0"/>
              <w:rPr>
                <w:sz w:val="1"/>
                <w:szCs w:val="1"/>
                <w:color w:val="auto"/>
              </w:rPr>
            </w:pPr>
          </w:p>
        </w:tc>
      </w:tr>
      <w:tr>
        <w:trPr>
          <w:trHeight w:val="232"/>
        </w:trPr>
        <w:tc>
          <w:tcPr>
            <w:tcW w:w="2380" w:type="dxa"/>
            <w:vAlign w:val="bottom"/>
          </w:tcPr>
          <w:p>
            <w:pPr>
              <w:spacing w:after="0"/>
              <w:rPr>
                <w:sz w:val="20"/>
                <w:szCs w:val="20"/>
                <w:color w:val="auto"/>
              </w:rPr>
            </w:pPr>
            <w:r>
              <w:rPr>
                <w:rFonts w:ascii="Times New Roman" w:cs="Times New Roman" w:eastAsia="Times New Roman" w:hAnsi="Times New Roman"/>
                <w:sz w:val="19"/>
                <w:szCs w:val="19"/>
                <w:color w:val="auto"/>
              </w:rPr>
              <w:t>Total</w:t>
            </w:r>
          </w:p>
        </w:tc>
        <w:tc>
          <w:tcPr>
            <w:tcW w:w="2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26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24</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103</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11</w:t>
            </w:r>
          </w:p>
        </w:tc>
        <w:tc>
          <w:tcPr>
            <w:tcW w:w="100" w:type="dxa"/>
            <w:vAlign w:val="bottom"/>
          </w:tcPr>
          <w:p>
            <w:pPr>
              <w:spacing w:after="0"/>
              <w:rPr>
                <w:sz w:val="20"/>
                <w:szCs w:val="20"/>
                <w:color w:val="auto"/>
              </w:rPr>
            </w:pPr>
          </w:p>
        </w:tc>
        <w:tc>
          <w:tcPr>
            <w:tcW w:w="70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9"/>
                <w:szCs w:val="19"/>
                <w:color w:val="auto"/>
              </w:rPr>
              <w:t>$</w:t>
            </w: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9"/>
                <w:szCs w:val="19"/>
                <w:color w:val="auto"/>
              </w:rPr>
              <w:t>26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140</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132</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423"/>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SEGMENT OPERATING INCOME </w:t>
            </w:r>
            <w:r>
              <w:rPr>
                <w:rFonts w:ascii="Times New Roman" w:cs="Times New Roman" w:eastAsia="Times New Roman" w:hAnsi="Times New Roman"/>
                <w:sz w:val="31"/>
                <w:szCs w:val="31"/>
                <w:b w:val="1"/>
                <w:bCs w:val="1"/>
                <w:color w:val="auto"/>
                <w:vertAlign w:val="superscript"/>
              </w:rPr>
              <w:t>(i)</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252"/>
        </w:trPr>
        <w:tc>
          <w:tcPr>
            <w:tcW w:w="8220" w:type="dxa"/>
            <w:vAlign w:val="bottom"/>
          </w:tcPr>
          <w:p>
            <w:pPr>
              <w:spacing w:after="0"/>
              <w:rPr>
                <w:sz w:val="21"/>
                <w:szCs w:val="21"/>
                <w:color w:val="auto"/>
              </w:rPr>
            </w:pPr>
          </w:p>
        </w:tc>
        <w:tc>
          <w:tcPr>
            <w:tcW w:w="2560" w:type="dxa"/>
            <w:vAlign w:val="bottom"/>
            <w:gridSpan w:val="4"/>
          </w:tcPr>
          <w:p>
            <w:pPr>
              <w:jc w:val="right"/>
              <w:ind w:right="164"/>
              <w:spacing w:after="0"/>
              <w:rPr>
                <w:sz w:val="20"/>
                <w:szCs w:val="20"/>
                <w:color w:val="auto"/>
              </w:rPr>
            </w:pPr>
            <w:r>
              <w:rPr>
                <w:rFonts w:ascii="Times New Roman" w:cs="Times New Roman" w:eastAsia="Times New Roman" w:hAnsi="Times New Roman"/>
                <w:sz w:val="19"/>
                <w:szCs w:val="19"/>
                <w:color w:val="auto"/>
              </w:rPr>
              <w:t>Three Months Ended</w:t>
            </w:r>
          </w:p>
        </w:tc>
        <w:tc>
          <w:tcPr>
            <w:tcW w:w="480" w:type="dxa"/>
            <w:vAlign w:val="bottom"/>
          </w:tcPr>
          <w:p>
            <w:pPr>
              <w:spacing w:after="0"/>
              <w:rPr>
                <w:sz w:val="21"/>
                <w:szCs w:val="21"/>
                <w:color w:val="auto"/>
              </w:rPr>
            </w:pPr>
          </w:p>
        </w:tc>
      </w:tr>
      <w:tr>
        <w:trPr>
          <w:trHeight w:val="239"/>
        </w:trPr>
        <w:tc>
          <w:tcPr>
            <w:tcW w:w="8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20" w:type="dxa"/>
            <w:vAlign w:val="bottom"/>
            <w:gridSpan w:val="3"/>
          </w:tcPr>
          <w:p>
            <w:pPr>
              <w:jc w:val="right"/>
              <w:ind w:right="384"/>
              <w:spacing w:after="0"/>
              <w:rPr>
                <w:sz w:val="20"/>
                <w:szCs w:val="20"/>
                <w:color w:val="auto"/>
              </w:rPr>
            </w:pPr>
            <w:r>
              <w:rPr>
                <w:rFonts w:ascii="Times New Roman" w:cs="Times New Roman" w:eastAsia="Times New Roman" w:hAnsi="Times New Roman"/>
                <w:sz w:val="19"/>
                <w:szCs w:val="19"/>
                <w:color w:val="auto"/>
              </w:rPr>
              <w:t>September 30,</w:t>
            </w:r>
          </w:p>
        </w:tc>
        <w:tc>
          <w:tcPr>
            <w:tcW w:w="480" w:type="dxa"/>
            <w:vAlign w:val="bottom"/>
          </w:tcPr>
          <w:p>
            <w:pPr>
              <w:spacing w:after="0"/>
              <w:rPr>
                <w:sz w:val="20"/>
                <w:szCs w:val="20"/>
                <w:color w:val="auto"/>
              </w:rPr>
            </w:pPr>
          </w:p>
        </w:tc>
      </w:tr>
      <w:tr>
        <w:trPr>
          <w:trHeight w:val="251"/>
        </w:trPr>
        <w:tc>
          <w:tcPr>
            <w:tcW w:w="82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2026</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2025</w:t>
            </w:r>
          </w:p>
        </w:tc>
        <w:tc>
          <w:tcPr>
            <w:tcW w:w="480" w:type="dxa"/>
            <w:vAlign w:val="bottom"/>
            <w:tcBorders>
              <w:bottom w:val="single" w:sz="8" w:color="auto"/>
            </w:tcBorders>
          </w:tcPr>
          <w:p>
            <w:pPr>
              <w:spacing w:after="0"/>
              <w:rPr>
                <w:sz w:val="21"/>
                <w:szCs w:val="21"/>
                <w:color w:val="auto"/>
              </w:rPr>
            </w:pPr>
          </w:p>
        </w:tc>
      </w:tr>
      <w:tr>
        <w:trPr>
          <w:trHeight w:val="458"/>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Health, Wealth &amp; Career</w:t>
            </w:r>
          </w:p>
        </w:tc>
        <w:tc>
          <w:tcPr>
            <w:tcW w:w="940" w:type="dxa"/>
            <w:vAlign w:val="bottom"/>
          </w:tcPr>
          <w:p>
            <w:pPr>
              <w:jc w:val="right"/>
              <w:ind w:right="724"/>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398</w:t>
            </w:r>
          </w:p>
        </w:tc>
        <w:tc>
          <w:tcPr>
            <w:tcW w:w="120" w:type="dxa"/>
            <w:vAlign w:val="bottom"/>
          </w:tcPr>
          <w:p>
            <w:pPr>
              <w:spacing w:after="0"/>
              <w:rPr>
                <w:sz w:val="24"/>
                <w:szCs w:val="24"/>
                <w:color w:val="auto"/>
              </w:rPr>
            </w:pPr>
          </w:p>
        </w:tc>
        <w:tc>
          <w:tcPr>
            <w:tcW w:w="980" w:type="dxa"/>
            <w:vAlign w:val="bottom"/>
          </w:tcPr>
          <w:p>
            <w:pPr>
              <w:jc w:val="right"/>
              <w:ind w:right="784"/>
              <w:spacing w:after="0"/>
              <w:rPr>
                <w:sz w:val="20"/>
                <w:szCs w:val="20"/>
                <w:color w:val="auto"/>
              </w:rPr>
            </w:pPr>
            <w:r>
              <w:rPr>
                <w:rFonts w:ascii="Times New Roman" w:cs="Times New Roman" w:eastAsia="Times New Roman" w:hAnsi="Times New Roman"/>
                <w:sz w:val="19"/>
                <w:szCs w:val="19"/>
                <w:color w:val="auto"/>
                <w:w w:val="83"/>
              </w:rPr>
              <w:t>$</w:t>
            </w:r>
          </w:p>
        </w:tc>
        <w:tc>
          <w:tcPr>
            <w:tcW w:w="4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361</w:t>
            </w:r>
          </w:p>
        </w:tc>
      </w:tr>
      <w:tr>
        <w:trPr>
          <w:trHeight w:val="251"/>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Risk &amp; Broking</w:t>
            </w: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216</w:t>
            </w:r>
          </w:p>
        </w:tc>
        <w:tc>
          <w:tcPr>
            <w:tcW w:w="1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189</w:t>
            </w: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Segment Operating Income</w:t>
            </w:r>
          </w:p>
        </w:tc>
        <w:tc>
          <w:tcPr>
            <w:tcW w:w="94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614</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9"/>
                <w:szCs w:val="19"/>
                <w:color w:val="auto"/>
                <w:w w:val="83"/>
              </w:rPr>
              <w:t>$</w:t>
            </w:r>
          </w:p>
        </w:tc>
        <w:tc>
          <w:tcPr>
            <w:tcW w:w="4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550</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8944"/>
        <w:spacing w:after="0"/>
        <w:rPr>
          <w:sz w:val="20"/>
          <w:szCs w:val="20"/>
          <w:color w:val="auto"/>
        </w:rPr>
      </w:pPr>
      <w:r>
        <w:rPr>
          <w:rFonts w:ascii="Times New Roman" w:cs="Times New Roman" w:eastAsia="Times New Roman" w:hAnsi="Times New Roman"/>
          <w:sz w:val="19"/>
          <w:szCs w:val="19"/>
          <w:color w:val="auto"/>
        </w:rPr>
        <w:t>Nine Months Ended</w:t>
      </w:r>
    </w:p>
    <w:p>
      <w:pPr>
        <w:spacing w:after="0" w:line="19" w:lineRule="exact"/>
        <w:rPr>
          <w:sz w:val="20"/>
          <w:szCs w:val="20"/>
          <w:color w:val="auto"/>
        </w:rPr>
      </w:pPr>
    </w:p>
    <w:p>
      <w:pPr>
        <w:ind w:left="9184"/>
        <w:spacing w:after="0"/>
        <w:rPr>
          <w:sz w:val="20"/>
          <w:szCs w:val="20"/>
          <w:color w:val="auto"/>
        </w:rPr>
      </w:pPr>
      <w:r>
        <w:rPr>
          <w:rFonts w:ascii="Times New Roman" w:cs="Times New Roman" w:eastAsia="Times New Roman" w:hAnsi="Times New Roman"/>
          <w:sz w:val="19"/>
          <w:szCs w:val="19"/>
          <w:color w:val="auto"/>
        </w:rPr>
        <w:t>September 30,</w:t>
      </w:r>
    </w:p>
    <w:p>
      <w:pPr>
        <w:spacing w:after="0" w:line="10"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2025</w:t>
            </w:r>
          </w:p>
        </w:tc>
      </w:tr>
      <w:tr>
        <w:trPr>
          <w:trHeight w:val="457"/>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Health, Wealth &amp; Career</w:t>
            </w: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1,050</w:t>
            </w:r>
          </w:p>
        </w:tc>
        <w:tc>
          <w:tcPr>
            <w:tcW w:w="120" w:type="dxa"/>
            <w:vAlign w:val="bottom"/>
          </w:tcPr>
          <w:p>
            <w:pPr>
              <w:spacing w:after="0"/>
              <w:rPr>
                <w:sz w:val="24"/>
                <w:szCs w:val="24"/>
                <w:color w:val="auto"/>
              </w:rPr>
            </w:pP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952</w:t>
            </w:r>
          </w:p>
        </w:tc>
      </w:tr>
      <w:tr>
        <w:trPr>
          <w:trHeight w:val="251"/>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Risk &amp; Broking</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726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637</w:t>
            </w: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Segment Operating Income</w:t>
            </w: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1,776</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1,589</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4" w:right="20" w:hanging="4"/>
        <w:spacing w:after="0" w:line="215" w:lineRule="auto"/>
        <w:tabs>
          <w:tab w:leader="none" w:pos="194"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Segment operating income excludes certain costs, including amortization of intangibles, restructuring costs, transaction and program expenses, and to the extent that the actual expense based upon which allocations are made differs from the forecast/budget amount, a reconciling item will be created between internally-allocated expenses and the actual expenses reported for U.S. GAAP purposes.</w:t>
      </w:r>
    </w:p>
    <w:p>
      <w:pPr>
        <w:spacing w:after="0" w:line="155" w:lineRule="exact"/>
        <w:rPr>
          <w:sz w:val="20"/>
          <w:szCs w:val="20"/>
          <w:color w:val="auto"/>
        </w:rPr>
      </w:pPr>
    </w:p>
    <w:tbl>
      <w:tblPr>
        <w:tblLayout w:type="fixed"/>
        <w:tblInd w:w="4" w:type="dxa"/>
        <w:tblCellMar>
          <w:top w:w="0" w:type="dxa"/>
          <w:left w:w="0" w:type="dxa"/>
          <w:bottom w:w="0" w:type="dxa"/>
          <w:right w:w="0" w:type="dxa"/>
        </w:tblCellMar>
      </w:tblPr>
      <w:tr>
        <w:trPr>
          <w:trHeight w:val="252"/>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SEGMENT OPERATING MARGINS</w:t>
            </w: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383"/>
        </w:trPr>
        <w:tc>
          <w:tcPr>
            <w:tcW w:w="8220" w:type="dxa"/>
            <w:vAlign w:val="bottom"/>
          </w:tcPr>
          <w:p>
            <w:pPr>
              <w:spacing w:after="0"/>
              <w:rPr>
                <w:sz w:val="24"/>
                <w:szCs w:val="24"/>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Three Months Ended</w:t>
            </w:r>
          </w:p>
        </w:tc>
      </w:tr>
      <w:tr>
        <w:trPr>
          <w:trHeight w:val="239"/>
        </w:trPr>
        <w:tc>
          <w:tcPr>
            <w:tcW w:w="8220" w:type="dxa"/>
            <w:vAlign w:val="bottom"/>
          </w:tcPr>
          <w:p>
            <w:pPr>
              <w:spacing w:after="0"/>
              <w:rPr>
                <w:sz w:val="20"/>
                <w:szCs w:val="20"/>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September 30,</w:t>
            </w:r>
          </w:p>
        </w:tc>
      </w:tr>
      <w:tr>
        <w:trPr>
          <w:trHeight w:val="250"/>
        </w:trPr>
        <w:tc>
          <w:tcPr>
            <w:tcW w:w="82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2026</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2025</w:t>
            </w:r>
          </w:p>
        </w:tc>
      </w:tr>
      <w:tr>
        <w:trPr>
          <w:trHeight w:val="22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Health, Wealth &amp; Career</w:t>
            </w: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29.5%</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28.6%</w:t>
            </w: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Risk &amp; Broking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19.8%</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218"/>
        </w:trPr>
        <w:tc>
          <w:tcPr>
            <w:tcW w:w="8220" w:type="dxa"/>
            <w:vAlign w:val="bottom"/>
          </w:tcPr>
          <w:p>
            <w:pPr>
              <w:spacing w:after="0"/>
              <w:rPr>
                <w:sz w:val="18"/>
                <w:szCs w:val="18"/>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Nine Months Ended</w:t>
            </w:r>
          </w:p>
        </w:tc>
      </w:tr>
      <w:tr>
        <w:trPr>
          <w:trHeight w:val="239"/>
        </w:trPr>
        <w:tc>
          <w:tcPr>
            <w:tcW w:w="8220" w:type="dxa"/>
            <w:vAlign w:val="bottom"/>
          </w:tcPr>
          <w:p>
            <w:pPr>
              <w:spacing w:after="0"/>
              <w:rPr>
                <w:sz w:val="20"/>
                <w:szCs w:val="20"/>
                <w:color w:val="auto"/>
              </w:rPr>
            </w:pP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9"/>
                <w:szCs w:val="19"/>
                <w:color w:val="auto"/>
              </w:rPr>
              <w:t>September 30,</w:t>
            </w:r>
          </w:p>
        </w:tc>
      </w:tr>
      <w:tr>
        <w:trPr>
          <w:trHeight w:val="250"/>
        </w:trPr>
        <w:tc>
          <w:tcPr>
            <w:tcW w:w="82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2026</w:t>
            </w:r>
          </w:p>
        </w:tc>
        <w:tc>
          <w:tcPr>
            <w:tcW w:w="120" w:type="dxa"/>
            <w:vAlign w:val="bottom"/>
          </w:tcPr>
          <w:p>
            <w:pPr>
              <w:spacing w:after="0"/>
              <w:rPr>
                <w:sz w:val="21"/>
                <w:szCs w:val="21"/>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2025</w:t>
            </w:r>
          </w:p>
        </w:tc>
      </w:tr>
      <w:tr>
        <w:trPr>
          <w:trHeight w:val="22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Health, Wealth &amp; Career</w:t>
            </w: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27.0%</w:t>
            </w:r>
          </w:p>
        </w:tc>
        <w:tc>
          <w:tcPr>
            <w:tcW w:w="1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26.4%</w:t>
            </w: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Risk &amp; Broking</w:t>
            </w: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21.5%</w:t>
            </w:r>
          </w:p>
        </w:tc>
        <w:tc>
          <w:tcPr>
            <w:tcW w:w="120" w:type="dxa"/>
            <w:vAlign w:val="bottom"/>
          </w:tcPr>
          <w:p>
            <w:pPr>
              <w:spacing w:after="0"/>
              <w:rPr>
                <w:sz w:val="21"/>
                <w:szCs w:val="21"/>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20.7%</w:t>
            </w:r>
          </w:p>
        </w:tc>
      </w:tr>
    </w:tbl>
    <w:p>
      <w:pPr>
        <w:spacing w:after="0" w:line="200" w:lineRule="exact"/>
        <w:rPr>
          <w:sz w:val="20"/>
          <w:szCs w:val="20"/>
          <w:color w:val="auto"/>
        </w:rPr>
      </w:pPr>
    </w:p>
    <w:p>
      <w:pPr>
        <w:spacing w:after="0" w:line="205" w:lineRule="exact"/>
        <w:rPr>
          <w:sz w:val="20"/>
          <w:szCs w:val="20"/>
          <w:color w:val="auto"/>
        </w:rPr>
      </w:pPr>
    </w:p>
    <w:p>
      <w:pPr>
        <w:ind w:left="4" w:right="140"/>
        <w:spacing w:after="0" w:line="273" w:lineRule="auto"/>
        <w:rPr>
          <w:sz w:val="20"/>
          <w:szCs w:val="20"/>
          <w:color w:val="auto"/>
        </w:rPr>
      </w:pPr>
      <w:r>
        <w:rPr>
          <w:rFonts w:ascii="Times New Roman" w:cs="Times New Roman" w:eastAsia="Times New Roman" w:hAnsi="Times New Roman"/>
          <w:sz w:val="19"/>
          <w:szCs w:val="19"/>
          <w:b w:val="1"/>
          <w:bCs w:val="1"/>
          <w:color w:val="auto"/>
        </w:rPr>
        <w:t>RECONCILIATIONS OF SEGMENT OPERATING INCOME TO INCOME FROM OPERATIONS BEFORE INCOME TAXES AND INTEREST IN EARNINGS OF ASSOCIATES</w:t>
      </w:r>
    </w:p>
    <w:p>
      <w:pPr>
        <w:spacing w:after="0" w:line="138" w:lineRule="exact"/>
        <w:rPr>
          <w:sz w:val="20"/>
          <w:szCs w:val="20"/>
          <w:color w:val="auto"/>
        </w:rPr>
      </w:pPr>
    </w:p>
    <w:p>
      <w:pPr>
        <w:ind w:left="8904"/>
        <w:spacing w:after="0"/>
        <w:rPr>
          <w:sz w:val="20"/>
          <w:szCs w:val="20"/>
          <w:color w:val="auto"/>
        </w:rPr>
      </w:pPr>
      <w:r>
        <w:rPr>
          <w:rFonts w:ascii="Times New Roman" w:cs="Times New Roman" w:eastAsia="Times New Roman" w:hAnsi="Times New Roman"/>
          <w:sz w:val="19"/>
          <w:szCs w:val="19"/>
          <w:color w:val="auto"/>
        </w:rPr>
        <w:t>Three Months Ended</w:t>
      </w:r>
    </w:p>
    <w:p>
      <w:pPr>
        <w:spacing w:after="0" w:line="19" w:lineRule="exact"/>
        <w:rPr>
          <w:sz w:val="20"/>
          <w:szCs w:val="20"/>
          <w:color w:val="auto"/>
        </w:rPr>
      </w:pPr>
    </w:p>
    <w:p>
      <w:pPr>
        <w:ind w:left="9184"/>
        <w:spacing w:after="0"/>
        <w:rPr>
          <w:sz w:val="20"/>
          <w:szCs w:val="20"/>
          <w:color w:val="auto"/>
        </w:rPr>
      </w:pPr>
      <w:r>
        <w:rPr>
          <w:rFonts w:ascii="Times New Roman" w:cs="Times New Roman" w:eastAsia="Times New Roman" w:hAnsi="Times New Roman"/>
          <w:sz w:val="19"/>
          <w:szCs w:val="19"/>
          <w:color w:val="auto"/>
        </w:rPr>
        <w:t>September 30,</w:t>
      </w:r>
    </w:p>
    <w:p>
      <w:pPr>
        <w:spacing w:after="0" w:line="10"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2026</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2025</w:t>
            </w:r>
          </w:p>
        </w:tc>
      </w:tr>
      <w:tr>
        <w:trPr>
          <w:trHeight w:val="457"/>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Segment Operating Income</w:t>
            </w:r>
          </w:p>
        </w:tc>
        <w:tc>
          <w:tcPr>
            <w:tcW w:w="1000" w:type="dxa"/>
            <w:vAlign w:val="bottom"/>
          </w:tcPr>
          <w:p>
            <w:pPr>
              <w:jc w:val="right"/>
              <w:ind w:right="784"/>
              <w:spacing w:after="0"/>
              <w:rPr>
                <w:sz w:val="20"/>
                <w:szCs w:val="20"/>
                <w:color w:val="auto"/>
              </w:rPr>
            </w:pPr>
            <w:r>
              <w:rPr>
                <w:rFonts w:ascii="Times New Roman" w:cs="Times New Roman" w:eastAsia="Times New Roman" w:hAnsi="Times New Roman"/>
                <w:sz w:val="19"/>
                <w:szCs w:val="19"/>
                <w:color w:val="auto"/>
              </w:rPr>
              <w:t>$</w:t>
            </w: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614</w:t>
            </w:r>
          </w:p>
        </w:tc>
        <w:tc>
          <w:tcPr>
            <w:tcW w:w="120" w:type="dxa"/>
            <w:vAlign w:val="bottom"/>
          </w:tcPr>
          <w:p>
            <w:pPr>
              <w:spacing w:after="0"/>
              <w:rPr>
                <w:sz w:val="24"/>
                <w:szCs w:val="24"/>
                <w:color w:val="auto"/>
              </w:rPr>
            </w:pP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550</w:t>
            </w:r>
          </w:p>
        </w:tc>
      </w:tr>
      <w:tr>
        <w:trPr>
          <w:trHeight w:val="248"/>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Amortization</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r>
      <w:tr>
        <w:trPr>
          <w:trHeight w:val="287"/>
        </w:trPr>
        <w:tc>
          <w:tcPr>
            <w:tcW w:w="8220" w:type="dxa"/>
            <w:vAlign w:val="bottom"/>
          </w:tcPr>
          <w:p>
            <w:pPr>
              <w:spacing w:after="0" w:line="287" w:lineRule="exact"/>
              <w:rPr>
                <w:sz w:val="20"/>
                <w:szCs w:val="20"/>
                <w:color w:val="auto"/>
              </w:rPr>
            </w:pPr>
            <w:r>
              <w:rPr>
                <w:rFonts w:ascii="Times New Roman" w:cs="Times New Roman" w:eastAsia="Times New Roman" w:hAnsi="Times New Roman"/>
                <w:sz w:val="19"/>
                <w:szCs w:val="19"/>
                <w:color w:val="auto"/>
              </w:rPr>
              <w:t>Restructuring costs</w:t>
            </w:r>
            <w:r>
              <w:rPr>
                <w:rFonts w:ascii="Times New Roman" w:cs="Times New Roman" w:eastAsia="Times New Roman" w:hAnsi="Times New Roman"/>
                <w:sz w:val="31"/>
                <w:szCs w:val="31"/>
                <w:color w:val="auto"/>
                <w:vertAlign w:val="superscript"/>
              </w:rPr>
              <w:t>(i)</w:t>
            </w:r>
          </w:p>
        </w:tc>
        <w:tc>
          <w:tcPr>
            <w:tcW w:w="10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87"/>
        </w:trPr>
        <w:tc>
          <w:tcPr>
            <w:tcW w:w="8220" w:type="dxa"/>
            <w:vAlign w:val="bottom"/>
          </w:tcPr>
          <w:p>
            <w:pPr>
              <w:spacing w:after="0" w:line="287" w:lineRule="exact"/>
              <w:rPr>
                <w:sz w:val="20"/>
                <w:szCs w:val="20"/>
                <w:color w:val="auto"/>
              </w:rPr>
            </w:pPr>
            <w:r>
              <w:rPr>
                <w:rFonts w:ascii="Times New Roman" w:cs="Times New Roman" w:eastAsia="Times New Roman" w:hAnsi="Times New Roman"/>
                <w:sz w:val="19"/>
                <w:szCs w:val="19"/>
                <w:color w:val="auto"/>
              </w:rPr>
              <w:t>Transaction and program expenses</w:t>
            </w:r>
            <w:r>
              <w:rPr>
                <w:rFonts w:ascii="Times New Roman" w:cs="Times New Roman" w:eastAsia="Times New Roman" w:hAnsi="Times New Roman"/>
                <w:sz w:val="31"/>
                <w:szCs w:val="31"/>
                <w:color w:val="auto"/>
                <w:vertAlign w:val="superscript"/>
              </w:rPr>
              <w:t>(ii)</w:t>
            </w:r>
          </w:p>
        </w:tc>
        <w:tc>
          <w:tcPr>
            <w:tcW w:w="10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w:t>
            </w:r>
          </w:p>
        </w:tc>
      </w:tr>
      <w:tr>
        <w:trPr>
          <w:trHeight w:val="291"/>
        </w:trPr>
        <w:tc>
          <w:tcPr>
            <w:tcW w:w="8220" w:type="dxa"/>
            <w:vAlign w:val="bottom"/>
          </w:tcPr>
          <w:p>
            <w:pPr>
              <w:spacing w:after="0" w:line="292" w:lineRule="exact"/>
              <w:rPr>
                <w:sz w:val="20"/>
                <w:szCs w:val="20"/>
                <w:color w:val="auto"/>
              </w:rPr>
            </w:pPr>
            <w:r>
              <w:rPr>
                <w:rFonts w:ascii="Times New Roman" w:cs="Times New Roman" w:eastAsia="Times New Roman" w:hAnsi="Times New Roman"/>
                <w:sz w:val="19"/>
                <w:szCs w:val="19"/>
                <w:color w:val="auto"/>
              </w:rPr>
              <w:t>Unallocated, net</w:t>
            </w:r>
            <w:r>
              <w:rPr>
                <w:rFonts w:ascii="Times New Roman" w:cs="Times New Roman" w:eastAsia="Times New Roman" w:hAnsi="Times New Roman"/>
                <w:sz w:val="31"/>
                <w:szCs w:val="31"/>
                <w:color w:val="auto"/>
                <w:vertAlign w:val="superscript"/>
              </w:rPr>
              <w:t>(iii)</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(83)</w:t>
            </w:r>
          </w:p>
        </w:tc>
      </w:tr>
      <w:tr>
        <w:trPr>
          <w:trHeight w:val="218"/>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Income from Operations</w:t>
            </w:r>
          </w:p>
        </w:tc>
        <w:tc>
          <w:tcPr>
            <w:tcW w:w="1000" w:type="dxa"/>
            <w:vAlign w:val="bottom"/>
          </w:tcPr>
          <w:p>
            <w:pPr>
              <w:spacing w:after="0"/>
              <w:rPr>
                <w:sz w:val="18"/>
                <w:szCs w:val="18"/>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429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418</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w:t>
            </w:r>
          </w:p>
        </w:tc>
        <w:tc>
          <w:tcPr>
            <w:tcW w:w="10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r>
      <w:tr>
        <w:trPr>
          <w:trHeight w:val="251"/>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income, net</w:t>
            </w:r>
          </w:p>
        </w:tc>
        <w:tc>
          <w:tcPr>
            <w:tcW w:w="10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52</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37</w:t>
            </w: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Income from operations before income taxes and interest in earnings of associates</w:t>
            </w:r>
          </w:p>
        </w:tc>
        <w:tc>
          <w:tcPr>
            <w:tcW w:w="1000" w:type="dxa"/>
            <w:vAlign w:val="bottom"/>
            <w:tcBorders>
              <w:bottom w:val="single" w:sz="8" w:color="auto"/>
            </w:tcBorders>
          </w:tcPr>
          <w:p>
            <w:pPr>
              <w:jc w:val="right"/>
              <w:ind w:right="784"/>
              <w:spacing w:after="0"/>
              <w:rPr>
                <w:sz w:val="20"/>
                <w:szCs w:val="20"/>
                <w:color w:val="auto"/>
              </w:rPr>
            </w:pPr>
            <w:r>
              <w:rPr>
                <w:rFonts w:ascii="Times New Roman" w:cs="Times New Roman" w:eastAsia="Times New Roman" w:hAnsi="Times New Roman"/>
                <w:sz w:val="19"/>
                <w:szCs w:val="19"/>
                <w:color w:val="auto"/>
              </w:rPr>
              <w:t>$</w:t>
            </w:r>
          </w:p>
        </w:tc>
        <w:tc>
          <w:tcPr>
            <w:tcW w:w="4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401</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390</w:t>
            </w:r>
          </w:p>
        </w:tc>
      </w:tr>
    </w:tbl>
    <w:p>
      <w:pPr>
        <w:sectPr>
          <w:pgSz w:w="11900" w:h="16891" w:orient="portrait"/>
          <w:cols w:equalWidth="0" w:num="1">
            <w:col w:w="11264"/>
          </w:cols>
          <w:pgMar w:left="316" w:top="533" w:right="319" w:bottom="0" w:gutter="0" w:footer="0" w:header="0"/>
        </w:sectPr>
      </w:pPr>
    </w:p>
    <w:bookmarkStart w:id="10" w:name="page11"/>
    <w:bookmarkEnd w:id="10"/>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5428615</wp:posOffset>
            </wp:positionH>
            <wp:positionV relativeFrom="page">
              <wp:posOffset>88900</wp:posOffset>
            </wp:positionV>
            <wp:extent cx="191960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19605" cy="7620"/>
                    </a:xfrm>
                    <a:prstGeom prst="rect">
                      <a:avLst/>
                    </a:prstGeom>
                    <a:noFill/>
                  </pic:spPr>
                </pic:pic>
              </a:graphicData>
            </a:graphic>
          </wp:anchor>
        </w:drawing>
      </w:r>
    </w:p>
    <w:p>
      <w:pPr>
        <w:ind w:left="8944"/>
        <w:spacing w:after="0"/>
        <w:rPr>
          <w:sz w:val="20"/>
          <w:szCs w:val="20"/>
          <w:color w:val="auto"/>
        </w:rPr>
      </w:pPr>
      <w:r>
        <w:rPr>
          <w:rFonts w:ascii="Times New Roman" w:cs="Times New Roman" w:eastAsia="Times New Roman" w:hAnsi="Times New Roman"/>
          <w:sz w:val="19"/>
          <w:szCs w:val="19"/>
          <w:color w:val="auto"/>
        </w:rPr>
        <w:t>Nine Months Ended</w:t>
      </w:r>
    </w:p>
    <w:p>
      <w:pPr>
        <w:spacing w:after="0" w:line="19" w:lineRule="exact"/>
        <w:rPr>
          <w:sz w:val="20"/>
          <w:szCs w:val="20"/>
          <w:color w:val="auto"/>
        </w:rPr>
      </w:pPr>
    </w:p>
    <w:p>
      <w:pPr>
        <w:ind w:left="9184"/>
        <w:spacing w:after="0"/>
        <w:rPr>
          <w:sz w:val="20"/>
          <w:szCs w:val="20"/>
          <w:color w:val="auto"/>
        </w:rPr>
      </w:pPr>
      <w:r>
        <w:rPr>
          <w:rFonts w:ascii="Times New Roman" w:cs="Times New Roman" w:eastAsia="Times New Roman" w:hAnsi="Times New Roman"/>
          <w:sz w:val="19"/>
          <w:szCs w:val="19"/>
          <w:color w:val="auto"/>
        </w:rPr>
        <w:t>September 30,</w:t>
      </w:r>
    </w:p>
    <w:p>
      <w:pPr>
        <w:spacing w:after="0" w:line="10"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2025</w:t>
            </w:r>
          </w:p>
        </w:tc>
      </w:tr>
      <w:tr>
        <w:trPr>
          <w:trHeight w:val="457"/>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Segment Operating Income</w:t>
            </w: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1,776</w:t>
            </w:r>
          </w:p>
        </w:tc>
        <w:tc>
          <w:tcPr>
            <w:tcW w:w="120" w:type="dxa"/>
            <w:vAlign w:val="bottom"/>
          </w:tcPr>
          <w:p>
            <w:pPr>
              <w:spacing w:after="0"/>
              <w:rPr>
                <w:sz w:val="24"/>
                <w:szCs w:val="24"/>
                <w:color w:val="auto"/>
              </w:rPr>
            </w:pP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1,589</w:t>
            </w:r>
          </w:p>
        </w:tc>
      </w:tr>
      <w:tr>
        <w:trPr>
          <w:trHeight w:val="248"/>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Amortization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w:t>
            </w:r>
          </w:p>
        </w:tc>
      </w:tr>
      <w:tr>
        <w:trPr>
          <w:trHeight w:val="287"/>
        </w:trPr>
        <w:tc>
          <w:tcPr>
            <w:tcW w:w="8220" w:type="dxa"/>
            <w:vAlign w:val="bottom"/>
          </w:tcPr>
          <w:p>
            <w:pPr>
              <w:spacing w:after="0" w:line="287" w:lineRule="exact"/>
              <w:rPr>
                <w:sz w:val="20"/>
                <w:szCs w:val="20"/>
                <w:color w:val="auto"/>
              </w:rPr>
            </w:pPr>
            <w:r>
              <w:rPr>
                <w:rFonts w:ascii="Times New Roman" w:cs="Times New Roman" w:eastAsia="Times New Roman" w:hAnsi="Times New Roman"/>
                <w:sz w:val="19"/>
                <w:szCs w:val="19"/>
                <w:color w:val="auto"/>
              </w:rPr>
              <w:t>Restructuring costs</w:t>
            </w:r>
            <w:r>
              <w:rPr>
                <w:rFonts w:ascii="Times New Roman" w:cs="Times New Roman" w:eastAsia="Times New Roman" w:hAnsi="Times New Roman"/>
                <w:sz w:val="31"/>
                <w:szCs w:val="31"/>
                <w:color w:val="auto"/>
                <w:vertAlign w:val="superscript"/>
              </w:rPr>
              <w:t>(i)</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87"/>
        </w:trPr>
        <w:tc>
          <w:tcPr>
            <w:tcW w:w="8220" w:type="dxa"/>
            <w:vAlign w:val="bottom"/>
          </w:tcPr>
          <w:p>
            <w:pPr>
              <w:spacing w:after="0" w:line="287" w:lineRule="exact"/>
              <w:rPr>
                <w:sz w:val="20"/>
                <w:szCs w:val="20"/>
                <w:color w:val="auto"/>
              </w:rPr>
            </w:pPr>
            <w:r>
              <w:rPr>
                <w:rFonts w:ascii="Times New Roman" w:cs="Times New Roman" w:eastAsia="Times New Roman" w:hAnsi="Times New Roman"/>
                <w:sz w:val="19"/>
                <w:szCs w:val="19"/>
                <w:color w:val="auto"/>
              </w:rPr>
              <w:t>Transaction and program expenses</w:t>
            </w:r>
            <w:r>
              <w:rPr>
                <w:rFonts w:ascii="Times New Roman" w:cs="Times New Roman" w:eastAsia="Times New Roman" w:hAnsi="Times New Roman"/>
                <w:sz w:val="31"/>
                <w:szCs w:val="31"/>
                <w:color w:val="auto"/>
                <w:vertAlign w:val="superscript"/>
              </w:rPr>
              <w:t>(ii)</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r>
      <w:tr>
        <w:trPr>
          <w:trHeight w:val="291"/>
        </w:trPr>
        <w:tc>
          <w:tcPr>
            <w:tcW w:w="8220" w:type="dxa"/>
            <w:vAlign w:val="bottom"/>
          </w:tcPr>
          <w:p>
            <w:pPr>
              <w:spacing w:after="0" w:line="292" w:lineRule="exact"/>
              <w:rPr>
                <w:sz w:val="20"/>
                <w:szCs w:val="20"/>
                <w:color w:val="auto"/>
              </w:rPr>
            </w:pPr>
            <w:r>
              <w:rPr>
                <w:rFonts w:ascii="Times New Roman" w:cs="Times New Roman" w:eastAsia="Times New Roman" w:hAnsi="Times New Roman"/>
                <w:sz w:val="19"/>
                <w:szCs w:val="19"/>
                <w:color w:val="auto"/>
              </w:rPr>
              <w:t>Unallocated, net</w:t>
            </w:r>
            <w:r>
              <w:rPr>
                <w:rFonts w:ascii="Times New Roman" w:cs="Times New Roman" w:eastAsia="Times New Roman" w:hAnsi="Times New Roman"/>
                <w:sz w:val="31"/>
                <w:szCs w:val="31"/>
                <w:color w:val="auto"/>
                <w:vertAlign w:val="superscript"/>
              </w:rPr>
              <w:t>(iii)</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(223)</w:t>
            </w:r>
          </w:p>
        </w:tc>
      </w:tr>
      <w:tr>
        <w:trPr>
          <w:trHeight w:val="218"/>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Income from Operations</w:t>
            </w:r>
          </w:p>
        </w:tc>
        <w:tc>
          <w:tcPr>
            <w:tcW w:w="340" w:type="dxa"/>
            <w:vAlign w:val="bottom"/>
          </w:tcPr>
          <w:p>
            <w:pPr>
              <w:spacing w:after="0"/>
              <w:rPr>
                <w:sz w:val="18"/>
                <w:szCs w:val="18"/>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1,241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1,218</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w:t>
            </w:r>
          </w:p>
        </w:tc>
      </w:tr>
      <w:tr>
        <w:trPr>
          <w:trHeight w:val="251"/>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income/(loss), net</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63</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w:t>
            </w: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Income from operations before income taxes and interest in earnings of associates</w:t>
            </w: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1,069</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1,006</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264" w:hanging="225"/>
        <w:spacing w:after="0"/>
        <w:tabs>
          <w:tab w:leader="none" w:pos="264" w:val="left"/>
        </w:tabs>
        <w:numPr>
          <w:ilvl w:val="1"/>
          <w:numId w:val="6"/>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9"/>
          <w:szCs w:val="19"/>
          <w:color w:val="auto"/>
        </w:rPr>
        <w:t>Includes costs associated with our recently-commenced Propel AI Acceleration Plan.</w:t>
      </w:r>
    </w:p>
    <w:p>
      <w:pPr>
        <w:spacing w:after="0" w:line="34" w:lineRule="exact"/>
        <w:rPr>
          <w:rFonts w:ascii="Times New Roman" w:cs="Times New Roman" w:eastAsia="Times New Roman" w:hAnsi="Times New Roman"/>
          <w:sz w:val="32"/>
          <w:szCs w:val="32"/>
          <w:color w:val="auto"/>
          <w:vertAlign w:val="superscript"/>
        </w:rPr>
      </w:pPr>
    </w:p>
    <w:p>
      <w:pPr>
        <w:ind w:left="4" w:right="420" w:firstLine="35"/>
        <w:spacing w:after="0" w:line="196" w:lineRule="auto"/>
        <w:tabs>
          <w:tab w:leader="none" w:pos="278" w:val="left"/>
        </w:tabs>
        <w:numPr>
          <w:ilvl w:val="1"/>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Primarily includes share-based compensation and other transaction-related costs attributable to our Newfront and Cushon acquisitions and costs associated with the integration of significant acquired companies and the Propel AI Acceleration Plan.</w:t>
      </w:r>
    </w:p>
    <w:p>
      <w:pPr>
        <w:spacing w:after="0" w:line="14" w:lineRule="exact"/>
        <w:rPr>
          <w:rFonts w:ascii="Times New Roman" w:cs="Times New Roman" w:eastAsia="Times New Roman" w:hAnsi="Times New Roman"/>
          <w:sz w:val="29"/>
          <w:szCs w:val="29"/>
          <w:color w:val="auto"/>
          <w:vertAlign w:val="superscript"/>
        </w:rPr>
      </w:pPr>
    </w:p>
    <w:p>
      <w:pPr>
        <w:ind w:left="4" w:right="200" w:hanging="4"/>
        <w:spacing w:after="0" w:line="215" w:lineRule="auto"/>
        <w:tabs>
          <w:tab w:leader="none" w:pos="283" w:val="left"/>
        </w:tabs>
        <w:numPr>
          <w:ilvl w:val="0"/>
          <w:numId w:val="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6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WTW</w:t>
      </w:r>
    </w:p>
    <w:p>
      <w:pPr>
        <w:spacing w:after="0" w:line="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Reconciliations of Non-GAAP Measures</w:t>
      </w:r>
    </w:p>
    <w:p>
      <w:pPr>
        <w:jc w:val="center"/>
        <w:ind w:right="-3"/>
        <w:spacing w:after="0" w:line="236" w:lineRule="auto"/>
        <w:rPr>
          <w:sz w:val="20"/>
          <w:szCs w:val="20"/>
          <w:color w:val="auto"/>
        </w:rPr>
      </w:pPr>
      <w:r>
        <w:rPr>
          <w:rFonts w:ascii="Times New Roman" w:cs="Times New Roman" w:eastAsia="Times New Roman" w:hAnsi="Times New Roman"/>
          <w:sz w:val="19"/>
          <w:szCs w:val="19"/>
          <w:color w:val="auto"/>
        </w:rPr>
        <w:t>(In millions of U.S. dollars, except per share data)</w:t>
      </w:r>
    </w:p>
    <w:p>
      <w:pPr>
        <w:jc w:val="center"/>
        <w:ind w:right="-3"/>
        <w:spacing w:after="0"/>
        <w:rPr>
          <w:sz w:val="20"/>
          <w:szCs w:val="20"/>
          <w:color w:val="auto"/>
        </w:rPr>
      </w:pPr>
      <w:r>
        <w:rPr>
          <w:rFonts w:ascii="Times New Roman" w:cs="Times New Roman" w:eastAsia="Times New Roman" w:hAnsi="Times New Roman"/>
          <w:sz w:val="19"/>
          <w:szCs w:val="19"/>
          <w:color w:val="auto"/>
        </w:rPr>
        <w:t>(Unaudited)</w:t>
      </w:r>
    </w:p>
    <w:p>
      <w:pPr>
        <w:spacing w:after="0" w:line="2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RECONCILIATIONS OF NET INCOME ATTRIBUTABLE TO WTW TO ADJUSTED DILUTED EARNINGS PER SHARE</w:t>
      </w:r>
    </w:p>
    <w:p>
      <w:pPr>
        <w:spacing w:after="0" w:line="262" w:lineRule="exact"/>
        <w:rPr>
          <w:sz w:val="20"/>
          <w:szCs w:val="20"/>
          <w:color w:val="auto"/>
        </w:rPr>
      </w:pPr>
    </w:p>
    <w:p>
      <w:pPr>
        <w:ind w:left="8904"/>
        <w:spacing w:after="0"/>
        <w:rPr>
          <w:sz w:val="20"/>
          <w:szCs w:val="20"/>
          <w:color w:val="auto"/>
        </w:rPr>
      </w:pPr>
      <w:r>
        <w:rPr>
          <w:rFonts w:ascii="Times New Roman" w:cs="Times New Roman" w:eastAsia="Times New Roman" w:hAnsi="Times New Roman"/>
          <w:sz w:val="19"/>
          <w:szCs w:val="19"/>
          <w:color w:val="auto"/>
        </w:rPr>
        <w:t>Three Months Ended</w:t>
      </w:r>
    </w:p>
    <w:p>
      <w:pPr>
        <w:spacing w:after="0" w:line="19" w:lineRule="exact"/>
        <w:rPr>
          <w:sz w:val="20"/>
          <w:szCs w:val="20"/>
          <w:color w:val="auto"/>
        </w:rPr>
      </w:pPr>
    </w:p>
    <w:p>
      <w:pPr>
        <w:ind w:left="9184"/>
        <w:spacing w:after="0"/>
        <w:rPr>
          <w:sz w:val="20"/>
          <w:szCs w:val="20"/>
          <w:color w:val="auto"/>
        </w:rPr>
      </w:pPr>
      <w:r>
        <w:rPr>
          <w:rFonts w:ascii="Times New Roman" w:cs="Times New Roman" w:eastAsia="Times New Roman" w:hAnsi="Times New Roman"/>
          <w:sz w:val="19"/>
          <w:szCs w:val="19"/>
          <w:color w:val="auto"/>
        </w:rPr>
        <w:t>September 30,</w:t>
      </w:r>
    </w:p>
    <w:p>
      <w:pPr>
        <w:spacing w:after="0" w:line="10"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2026</w:t>
            </w:r>
          </w:p>
        </w:tc>
        <w:tc>
          <w:tcPr>
            <w:tcW w:w="5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2025</w:t>
            </w:r>
          </w:p>
        </w:tc>
        <w:tc>
          <w:tcPr>
            <w:tcW w:w="540" w:type="dxa"/>
            <w:vAlign w:val="bottom"/>
            <w:tcBorders>
              <w:bottom w:val="single" w:sz="8" w:color="auto"/>
            </w:tcBorders>
          </w:tcPr>
          <w:p>
            <w:pPr>
              <w:spacing w:after="0"/>
              <w:rPr>
                <w:sz w:val="20"/>
                <w:szCs w:val="20"/>
                <w:color w:val="auto"/>
              </w:rPr>
            </w:pPr>
          </w:p>
        </w:tc>
      </w:tr>
      <w:tr>
        <w:trPr>
          <w:trHeight w:val="457"/>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 attributable to WTW</w:t>
            </w:r>
          </w:p>
        </w:tc>
        <w:tc>
          <w:tcPr>
            <w:tcW w:w="940" w:type="dxa"/>
            <w:vAlign w:val="bottom"/>
          </w:tcPr>
          <w:p>
            <w:pPr>
              <w:jc w:val="right"/>
              <w:ind w:right="724"/>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303</w:t>
            </w:r>
          </w:p>
        </w:tc>
        <w:tc>
          <w:tcPr>
            <w:tcW w:w="120" w:type="dxa"/>
            <w:vAlign w:val="bottom"/>
          </w:tcPr>
          <w:p>
            <w:pPr>
              <w:spacing w:after="0"/>
              <w:rPr>
                <w:sz w:val="24"/>
                <w:szCs w:val="24"/>
                <w:color w:val="auto"/>
              </w:rPr>
            </w:pPr>
          </w:p>
        </w:tc>
        <w:tc>
          <w:tcPr>
            <w:tcW w:w="920" w:type="dxa"/>
            <w:vAlign w:val="bottom"/>
          </w:tcPr>
          <w:p>
            <w:pPr>
              <w:jc w:val="right"/>
              <w:ind w:right="724"/>
              <w:spacing w:after="0"/>
              <w:rPr>
                <w:sz w:val="20"/>
                <w:szCs w:val="20"/>
                <w:color w:val="auto"/>
              </w:rPr>
            </w:pPr>
            <w:r>
              <w:rPr>
                <w:rFonts w:ascii="Times New Roman" w:cs="Times New Roman" w:eastAsia="Times New Roman" w:hAnsi="Times New Roman"/>
                <w:sz w:val="19"/>
                <w:szCs w:val="19"/>
                <w:color w:val="auto"/>
                <w:w w:val="83"/>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304</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Adjusted for certain items: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94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47</w:t>
            </w: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94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94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w:t>
            </w: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Net periodic pension and postretirement benefits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w:t>
            </w: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Gain on disposal of operations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w:t>
            </w:r>
          </w:p>
        </w:tc>
      </w:tr>
      <w:tr>
        <w:trPr>
          <w:trHeight w:val="248"/>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78"/>
        </w:trPr>
        <w:tc>
          <w:tcPr>
            <w:tcW w:w="8220" w:type="dxa"/>
            <w:vAlign w:val="bottom"/>
          </w:tcPr>
          <w:p>
            <w:pPr>
              <w:ind w:left="120"/>
              <w:spacing w:after="0" w:line="278" w:lineRule="exact"/>
              <w:rPr>
                <w:sz w:val="20"/>
                <w:szCs w:val="20"/>
                <w:color w:val="auto"/>
              </w:rPr>
            </w:pPr>
            <w:r>
              <w:rPr>
                <w:rFonts w:ascii="Times New Roman" w:cs="Times New Roman" w:eastAsia="Times New Roman" w:hAnsi="Times New Roman"/>
                <w:sz w:val="19"/>
                <w:szCs w:val="19"/>
                <w:color w:val="auto"/>
              </w:rPr>
              <w:t>Tax effect on certain items listed above</w:t>
            </w:r>
            <w:r>
              <w:rPr>
                <w:rFonts w:ascii="Times New Roman" w:cs="Times New Roman" w:eastAsia="Times New Roman" w:hAnsi="Times New Roman"/>
                <w:sz w:val="31"/>
                <w:szCs w:val="31"/>
                <w:color w:val="auto"/>
                <w:vertAlign w:val="superscript"/>
              </w:rPr>
              <w:t>(i)</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251"/>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 effect of significant adjustments</w:t>
            </w:r>
          </w:p>
        </w:tc>
        <w:tc>
          <w:tcPr>
            <w:tcW w:w="94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Net Income</w:t>
            </w:r>
          </w:p>
        </w:tc>
        <w:tc>
          <w:tcPr>
            <w:tcW w:w="94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339</w:t>
            </w:r>
          </w:p>
        </w:tc>
        <w:tc>
          <w:tcPr>
            <w:tcW w:w="1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9"/>
                <w:szCs w:val="19"/>
                <w:color w:val="auto"/>
                <w:w w:val="83"/>
              </w:rPr>
              <w:t>$</w:t>
            </w:r>
          </w:p>
        </w:tc>
        <w:tc>
          <w:tcPr>
            <w:tcW w:w="5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301</w:t>
            </w:r>
          </w:p>
        </w:tc>
      </w:tr>
      <w:tr>
        <w:trPr>
          <w:trHeight w:val="20"/>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64"/>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ordinary shares, diluted</w:t>
            </w:r>
          </w:p>
        </w:tc>
        <w:tc>
          <w:tcPr>
            <w:tcW w:w="940" w:type="dxa"/>
            <w:vAlign w:val="bottom"/>
          </w:tcPr>
          <w:p>
            <w:pPr>
              <w:spacing w:after="0"/>
              <w:rPr>
                <w:sz w:val="24"/>
                <w:szCs w:val="24"/>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94</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98</w:t>
            </w:r>
          </w:p>
        </w:tc>
      </w:tr>
      <w:tr>
        <w:trPr>
          <w:trHeight w:val="475"/>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Diluted Earnings Per Share</w:t>
            </w:r>
          </w:p>
        </w:tc>
        <w:tc>
          <w:tcPr>
            <w:tcW w:w="940" w:type="dxa"/>
            <w:vAlign w:val="bottom"/>
          </w:tcPr>
          <w:p>
            <w:pPr>
              <w:jc w:val="right"/>
              <w:ind w:right="724"/>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3.24</w:t>
            </w:r>
          </w:p>
        </w:tc>
        <w:tc>
          <w:tcPr>
            <w:tcW w:w="120" w:type="dxa"/>
            <w:vAlign w:val="bottom"/>
          </w:tcPr>
          <w:p>
            <w:pPr>
              <w:spacing w:after="0"/>
              <w:rPr>
                <w:sz w:val="24"/>
                <w:szCs w:val="24"/>
                <w:color w:val="auto"/>
              </w:rPr>
            </w:pPr>
          </w:p>
        </w:tc>
        <w:tc>
          <w:tcPr>
            <w:tcW w:w="920" w:type="dxa"/>
            <w:vAlign w:val="bottom"/>
          </w:tcPr>
          <w:p>
            <w:pPr>
              <w:jc w:val="right"/>
              <w:ind w:right="724"/>
              <w:spacing w:after="0"/>
              <w:rPr>
                <w:sz w:val="20"/>
                <w:szCs w:val="20"/>
                <w:color w:val="auto"/>
              </w:rPr>
            </w:pPr>
            <w:r>
              <w:rPr>
                <w:rFonts w:ascii="Times New Roman" w:cs="Times New Roman" w:eastAsia="Times New Roman" w:hAnsi="Times New Roman"/>
                <w:sz w:val="19"/>
                <w:szCs w:val="19"/>
                <w:color w:val="auto"/>
                <w:w w:val="83"/>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3.11</w:t>
            </w:r>
          </w:p>
        </w:tc>
      </w:tr>
      <w:tr>
        <w:trPr>
          <w:trHeight w:val="278"/>
        </w:trPr>
        <w:tc>
          <w:tcPr>
            <w:tcW w:w="8220" w:type="dxa"/>
            <w:vAlign w:val="bottom"/>
          </w:tcPr>
          <w:p>
            <w:pPr>
              <w:spacing w:after="0" w:line="278" w:lineRule="exact"/>
              <w:rPr>
                <w:sz w:val="20"/>
                <w:szCs w:val="20"/>
                <w:color w:val="auto"/>
              </w:rPr>
            </w:pPr>
            <w:r>
              <w:rPr>
                <w:rFonts w:ascii="Times New Roman" w:cs="Times New Roman" w:eastAsia="Times New Roman" w:hAnsi="Times New Roman"/>
                <w:sz w:val="19"/>
                <w:szCs w:val="19"/>
                <w:color w:val="auto"/>
              </w:rPr>
              <w:t>Adjusted for certain items:</w:t>
            </w:r>
            <w:r>
              <w:rPr>
                <w:rFonts w:ascii="Times New Roman" w:cs="Times New Roman" w:eastAsia="Times New Roman" w:hAnsi="Times New Roman"/>
                <w:sz w:val="31"/>
                <w:szCs w:val="31"/>
                <w:color w:val="auto"/>
                <w:vertAlign w:val="superscript"/>
              </w:rPr>
              <w:t>(ii)</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94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0.63</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0.48</w:t>
            </w: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94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0.15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940" w:type="dxa"/>
            <w:vAlign w:val="bottom"/>
          </w:tcPr>
          <w:p>
            <w:pPr>
              <w:spacing w:after="0"/>
              <w:rPr>
                <w:sz w:val="20"/>
                <w:szCs w:val="20"/>
                <w:color w:val="auto"/>
              </w:rPr>
            </w:pP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0.45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0.02</w:t>
            </w: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Net periodic pension and postretirement benefits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(0.12)</w:t>
            </w: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Gain on disposal of operations</w:t>
            </w:r>
          </w:p>
        </w:tc>
        <w:tc>
          <w:tcPr>
            <w:tcW w:w="9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(0.37)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(0.27)</w:t>
            </w:r>
          </w:p>
        </w:tc>
      </w:tr>
      <w:tr>
        <w:trPr>
          <w:trHeight w:val="248"/>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(0.04)</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78"/>
        </w:trPr>
        <w:tc>
          <w:tcPr>
            <w:tcW w:w="8220" w:type="dxa"/>
            <w:vAlign w:val="bottom"/>
          </w:tcPr>
          <w:p>
            <w:pPr>
              <w:ind w:left="120"/>
              <w:spacing w:after="0" w:line="278" w:lineRule="exact"/>
              <w:rPr>
                <w:sz w:val="20"/>
                <w:szCs w:val="20"/>
                <w:color w:val="auto"/>
              </w:rPr>
            </w:pPr>
            <w:r>
              <w:rPr>
                <w:rFonts w:ascii="Times New Roman" w:cs="Times New Roman" w:eastAsia="Times New Roman" w:hAnsi="Times New Roman"/>
                <w:sz w:val="19"/>
                <w:szCs w:val="19"/>
                <w:color w:val="auto"/>
              </w:rPr>
              <w:t>Tax effect on certain items listed above</w:t>
            </w:r>
            <w:r>
              <w:rPr>
                <w:rFonts w:ascii="Times New Roman" w:cs="Times New Roman" w:eastAsia="Times New Roman" w:hAnsi="Times New Roman"/>
                <w:sz w:val="31"/>
                <w:szCs w:val="31"/>
                <w:color w:val="auto"/>
                <w:vertAlign w:val="superscript"/>
              </w:rPr>
              <w:t>(i)</w:t>
            </w:r>
          </w:p>
        </w:tc>
        <w:tc>
          <w:tcPr>
            <w:tcW w:w="9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(0.22)</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(0.09)</w:t>
            </w:r>
          </w:p>
        </w:tc>
      </w:tr>
      <w:tr>
        <w:trPr>
          <w:trHeight w:val="250"/>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 effect of significant adjustments</w:t>
            </w:r>
          </w:p>
        </w:tc>
        <w:tc>
          <w:tcPr>
            <w:tcW w:w="940" w:type="dxa"/>
            <w:vAlign w:val="bottom"/>
          </w:tcPr>
          <w:p>
            <w:pPr>
              <w:spacing w:after="0"/>
              <w:rPr>
                <w:sz w:val="21"/>
                <w:szCs w:val="2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(0.05)</w:t>
            </w:r>
          </w:p>
        </w:tc>
      </w:tr>
      <w:tr>
        <w:trPr>
          <w:trHeight w:val="245"/>
        </w:trPr>
        <w:tc>
          <w:tcPr>
            <w:tcW w:w="8220" w:type="dxa"/>
            <w:vAlign w:val="bottom"/>
          </w:tcPr>
          <w:p>
            <w:pPr>
              <w:spacing w:after="0" w:line="245" w:lineRule="exact"/>
              <w:rPr>
                <w:sz w:val="20"/>
                <w:szCs w:val="20"/>
                <w:color w:val="auto"/>
              </w:rPr>
            </w:pPr>
            <w:r>
              <w:rPr>
                <w:rFonts w:ascii="Times New Roman" w:cs="Times New Roman" w:eastAsia="Times New Roman" w:hAnsi="Times New Roman"/>
                <w:sz w:val="18"/>
                <w:szCs w:val="18"/>
                <w:b w:val="1"/>
                <w:bCs w:val="1"/>
                <w:color w:val="auto"/>
              </w:rPr>
              <w:t>Adjusted Diluted Earnings Per Share</w:t>
            </w:r>
            <w:r>
              <w:rPr>
                <w:rFonts w:ascii="Times New Roman" w:cs="Times New Roman" w:eastAsia="Times New Roman" w:hAnsi="Times New Roman"/>
                <w:sz w:val="28"/>
                <w:szCs w:val="28"/>
                <w:b w:val="1"/>
                <w:bCs w:val="1"/>
                <w:color w:val="auto"/>
                <w:vertAlign w:val="superscript"/>
              </w:rPr>
              <w:t>(ii)</w:t>
            </w:r>
          </w:p>
        </w:tc>
        <w:tc>
          <w:tcPr>
            <w:tcW w:w="94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3.63</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724"/>
              <w:spacing w:after="0"/>
              <w:rPr>
                <w:sz w:val="20"/>
                <w:szCs w:val="20"/>
                <w:color w:val="auto"/>
              </w:rPr>
            </w:pPr>
            <w:r>
              <w:rPr>
                <w:rFonts w:ascii="Times New Roman" w:cs="Times New Roman" w:eastAsia="Times New Roman" w:hAnsi="Times New Roman"/>
                <w:sz w:val="19"/>
                <w:szCs w:val="19"/>
                <w:color w:val="auto"/>
                <w:w w:val="83"/>
              </w:rPr>
              <w:t>$</w:t>
            </w:r>
          </w:p>
        </w:tc>
        <w:tc>
          <w:tcPr>
            <w:tcW w:w="54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3.07</w:t>
            </w: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787"/>
        </w:trPr>
        <w:tc>
          <w:tcPr>
            <w:tcW w:w="8220" w:type="dxa"/>
            <w:vAlign w:val="bottom"/>
          </w:tcPr>
          <w:p>
            <w:pPr>
              <w:spacing w:after="0"/>
              <w:rPr>
                <w:sz w:val="24"/>
                <w:szCs w:val="24"/>
                <w:color w:val="auto"/>
              </w:rPr>
            </w:pPr>
          </w:p>
        </w:tc>
        <w:tc>
          <w:tcPr>
            <w:tcW w:w="2500" w:type="dxa"/>
            <w:vAlign w:val="bottom"/>
            <w:gridSpan w:val="4"/>
          </w:tcPr>
          <w:p>
            <w:pPr>
              <w:jc w:val="right"/>
              <w:ind w:right="144"/>
              <w:spacing w:after="0"/>
              <w:rPr>
                <w:sz w:val="20"/>
                <w:szCs w:val="20"/>
                <w:color w:val="auto"/>
              </w:rPr>
            </w:pPr>
            <w:r>
              <w:rPr>
                <w:rFonts w:ascii="Times New Roman" w:cs="Times New Roman" w:eastAsia="Times New Roman" w:hAnsi="Times New Roman"/>
                <w:sz w:val="19"/>
                <w:szCs w:val="19"/>
                <w:color w:val="auto"/>
              </w:rPr>
              <w:t>Nine Months Ended</w:t>
            </w:r>
          </w:p>
        </w:tc>
        <w:tc>
          <w:tcPr>
            <w:tcW w:w="540" w:type="dxa"/>
            <w:vAlign w:val="bottom"/>
          </w:tcPr>
          <w:p>
            <w:pPr>
              <w:spacing w:after="0"/>
              <w:rPr>
                <w:sz w:val="24"/>
                <w:szCs w:val="24"/>
                <w:color w:val="auto"/>
              </w:rPr>
            </w:pPr>
          </w:p>
        </w:tc>
      </w:tr>
      <w:tr>
        <w:trPr>
          <w:trHeight w:val="239"/>
        </w:trPr>
        <w:tc>
          <w:tcPr>
            <w:tcW w:w="8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60" w:type="dxa"/>
            <w:vAlign w:val="bottom"/>
            <w:gridSpan w:val="3"/>
          </w:tcPr>
          <w:p>
            <w:pPr>
              <w:jc w:val="right"/>
              <w:ind w:right="324"/>
              <w:spacing w:after="0"/>
              <w:rPr>
                <w:sz w:val="20"/>
                <w:szCs w:val="20"/>
                <w:color w:val="auto"/>
              </w:rPr>
            </w:pPr>
            <w:r>
              <w:rPr>
                <w:rFonts w:ascii="Times New Roman" w:cs="Times New Roman" w:eastAsia="Times New Roman" w:hAnsi="Times New Roman"/>
                <w:sz w:val="19"/>
                <w:szCs w:val="19"/>
                <w:color w:val="auto"/>
              </w:rPr>
              <w:t>September 30,</w:t>
            </w:r>
          </w:p>
        </w:tc>
        <w:tc>
          <w:tcPr>
            <w:tcW w:w="540" w:type="dxa"/>
            <w:vAlign w:val="bottom"/>
          </w:tcPr>
          <w:p>
            <w:pPr>
              <w:spacing w:after="0"/>
              <w:rPr>
                <w:sz w:val="20"/>
                <w:szCs w:val="20"/>
                <w:color w:val="auto"/>
              </w:rPr>
            </w:pPr>
          </w:p>
        </w:tc>
      </w:tr>
      <w:tr>
        <w:trPr>
          <w:trHeight w:val="250"/>
        </w:trPr>
        <w:tc>
          <w:tcPr>
            <w:tcW w:w="8220" w:type="dxa"/>
            <w:vAlign w:val="bottom"/>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2026</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2025</w:t>
            </w:r>
          </w:p>
        </w:tc>
        <w:tc>
          <w:tcPr>
            <w:tcW w:w="540" w:type="dxa"/>
            <w:vAlign w:val="bottom"/>
            <w:tcBorders>
              <w:bottom w:val="single" w:sz="8" w:color="auto"/>
            </w:tcBorders>
          </w:tcPr>
          <w:p>
            <w:pPr>
              <w:spacing w:after="0"/>
              <w:rPr>
                <w:sz w:val="21"/>
                <w:szCs w:val="21"/>
                <w:color w:val="auto"/>
              </w:rPr>
            </w:pPr>
          </w:p>
        </w:tc>
      </w:tr>
      <w:tr>
        <w:trPr>
          <w:trHeight w:val="470"/>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 attributable to WTW</w:t>
            </w:r>
          </w:p>
        </w:tc>
        <w:tc>
          <w:tcPr>
            <w:tcW w:w="940" w:type="dxa"/>
            <w:vAlign w:val="bottom"/>
          </w:tcPr>
          <w:p>
            <w:pPr>
              <w:jc w:val="right"/>
              <w:ind w:right="724"/>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829</w:t>
            </w:r>
          </w:p>
        </w:tc>
        <w:tc>
          <w:tcPr>
            <w:tcW w:w="120" w:type="dxa"/>
            <w:vAlign w:val="bottom"/>
          </w:tcPr>
          <w:p>
            <w:pPr>
              <w:spacing w:after="0"/>
              <w:rPr>
                <w:sz w:val="24"/>
                <w:szCs w:val="24"/>
                <w:color w:val="auto"/>
              </w:rPr>
            </w:pPr>
          </w:p>
        </w:tc>
        <w:tc>
          <w:tcPr>
            <w:tcW w:w="920" w:type="dxa"/>
            <w:vAlign w:val="bottom"/>
          </w:tcPr>
          <w:p>
            <w:pPr>
              <w:jc w:val="right"/>
              <w:ind w:right="724"/>
              <w:spacing w:after="0"/>
              <w:rPr>
                <w:sz w:val="20"/>
                <w:szCs w:val="20"/>
                <w:color w:val="auto"/>
              </w:rPr>
            </w:pPr>
            <w:r>
              <w:rPr>
                <w:rFonts w:ascii="Times New Roman" w:cs="Times New Roman" w:eastAsia="Times New Roman" w:hAnsi="Times New Roman"/>
                <w:sz w:val="19"/>
                <w:szCs w:val="19"/>
                <w:color w:val="auto"/>
                <w:w w:val="83"/>
              </w:rPr>
              <w:t>$</w:t>
            </w:r>
          </w:p>
        </w:tc>
        <w:tc>
          <w:tcPr>
            <w:tcW w:w="5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870</w:t>
            </w:r>
          </w:p>
        </w:tc>
      </w:tr>
    </w:tbl>
    <w:p>
      <w:pPr>
        <w:sectPr>
          <w:pgSz w:w="11900" w:h="16889" w:orient="portrait"/>
          <w:cols w:equalWidth="0" w:num="1">
            <w:col w:w="11264"/>
          </w:cols>
          <w:pgMar w:left="316" w:top="975" w:right="31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r>
              <w:rPr>
                <w:rFonts w:ascii="Times New Roman" w:cs="Times New Roman" w:eastAsia="Times New Roman" w:hAnsi="Times New Roman"/>
                <w:sz w:val="19"/>
                <w:szCs w:val="19"/>
                <w:color w:val="auto"/>
              </w:rPr>
              <w:t>Adjusted for certain items: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162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144</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144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Net periodic pension and postretirement benefits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Gain on disposal of operations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0" w:type="dxa"/>
            <w:vAlign w:val="bottom"/>
          </w:tcPr>
          <w:p>
            <w:pPr>
              <w:spacing w:after="0"/>
              <w:rPr>
                <w:sz w:val="1"/>
                <w:szCs w:val="1"/>
                <w:color w:val="auto"/>
              </w:rPr>
            </w:pPr>
          </w:p>
        </w:tc>
      </w:tr>
      <w:tr>
        <w:trPr>
          <w:trHeight w:val="248"/>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8"/>
        </w:trPr>
        <w:tc>
          <w:tcPr>
            <w:tcW w:w="6980" w:type="dxa"/>
            <w:vAlign w:val="bottom"/>
          </w:tcPr>
          <w:p>
            <w:pPr>
              <w:ind w:left="120"/>
              <w:spacing w:after="0" w:line="278" w:lineRule="exact"/>
              <w:rPr>
                <w:sz w:val="20"/>
                <w:szCs w:val="20"/>
                <w:color w:val="auto"/>
              </w:rPr>
            </w:pPr>
            <w:r>
              <w:rPr>
                <w:rFonts w:ascii="Times New Roman" w:cs="Times New Roman" w:eastAsia="Times New Roman" w:hAnsi="Times New Roman"/>
                <w:sz w:val="19"/>
                <w:szCs w:val="19"/>
                <w:color w:val="auto"/>
              </w:rPr>
              <w:t>Tax effect on certain items listed above</w:t>
            </w:r>
            <w:r>
              <w:rPr>
                <w:rFonts w:ascii="Times New Roman" w:cs="Times New Roman" w:eastAsia="Times New Roman" w:hAnsi="Times New Roman"/>
                <w:sz w:val="31"/>
                <w:szCs w:val="31"/>
                <w:color w:val="auto"/>
                <w:vertAlign w:val="superscript"/>
              </w:rPr>
              <w:t>(i)</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w:t>
            </w:r>
          </w:p>
        </w:tc>
        <w:tc>
          <w:tcPr>
            <w:tcW w:w="0" w:type="dxa"/>
            <w:vAlign w:val="bottom"/>
          </w:tcPr>
          <w:p>
            <w:pPr>
              <w:spacing w:after="0"/>
              <w:rPr>
                <w:sz w:val="1"/>
                <w:szCs w:val="1"/>
                <w:color w:val="auto"/>
              </w:rPr>
            </w:pPr>
          </w:p>
        </w:tc>
      </w:tr>
      <w:tr>
        <w:trPr>
          <w:trHeight w:val="250"/>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 effect of significant adjustments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w:t>
            </w:r>
          </w:p>
        </w:tc>
        <w:tc>
          <w:tcPr>
            <w:tcW w:w="0" w:type="dxa"/>
            <w:vAlign w:val="bottom"/>
          </w:tcPr>
          <w:p>
            <w:pPr>
              <w:spacing w:after="0"/>
              <w:rPr>
                <w:sz w:val="1"/>
                <w:szCs w:val="1"/>
                <w:color w:val="auto"/>
              </w:rPr>
            </w:pPr>
          </w:p>
        </w:tc>
      </w:tr>
      <w:tr>
        <w:trPr>
          <w:trHeight w:val="233"/>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Net Income</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1,012</w:t>
            </w:r>
          </w:p>
        </w:tc>
        <w:tc>
          <w:tcPr>
            <w:tcW w:w="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ind w:right="58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902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98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ordinary shares, diluted</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95</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475"/>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Diluted Earnings Per Share</w:t>
            </w:r>
          </w:p>
        </w:tc>
        <w:tc>
          <w:tcPr>
            <w:tcW w:w="260" w:type="dxa"/>
            <w:vAlign w:val="bottom"/>
          </w:tcPr>
          <w:p>
            <w:pPr>
              <w:spacing w:after="0"/>
              <w:rPr>
                <w:sz w:val="24"/>
                <w:szCs w:val="24"/>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8.76</w:t>
            </w:r>
          </w:p>
        </w:tc>
        <w:tc>
          <w:tcPr>
            <w:tcW w:w="920" w:type="dxa"/>
            <w:vAlign w:val="bottom"/>
            <w:gridSpan w:val="3"/>
          </w:tcPr>
          <w:p>
            <w:pPr>
              <w:jc w:val="center"/>
              <w:ind w:right="44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8.74</w:t>
            </w:r>
          </w:p>
        </w:tc>
        <w:tc>
          <w:tcPr>
            <w:tcW w:w="0" w:type="dxa"/>
            <w:vAlign w:val="bottom"/>
          </w:tcPr>
          <w:p>
            <w:pPr>
              <w:spacing w:after="0"/>
              <w:rPr>
                <w:sz w:val="1"/>
                <w:szCs w:val="1"/>
                <w:color w:val="auto"/>
              </w:rPr>
            </w:pPr>
          </w:p>
        </w:tc>
      </w:tr>
      <w:tr>
        <w:trPr>
          <w:trHeight w:val="278"/>
        </w:trPr>
        <w:tc>
          <w:tcPr>
            <w:tcW w:w="6980" w:type="dxa"/>
            <w:vAlign w:val="bottom"/>
          </w:tcPr>
          <w:p>
            <w:pPr>
              <w:spacing w:after="0" w:line="278" w:lineRule="exact"/>
              <w:rPr>
                <w:sz w:val="20"/>
                <w:szCs w:val="20"/>
                <w:color w:val="auto"/>
              </w:rPr>
            </w:pPr>
            <w:r>
              <w:rPr>
                <w:rFonts w:ascii="Times New Roman" w:cs="Times New Roman" w:eastAsia="Times New Roman" w:hAnsi="Times New Roman"/>
                <w:sz w:val="19"/>
                <w:szCs w:val="19"/>
                <w:color w:val="auto"/>
              </w:rPr>
              <w:t>Adjusted for certain items:</w:t>
            </w:r>
            <w:r>
              <w:rPr>
                <w:rFonts w:ascii="Times New Roman" w:cs="Times New Roman" w:eastAsia="Times New Roman" w:hAnsi="Times New Roman"/>
                <w:sz w:val="31"/>
                <w:szCs w:val="31"/>
                <w:color w:val="auto"/>
                <w:vertAlign w:val="superscript"/>
              </w:rPr>
              <w:t>(ii)</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1.71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1.45</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0.15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1.52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0.04</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Net periodic pension and postretirement benefits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(0.35)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0.50</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Gain on disposal of operations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(0.37)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(0.40)</w:t>
            </w:r>
          </w:p>
        </w:tc>
        <w:tc>
          <w:tcPr>
            <w:tcW w:w="0" w:type="dxa"/>
            <w:vAlign w:val="bottom"/>
          </w:tcPr>
          <w:p>
            <w:pPr>
              <w:spacing w:after="0"/>
              <w:rPr>
                <w:sz w:val="1"/>
                <w:szCs w:val="1"/>
                <w:color w:val="auto"/>
              </w:rPr>
            </w:pPr>
          </w:p>
        </w:tc>
      </w:tr>
      <w:tr>
        <w:trPr>
          <w:trHeight w:val="248"/>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(0.04)</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8"/>
        </w:trPr>
        <w:tc>
          <w:tcPr>
            <w:tcW w:w="6980" w:type="dxa"/>
            <w:vAlign w:val="bottom"/>
          </w:tcPr>
          <w:p>
            <w:pPr>
              <w:ind w:left="120"/>
              <w:spacing w:after="0" w:line="278" w:lineRule="exact"/>
              <w:rPr>
                <w:sz w:val="20"/>
                <w:szCs w:val="20"/>
                <w:color w:val="auto"/>
              </w:rPr>
            </w:pPr>
            <w:r>
              <w:rPr>
                <w:rFonts w:ascii="Times New Roman" w:cs="Times New Roman" w:eastAsia="Times New Roman" w:hAnsi="Times New Roman"/>
                <w:sz w:val="19"/>
                <w:szCs w:val="19"/>
                <w:color w:val="auto"/>
              </w:rPr>
              <w:t>Tax effect on certain items listed above</w:t>
            </w:r>
            <w:r>
              <w:rPr>
                <w:rFonts w:ascii="Times New Roman" w:cs="Times New Roman" w:eastAsia="Times New Roman" w:hAnsi="Times New Roman"/>
                <w:sz w:val="31"/>
                <w:szCs w:val="31"/>
                <w:color w:val="auto"/>
                <w:vertAlign w:val="superscript"/>
              </w:rPr>
              <w:t>(i)</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(0.69)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(0.47)</w:t>
            </w:r>
          </w:p>
        </w:tc>
        <w:tc>
          <w:tcPr>
            <w:tcW w:w="0" w:type="dxa"/>
            <w:vAlign w:val="bottom"/>
          </w:tcPr>
          <w:p>
            <w:pPr>
              <w:spacing w:after="0"/>
              <w:rPr>
                <w:sz w:val="1"/>
                <w:szCs w:val="1"/>
                <w:color w:val="auto"/>
              </w:rPr>
            </w:pPr>
          </w:p>
        </w:tc>
      </w:tr>
      <w:tr>
        <w:trPr>
          <w:trHeight w:val="250"/>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 effect of significant adjustments</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(0.79)</w:t>
            </w:r>
          </w:p>
        </w:tc>
        <w:tc>
          <w:tcPr>
            <w:tcW w:w="0" w:type="dxa"/>
            <w:vAlign w:val="bottom"/>
          </w:tcPr>
          <w:p>
            <w:pPr>
              <w:spacing w:after="0"/>
              <w:rPr>
                <w:sz w:val="1"/>
                <w:szCs w:val="1"/>
                <w:color w:val="auto"/>
              </w:rPr>
            </w:pPr>
          </w:p>
        </w:tc>
      </w:tr>
      <w:tr>
        <w:trPr>
          <w:trHeight w:val="245"/>
        </w:trPr>
        <w:tc>
          <w:tcPr>
            <w:tcW w:w="6980" w:type="dxa"/>
            <w:vAlign w:val="bottom"/>
          </w:tcPr>
          <w:p>
            <w:pPr>
              <w:spacing w:after="0" w:line="245" w:lineRule="exact"/>
              <w:rPr>
                <w:sz w:val="20"/>
                <w:szCs w:val="20"/>
                <w:color w:val="auto"/>
              </w:rPr>
            </w:pPr>
            <w:r>
              <w:rPr>
                <w:rFonts w:ascii="Times New Roman" w:cs="Times New Roman" w:eastAsia="Times New Roman" w:hAnsi="Times New Roman"/>
                <w:sz w:val="18"/>
                <w:szCs w:val="18"/>
                <w:b w:val="1"/>
                <w:bCs w:val="1"/>
                <w:color w:val="auto"/>
              </w:rPr>
              <w:t>Adjusted Diluted Earnings Per Share</w:t>
            </w:r>
            <w:r>
              <w:rPr>
                <w:rFonts w:ascii="Times New Roman" w:cs="Times New Roman" w:eastAsia="Times New Roman" w:hAnsi="Times New Roman"/>
                <w:sz w:val="28"/>
                <w:szCs w:val="28"/>
                <w:b w:val="1"/>
                <w:bCs w:val="1"/>
                <w:color w:val="auto"/>
                <w:vertAlign w:val="superscript"/>
              </w:rPr>
              <w:t>(ii)</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gridSpan w:val="2"/>
          </w:tcPr>
          <w:p>
            <w:pPr>
              <w:jc w:val="right"/>
              <w:ind w:right="4"/>
              <w:spacing w:after="0"/>
              <w:rPr>
                <w:sz w:val="20"/>
                <w:szCs w:val="20"/>
                <w:color w:val="auto"/>
              </w:rPr>
            </w:pPr>
            <w:r>
              <w:rPr>
                <w:rFonts w:ascii="Times New Roman" w:cs="Times New Roman" w:eastAsia="Times New Roman" w:hAnsi="Times New Roman"/>
                <w:sz w:val="19"/>
                <w:szCs w:val="19"/>
                <w:color w:val="auto"/>
              </w:rPr>
              <w:t>10.70</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Borders>
              <w:bottom w:val="single" w:sz="8" w:color="auto"/>
            </w:tcBorders>
          </w:tcPr>
          <w:p>
            <w:pPr>
              <w:jc w:val="center"/>
              <w:ind w:right="58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9.07</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0"/>
              <w:spacing w:after="0"/>
              <w:rPr>
                <w:sz w:val="20"/>
                <w:szCs w:val="20"/>
                <w:color w:val="auto"/>
              </w:rPr>
            </w:pPr>
            <w:r>
              <w:rPr>
                <w:rFonts w:ascii="Times New Roman" w:cs="Times New Roman" w:eastAsia="Times New Roman" w:hAnsi="Times New Roman"/>
                <w:sz w:val="31"/>
                <w:szCs w:val="31"/>
                <w:color w:val="auto"/>
                <w:vertAlign w:val="superscript"/>
              </w:rPr>
              <w:t>(i)</w:t>
            </w:r>
            <w:r>
              <w:rPr>
                <w:rFonts w:ascii="Times New Roman" w:cs="Times New Roman" w:eastAsia="Times New Roman" w:hAnsi="Times New Roman"/>
                <w:sz w:val="19"/>
                <w:szCs w:val="19"/>
                <w:color w:val="auto"/>
              </w:rPr>
              <w:t xml:space="preserve"> The tax effect was calculated using an effective tax rate for each item.</w:t>
            </w: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69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6980" w:type="dxa"/>
            <w:vAlign w:val="bottom"/>
          </w:tcPr>
          <w:p>
            <w:pPr>
              <w:spacing w:after="0"/>
              <w:rPr>
                <w:sz w:val="20"/>
                <w:szCs w:val="20"/>
                <w:color w:val="auto"/>
              </w:rPr>
            </w:pPr>
            <w:r>
              <w:rPr>
                <w:rFonts w:ascii="Times New Roman" w:cs="Times New Roman" w:eastAsia="Times New Roman" w:hAnsi="Times New Roman"/>
                <w:sz w:val="31"/>
                <w:szCs w:val="31"/>
                <w:color w:val="auto"/>
                <w:vertAlign w:val="superscript"/>
              </w:rPr>
              <w:t>(ii)</w:t>
            </w:r>
            <w:r>
              <w:rPr>
                <w:rFonts w:ascii="Times New Roman" w:cs="Times New Roman" w:eastAsia="Times New Roman" w:hAnsi="Times New Roman"/>
                <w:sz w:val="19"/>
                <w:szCs w:val="19"/>
                <w:color w:val="auto"/>
              </w:rPr>
              <w:t xml:space="preserve"> Per share values and totals may differ due to rounding.</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RECONCILIATIONS OF NET INCOME TO ADJUSTED EBITDA</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7"/>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7"/>
          </w:tcPr>
          <w:p>
            <w:pPr>
              <w:jc w:val="right"/>
              <w:ind w:right="324"/>
              <w:spacing w:after="0"/>
              <w:rPr>
                <w:sz w:val="20"/>
                <w:szCs w:val="20"/>
                <w:color w:val="auto"/>
              </w:rPr>
            </w:pPr>
            <w:r>
              <w:rPr>
                <w:rFonts w:ascii="Times New Roman" w:cs="Times New Roman" w:eastAsia="Times New Roman" w:hAnsi="Times New Roman"/>
                <w:sz w:val="19"/>
                <w:szCs w:val="19"/>
                <w:color w:val="auto"/>
              </w:rPr>
              <w:t>Three Months Ended September 30,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9"/>
                <w:szCs w:val="19"/>
                <w:color w:val="auto"/>
              </w:rPr>
              <w:t>2026</w:t>
            </w:r>
          </w:p>
        </w:tc>
        <w:tc>
          <w:tcPr>
            <w:tcW w:w="24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center"/>
              <w:ind w:right="444"/>
              <w:spacing w:after="0"/>
              <w:rPr>
                <w:sz w:val="20"/>
                <w:szCs w:val="20"/>
                <w:color w:val="auto"/>
              </w:rPr>
            </w:pPr>
            <w:r>
              <w:rPr>
                <w:rFonts w:ascii="Times New Roman" w:cs="Times New Roman" w:eastAsia="Times New Roman" w:hAnsi="Times New Roman"/>
                <w:sz w:val="19"/>
                <w:szCs w:val="19"/>
                <w:color w:val="auto"/>
                <w:w w:val="99"/>
              </w:rPr>
              <w:t>2025</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309</w:t>
            </w:r>
          </w:p>
        </w:tc>
        <w:tc>
          <w:tcPr>
            <w:tcW w:w="1200" w:type="dxa"/>
            <w:vAlign w:val="bottom"/>
            <w:gridSpan w:val="2"/>
          </w:tcPr>
          <w:p>
            <w:pPr>
              <w:jc w:val="right"/>
              <w:ind w:right="324"/>
              <w:spacing w:after="0"/>
              <w:rPr>
                <w:sz w:val="20"/>
                <w:szCs w:val="20"/>
                <w:color w:val="auto"/>
              </w:rPr>
            </w:pPr>
            <w:r>
              <w:rPr>
                <w:rFonts w:ascii="Times New Roman" w:cs="Times New Roman" w:eastAsia="Times New Roman" w:hAnsi="Times New Roman"/>
                <w:sz w:val="19"/>
                <w:szCs w:val="19"/>
                <w:color w:val="auto"/>
              </w:rPr>
              <w:t>12.6% $</w:t>
            </w: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306</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79</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77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Interest expense</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80</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65</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Depreciation</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55</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56</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59</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47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14</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42</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2</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Net periodic pension and postretirement benefits</w:t>
            </w: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(12)</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Gain on disposal of operations</w:t>
            </w: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(26)</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6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EBITDA and Adjusted EBITDA Margin</w:t>
            </w:r>
          </w:p>
        </w:tc>
        <w:tc>
          <w:tcPr>
            <w:tcW w:w="2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577</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w:t>
            </w:r>
          </w:p>
        </w:tc>
        <w:tc>
          <w:tcPr>
            <w:tcW w:w="5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515</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Borders>
              <w:bottom w:val="single" w:sz="8" w:color="auto"/>
            </w:tcBorders>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6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40" w:type="dxa"/>
            <w:vAlign w:val="bottom"/>
            <w:gridSpan w:val="7"/>
          </w:tcPr>
          <w:p>
            <w:pPr>
              <w:jc w:val="right"/>
              <w:ind w:right="344"/>
              <w:spacing w:after="0"/>
              <w:rPr>
                <w:sz w:val="20"/>
                <w:szCs w:val="20"/>
                <w:color w:val="auto"/>
              </w:rPr>
            </w:pPr>
            <w:r>
              <w:rPr>
                <w:rFonts w:ascii="Times New Roman" w:cs="Times New Roman" w:eastAsia="Times New Roman" w:hAnsi="Times New Roman"/>
                <w:sz w:val="19"/>
                <w:szCs w:val="19"/>
                <w:color w:val="auto"/>
              </w:rPr>
              <w:t>Nine Months Ended September 30,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9"/>
                <w:szCs w:val="19"/>
                <w:color w:val="auto"/>
              </w:rPr>
              <w:t>2026</w:t>
            </w:r>
          </w:p>
        </w:tc>
        <w:tc>
          <w:tcPr>
            <w:tcW w:w="24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3"/>
          </w:tcPr>
          <w:p>
            <w:pPr>
              <w:jc w:val="center"/>
              <w:ind w:right="444"/>
              <w:spacing w:after="0"/>
              <w:rPr>
                <w:sz w:val="20"/>
                <w:szCs w:val="20"/>
                <w:color w:val="auto"/>
              </w:rPr>
            </w:pPr>
            <w:r>
              <w:rPr>
                <w:rFonts w:ascii="Times New Roman" w:cs="Times New Roman" w:eastAsia="Times New Roman" w:hAnsi="Times New Roman"/>
                <w:sz w:val="19"/>
                <w:szCs w:val="19"/>
                <w:color w:val="auto"/>
                <w:w w:val="99"/>
              </w:rPr>
              <w:t>2025</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w:t>
            </w:r>
          </w:p>
        </w:tc>
        <w:tc>
          <w:tcPr>
            <w:tcW w:w="26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843</w:t>
            </w:r>
          </w:p>
        </w:tc>
        <w:tc>
          <w:tcPr>
            <w:tcW w:w="1200" w:type="dxa"/>
            <w:vAlign w:val="bottom"/>
            <w:gridSpan w:val="2"/>
          </w:tcPr>
          <w:p>
            <w:pPr>
              <w:jc w:val="right"/>
              <w:ind w:right="324"/>
              <w:spacing w:after="0"/>
              <w:rPr>
                <w:sz w:val="20"/>
                <w:szCs w:val="20"/>
                <w:color w:val="auto"/>
              </w:rPr>
            </w:pPr>
            <w:r>
              <w:rPr>
                <w:rFonts w:ascii="Times New Roman" w:cs="Times New Roman" w:eastAsia="Times New Roman" w:hAnsi="Times New Roman"/>
                <w:sz w:val="19"/>
                <w:szCs w:val="19"/>
                <w:color w:val="auto"/>
              </w:rPr>
              <w:t>11.5% $</w:t>
            </w: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877</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w:t>
            </w: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206</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121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Interest expense</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235</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194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Depreciation</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166</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167</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162</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144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14</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260" w:type="dxa"/>
            <w:vAlign w:val="bottom"/>
          </w:tcPr>
          <w:p>
            <w:pPr>
              <w:spacing w:after="0"/>
              <w:rPr>
                <w:sz w:val="20"/>
                <w:szCs w:val="20"/>
                <w:color w:val="auto"/>
              </w:rPr>
            </w:pPr>
          </w:p>
        </w:tc>
        <w:tc>
          <w:tcPr>
            <w:tcW w:w="1220" w:type="dxa"/>
            <w:vAlign w:val="bottom"/>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144</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Net periodic pension and postretirement benefits</w:t>
            </w: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50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Gain on disposal of operations</w:t>
            </w:r>
          </w:p>
        </w:tc>
        <w:tc>
          <w:tcPr>
            <w:tcW w:w="2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6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EBITDA and Adjusted EBITDA Margin</w:t>
            </w:r>
          </w:p>
        </w:tc>
        <w:tc>
          <w:tcPr>
            <w:tcW w:w="2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Borders>
              <w:bottom w:val="single" w:sz="8" w:color="auto"/>
            </w:tcBorders>
            <w:gridSpan w:val="2"/>
          </w:tcPr>
          <w:p>
            <w:pPr>
              <w:jc w:val="right"/>
              <w:ind w:right="24"/>
              <w:spacing w:after="0"/>
              <w:rPr>
                <w:sz w:val="20"/>
                <w:szCs w:val="20"/>
                <w:color w:val="auto"/>
              </w:rPr>
            </w:pPr>
            <w:r>
              <w:rPr>
                <w:rFonts w:ascii="Times New Roman" w:cs="Times New Roman" w:eastAsia="Times New Roman" w:hAnsi="Times New Roman"/>
                <w:sz w:val="19"/>
                <w:szCs w:val="19"/>
                <w:color w:val="auto"/>
              </w:rPr>
              <w:t>1,695</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23.1%</w:t>
            </w:r>
          </w:p>
        </w:tc>
        <w:tc>
          <w:tcPr>
            <w:tcW w:w="5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Borders>
              <w:bottom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9"/>
                <w:szCs w:val="19"/>
                <w:color w:val="auto"/>
              </w:rPr>
              <w:t>1,517</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RECONCILIATIONS OF INCOME FROM OPERATIONS TO ADJUSTED OPERATING INCOME</w:t>
      </w:r>
    </w:p>
    <w:p>
      <w:pPr>
        <w:spacing w:after="0" w:line="202"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9"/>
          <w:szCs w:val="19"/>
          <w:color w:val="auto"/>
        </w:rPr>
        <w:t>Three Months Ended September 30,</w:t>
      </w:r>
    </w:p>
    <w:p>
      <w:pPr>
        <w:spacing w:after="0" w:line="32" w:lineRule="exact"/>
        <w:rPr>
          <w:sz w:val="20"/>
          <w:szCs w:val="20"/>
          <w:color w:val="auto"/>
        </w:rPr>
      </w:pPr>
    </w:p>
    <w:p>
      <w:pPr>
        <w:ind w:left="7540"/>
        <w:spacing w:after="0"/>
        <w:tabs>
          <w:tab w:leader="none" w:pos="9640" w:val="left"/>
        </w:tabs>
        <w:rPr>
          <w:sz w:val="20"/>
          <w:szCs w:val="20"/>
          <w:color w:val="auto"/>
        </w:rPr>
      </w:pPr>
      <w:r>
        <w:rPr>
          <w:rFonts w:ascii="Times New Roman" w:cs="Times New Roman" w:eastAsia="Times New Roman" w:hAnsi="Times New Roman"/>
          <w:sz w:val="19"/>
          <w:szCs w:val="19"/>
          <w:color w:val="auto"/>
        </w:rPr>
        <w:t>2026</w:t>
      </w:r>
      <w:r>
        <w:rPr>
          <w:sz w:val="20"/>
          <w:szCs w:val="20"/>
          <w:color w:val="auto"/>
        </w:rPr>
        <w:tab/>
      </w:r>
      <w:r>
        <w:rPr>
          <w:rFonts w:ascii="Times New Roman" w:cs="Times New Roman" w:eastAsia="Times New Roman" w:hAnsi="Times New Roman"/>
          <w:sz w:val="19"/>
          <w:szCs w:val="19"/>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4436110</wp:posOffset>
            </wp:positionH>
            <wp:positionV relativeFrom="paragraph">
              <wp:posOffset>13970</wp:posOffset>
            </wp:positionV>
            <wp:extent cx="228409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4095" cy="7620"/>
                    </a:xfrm>
                    <a:prstGeom prst="rect">
                      <a:avLst/>
                    </a:prstGeom>
                    <a:noFill/>
                  </pic:spPr>
                </pic:pic>
              </a:graphicData>
            </a:graphic>
          </wp:anchor>
        </w:drawing>
      </w:r>
    </w:p>
    <w:p>
      <w:pPr>
        <w:sectPr>
          <w:pgSz w:w="11900" w:h="16838" w:orient="portrait"/>
          <w:cols w:equalWidth="0" w:num="1">
            <w:col w:w="11260"/>
          </w:cols>
          <w:pgMar w:left="320" w:top="116" w:right="31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Income from operations and Operating margin</w:t>
            </w:r>
          </w:p>
        </w:tc>
        <w:tc>
          <w:tcPr>
            <w:tcW w:w="28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429</w:t>
            </w:r>
          </w:p>
        </w:tc>
        <w:tc>
          <w:tcPr>
            <w:tcW w:w="6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17.4%</w:t>
            </w:r>
          </w:p>
        </w:tc>
        <w:tc>
          <w:tcPr>
            <w:tcW w:w="32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418</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w:t>
            </w: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9"/>
                <w:szCs w:val="19"/>
                <w:color w:val="auto"/>
              </w:rPr>
              <w:t>Adjusted for certain items: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280" w:type="dxa"/>
            <w:vAlign w:val="bottom"/>
          </w:tcPr>
          <w:p>
            <w:pPr>
              <w:spacing w:after="0"/>
              <w:rPr>
                <w:sz w:val="20"/>
                <w:szCs w:val="20"/>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59</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47</w:t>
            </w:r>
          </w:p>
        </w:tc>
        <w:tc>
          <w:tcPr>
            <w:tcW w:w="600" w:type="dxa"/>
            <w:vAlign w:val="bottom"/>
          </w:tcPr>
          <w:p>
            <w:pPr>
              <w:spacing w:after="0"/>
              <w:rPr>
                <w:sz w:val="20"/>
                <w:szCs w:val="20"/>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280" w:type="dxa"/>
            <w:vAlign w:val="bottom"/>
          </w:tcPr>
          <w:p>
            <w:pPr>
              <w:spacing w:after="0"/>
              <w:rPr>
                <w:sz w:val="20"/>
                <w:szCs w:val="20"/>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spacing w:after="0"/>
              <w:rPr>
                <w:sz w:val="20"/>
                <w:szCs w:val="20"/>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280" w:type="dxa"/>
            <w:vAlign w:val="bottom"/>
          </w:tcPr>
          <w:p>
            <w:pPr>
              <w:spacing w:after="0"/>
              <w:rPr>
                <w:sz w:val="20"/>
                <w:szCs w:val="20"/>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42</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w:t>
            </w:r>
          </w:p>
        </w:tc>
        <w:tc>
          <w:tcPr>
            <w:tcW w:w="600" w:type="dxa"/>
            <w:vAlign w:val="bottom"/>
          </w:tcPr>
          <w:p>
            <w:pPr>
              <w:spacing w:after="0"/>
              <w:rPr>
                <w:sz w:val="20"/>
                <w:szCs w:val="20"/>
                <w:color w:val="auto"/>
              </w:rPr>
            </w:pPr>
          </w:p>
        </w:tc>
      </w:tr>
      <w:tr>
        <w:trPr>
          <w:trHeight w:val="251"/>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6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spacing w:after="0"/>
              <w:rPr>
                <w:sz w:val="21"/>
                <w:szCs w:val="21"/>
                <w:color w:val="auto"/>
              </w:rPr>
            </w:pPr>
          </w:p>
        </w:tc>
      </w:tr>
      <w:tr>
        <w:trPr>
          <w:trHeight w:val="232"/>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operating income and Adjusted operating income margin</w:t>
            </w:r>
          </w:p>
        </w:tc>
        <w:tc>
          <w:tcPr>
            <w:tcW w:w="2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539</w:t>
            </w:r>
          </w:p>
        </w:tc>
        <w:tc>
          <w:tcPr>
            <w:tcW w:w="6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21.9%</w:t>
            </w:r>
          </w:p>
        </w:tc>
        <w:tc>
          <w:tcPr>
            <w:tcW w:w="3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467</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050"/>
        </w:trPr>
        <w:tc>
          <w:tcPr>
            <w:tcW w:w="6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20" w:type="dxa"/>
            <w:vAlign w:val="bottom"/>
            <w:gridSpan w:val="4"/>
          </w:tcPr>
          <w:p>
            <w:pPr>
              <w:jc w:val="center"/>
              <w:ind w:right="164"/>
              <w:spacing w:after="0"/>
              <w:rPr>
                <w:sz w:val="20"/>
                <w:szCs w:val="20"/>
                <w:color w:val="auto"/>
              </w:rPr>
            </w:pPr>
            <w:r>
              <w:rPr>
                <w:rFonts w:ascii="Times New Roman" w:cs="Times New Roman" w:eastAsia="Times New Roman" w:hAnsi="Times New Roman"/>
                <w:sz w:val="19"/>
                <w:szCs w:val="19"/>
                <w:color w:val="auto"/>
              </w:rPr>
              <w:t>Nine Months Ended September 30,</w:t>
            </w:r>
          </w:p>
        </w:tc>
        <w:tc>
          <w:tcPr>
            <w:tcW w:w="600" w:type="dxa"/>
            <w:vAlign w:val="bottom"/>
          </w:tcPr>
          <w:p>
            <w:pPr>
              <w:spacing w:after="0"/>
              <w:rPr>
                <w:sz w:val="24"/>
                <w:szCs w:val="24"/>
                <w:color w:val="auto"/>
              </w:rPr>
            </w:pPr>
          </w:p>
        </w:tc>
      </w:tr>
      <w:tr>
        <w:trPr>
          <w:trHeight w:val="250"/>
        </w:trPr>
        <w:tc>
          <w:tcPr>
            <w:tcW w:w="69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2026</w:t>
            </w:r>
          </w:p>
        </w:tc>
        <w:tc>
          <w:tcPr>
            <w:tcW w:w="6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2025</w:t>
            </w:r>
          </w:p>
        </w:tc>
        <w:tc>
          <w:tcPr>
            <w:tcW w:w="600" w:type="dxa"/>
            <w:vAlign w:val="bottom"/>
          </w:tcPr>
          <w:p>
            <w:pPr>
              <w:spacing w:after="0"/>
              <w:rPr>
                <w:sz w:val="21"/>
                <w:szCs w:val="21"/>
                <w:color w:val="auto"/>
              </w:rPr>
            </w:pPr>
          </w:p>
        </w:tc>
      </w:tr>
      <w:tr>
        <w:trPr>
          <w:trHeight w:val="459"/>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Income from operations and Operating margin</w:t>
            </w:r>
          </w:p>
        </w:tc>
        <w:tc>
          <w:tcPr>
            <w:tcW w:w="28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1,241</w:t>
            </w:r>
          </w:p>
        </w:tc>
        <w:tc>
          <w:tcPr>
            <w:tcW w:w="6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16.9%</w:t>
            </w:r>
          </w:p>
        </w:tc>
        <w:tc>
          <w:tcPr>
            <w:tcW w:w="32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1,218</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w:t>
            </w:r>
          </w:p>
        </w:tc>
      </w:tr>
      <w:tr>
        <w:trPr>
          <w:trHeight w:val="239"/>
        </w:trPr>
        <w:tc>
          <w:tcPr>
            <w:tcW w:w="6980" w:type="dxa"/>
            <w:vAlign w:val="bottom"/>
          </w:tcPr>
          <w:p>
            <w:pPr>
              <w:spacing w:after="0"/>
              <w:rPr>
                <w:sz w:val="20"/>
                <w:szCs w:val="20"/>
                <w:color w:val="auto"/>
              </w:rPr>
            </w:pPr>
            <w:r>
              <w:rPr>
                <w:rFonts w:ascii="Times New Roman" w:cs="Times New Roman" w:eastAsia="Times New Roman" w:hAnsi="Times New Roman"/>
                <w:sz w:val="19"/>
                <w:szCs w:val="19"/>
                <w:color w:val="auto"/>
              </w:rPr>
              <w:t>Adjusted for certain items:</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280" w:type="dxa"/>
            <w:vAlign w:val="bottom"/>
          </w:tcPr>
          <w:p>
            <w:pPr>
              <w:spacing w:after="0"/>
              <w:rPr>
                <w:sz w:val="20"/>
                <w:szCs w:val="20"/>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162</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144</w:t>
            </w:r>
          </w:p>
        </w:tc>
        <w:tc>
          <w:tcPr>
            <w:tcW w:w="600" w:type="dxa"/>
            <w:vAlign w:val="bottom"/>
          </w:tcPr>
          <w:p>
            <w:pPr>
              <w:spacing w:after="0"/>
              <w:rPr>
                <w:sz w:val="20"/>
                <w:szCs w:val="20"/>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280" w:type="dxa"/>
            <w:vAlign w:val="bottom"/>
          </w:tcPr>
          <w:p>
            <w:pPr>
              <w:spacing w:after="0"/>
              <w:rPr>
                <w:sz w:val="20"/>
                <w:szCs w:val="20"/>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spacing w:after="0"/>
              <w:rPr>
                <w:sz w:val="20"/>
                <w:szCs w:val="20"/>
                <w:color w:val="auto"/>
              </w:rPr>
            </w:pPr>
          </w:p>
        </w:tc>
      </w:tr>
      <w:tr>
        <w:trPr>
          <w:trHeight w:val="239"/>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280" w:type="dxa"/>
            <w:vAlign w:val="bottom"/>
          </w:tcPr>
          <w:p>
            <w:pPr>
              <w:spacing w:after="0"/>
              <w:rPr>
                <w:sz w:val="20"/>
                <w:szCs w:val="20"/>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144</w:t>
            </w: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w:t>
            </w:r>
          </w:p>
        </w:tc>
        <w:tc>
          <w:tcPr>
            <w:tcW w:w="600" w:type="dxa"/>
            <w:vAlign w:val="bottom"/>
          </w:tcPr>
          <w:p>
            <w:pPr>
              <w:spacing w:after="0"/>
              <w:rPr>
                <w:sz w:val="20"/>
                <w:szCs w:val="20"/>
                <w:color w:val="auto"/>
              </w:rPr>
            </w:pPr>
          </w:p>
        </w:tc>
      </w:tr>
      <w:tr>
        <w:trPr>
          <w:trHeight w:val="251"/>
        </w:trPr>
        <w:tc>
          <w:tcPr>
            <w:tcW w:w="698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6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spacing w:after="0"/>
              <w:rPr>
                <w:sz w:val="21"/>
                <w:szCs w:val="21"/>
                <w:color w:val="auto"/>
              </w:rPr>
            </w:pPr>
          </w:p>
        </w:tc>
      </w:tr>
      <w:tr>
        <w:trPr>
          <w:trHeight w:val="232"/>
        </w:trPr>
        <w:tc>
          <w:tcPr>
            <w:tcW w:w="69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operating income and Adjusted operating income margin</w:t>
            </w:r>
          </w:p>
        </w:tc>
        <w:tc>
          <w:tcPr>
            <w:tcW w:w="2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9"/>
                <w:szCs w:val="19"/>
                <w:color w:val="auto"/>
              </w:rPr>
              <w:t>$</w:t>
            </w:r>
          </w:p>
        </w:tc>
        <w:tc>
          <w:tcPr>
            <w:tcW w:w="12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1,556</w:t>
            </w:r>
          </w:p>
        </w:tc>
        <w:tc>
          <w:tcPr>
            <w:tcW w:w="6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21.2%</w:t>
            </w:r>
          </w:p>
        </w:tc>
        <w:tc>
          <w:tcPr>
            <w:tcW w:w="3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1,366</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w:t>
            </w:r>
          </w:p>
        </w:tc>
      </w:tr>
      <w:tr>
        <w:trPr>
          <w:trHeight w:val="20"/>
        </w:trPr>
        <w:tc>
          <w:tcPr>
            <w:tcW w:w="6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9800" w:type="dxa"/>
            <w:vAlign w:val="bottom"/>
            <w:gridSpan w:val="4"/>
          </w:tcPr>
          <w:p>
            <w:pPr>
              <w:spacing w:after="0"/>
              <w:rPr>
                <w:sz w:val="20"/>
                <w:szCs w:val="20"/>
                <w:color w:val="auto"/>
              </w:rPr>
            </w:pPr>
            <w:r>
              <w:rPr>
                <w:rFonts w:ascii="Times New Roman" w:cs="Times New Roman" w:eastAsia="Times New Roman" w:hAnsi="Times New Roman"/>
                <w:sz w:val="19"/>
                <w:szCs w:val="19"/>
                <w:b w:val="1"/>
                <w:bCs w:val="1"/>
                <w:color w:val="auto"/>
              </w:rPr>
              <w:t>RECONCILIATIONS OF GAAP INCOME TAXES/TAX RATE TO ADJUSTED INCOME TAXES/TAX RATE</w:t>
            </w: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3"/>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center"/>
              <w:ind w:right="304"/>
              <w:spacing w:after="0"/>
              <w:rPr>
                <w:sz w:val="20"/>
                <w:szCs w:val="20"/>
                <w:color w:val="auto"/>
              </w:rPr>
            </w:pPr>
            <w:r>
              <w:rPr>
                <w:rFonts w:ascii="Times New Roman" w:cs="Times New Roman" w:eastAsia="Times New Roman" w:hAnsi="Times New Roman"/>
                <w:sz w:val="19"/>
                <w:szCs w:val="19"/>
                <w:color w:val="auto"/>
              </w:rPr>
              <w:t>Three Months Ended</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04"/>
              <w:spacing w:after="0"/>
              <w:rPr>
                <w:sz w:val="20"/>
                <w:szCs w:val="20"/>
                <w:color w:val="auto"/>
              </w:rPr>
            </w:pPr>
            <w:r>
              <w:rPr>
                <w:rFonts w:ascii="Times New Roman" w:cs="Times New Roman" w:eastAsia="Times New Roman" w:hAnsi="Times New Roman"/>
                <w:sz w:val="19"/>
                <w:szCs w:val="19"/>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470"/>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Income from operations before income taxes and interest in earnings of associates</w:t>
            </w: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401</w:t>
            </w:r>
          </w:p>
        </w:tc>
        <w:tc>
          <w:tcPr>
            <w:tcW w:w="120" w:type="dxa"/>
            <w:vAlign w:val="bottom"/>
          </w:tcPr>
          <w:p>
            <w:pPr>
              <w:spacing w:after="0"/>
              <w:rPr>
                <w:sz w:val="24"/>
                <w:szCs w:val="24"/>
                <w:color w:val="auto"/>
              </w:rPr>
            </w:pPr>
          </w:p>
        </w:tc>
        <w:tc>
          <w:tcPr>
            <w:tcW w:w="520" w:type="dxa"/>
            <w:vAlign w:val="bottom"/>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390</w:t>
            </w:r>
          </w:p>
        </w:tc>
        <w:tc>
          <w:tcPr>
            <w:tcW w:w="0" w:type="dxa"/>
            <w:vAlign w:val="bottom"/>
          </w:tcPr>
          <w:p>
            <w:pPr>
              <w:spacing w:after="0"/>
              <w:rPr>
                <w:sz w:val="1"/>
                <w:szCs w:val="1"/>
                <w:color w:val="auto"/>
              </w:rPr>
            </w:pPr>
          </w:p>
        </w:tc>
      </w:tr>
      <w:tr>
        <w:trPr>
          <w:trHeight w:val="467"/>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Adjusted for certain items: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340" w:type="dxa"/>
            <w:vAlign w:val="bottom"/>
          </w:tcPr>
          <w:p>
            <w:pPr>
              <w:spacing w:after="0"/>
              <w:rPr>
                <w:sz w:val="20"/>
                <w:szCs w:val="20"/>
                <w:color w:val="auto"/>
              </w:rPr>
            </w:pP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59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47</w:t>
            </w: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340" w:type="dxa"/>
            <w:vAlign w:val="bottom"/>
          </w:tcPr>
          <w:p>
            <w:pPr>
              <w:spacing w:after="0"/>
              <w:rPr>
                <w:sz w:val="20"/>
                <w:szCs w:val="20"/>
                <w:color w:val="auto"/>
              </w:rPr>
            </w:pP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340" w:type="dxa"/>
            <w:vAlign w:val="bottom"/>
          </w:tcPr>
          <w:p>
            <w:pPr>
              <w:spacing w:after="0"/>
              <w:rPr>
                <w:sz w:val="20"/>
                <w:szCs w:val="20"/>
                <w:color w:val="auto"/>
              </w:rPr>
            </w:pP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42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2</w:t>
            </w: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Net periodic pension and postretirement benefits</w:t>
            </w:r>
          </w:p>
        </w:tc>
        <w:tc>
          <w:tcPr>
            <w:tcW w:w="340" w:type="dxa"/>
            <w:vAlign w:val="bottom"/>
          </w:tcPr>
          <w:p>
            <w:pPr>
              <w:spacing w:after="0"/>
              <w:rPr>
                <w:sz w:val="20"/>
                <w:szCs w:val="20"/>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Gain on disposal of operations</w:t>
            </w:r>
          </w:p>
        </w:tc>
        <w:tc>
          <w:tcPr>
            <w:tcW w:w="340" w:type="dxa"/>
            <w:vAlign w:val="bottom"/>
          </w:tcPr>
          <w:p>
            <w:pPr>
              <w:spacing w:after="0"/>
              <w:rPr>
                <w:sz w:val="20"/>
                <w:szCs w:val="20"/>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(37)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(26)</w:t>
            </w:r>
          </w:p>
        </w:tc>
        <w:tc>
          <w:tcPr>
            <w:tcW w:w="0" w:type="dxa"/>
            <w:vAlign w:val="bottom"/>
          </w:tcPr>
          <w:p>
            <w:pPr>
              <w:spacing w:after="0"/>
              <w:rPr>
                <w:sz w:val="1"/>
                <w:szCs w:val="1"/>
                <w:color w:val="auto"/>
              </w:rPr>
            </w:pPr>
          </w:p>
        </w:tc>
      </w:tr>
      <w:tr>
        <w:trPr>
          <w:trHeight w:val="251"/>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(4)</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income before taxes</w:t>
            </w: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456</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9"/>
                <w:szCs w:val="19"/>
                <w:color w:val="auto"/>
              </w:rPr>
              <w:t>401</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Provision for income taxes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8220" w:type="dxa"/>
            <w:vAlign w:val="bottom"/>
            <w:vMerge w:val="continue"/>
          </w:tcPr>
          <w:p>
            <w:pPr>
              <w:spacing w:after="0"/>
              <w:rPr>
                <w:sz w:val="24"/>
                <w:szCs w:val="24"/>
                <w:color w:val="auto"/>
              </w:rPr>
            </w:pP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79</w:t>
            </w:r>
          </w:p>
        </w:tc>
        <w:tc>
          <w:tcPr>
            <w:tcW w:w="120" w:type="dxa"/>
            <w:vAlign w:val="bottom"/>
          </w:tcPr>
          <w:p>
            <w:pPr>
              <w:spacing w:after="0"/>
              <w:rPr>
                <w:sz w:val="24"/>
                <w:szCs w:val="24"/>
                <w:color w:val="auto"/>
              </w:rPr>
            </w:pPr>
          </w:p>
        </w:tc>
        <w:tc>
          <w:tcPr>
            <w:tcW w:w="520" w:type="dxa"/>
            <w:vAlign w:val="bottom"/>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77</w:t>
            </w:r>
          </w:p>
        </w:tc>
        <w:tc>
          <w:tcPr>
            <w:tcW w:w="0" w:type="dxa"/>
            <w:vAlign w:val="bottom"/>
          </w:tcPr>
          <w:p>
            <w:pPr>
              <w:spacing w:after="0"/>
              <w:rPr>
                <w:sz w:val="1"/>
                <w:szCs w:val="1"/>
                <w:color w:val="auto"/>
              </w:rPr>
            </w:pPr>
          </w:p>
        </w:tc>
      </w:tr>
      <w:tr>
        <w:trPr>
          <w:trHeight w:val="278"/>
        </w:trPr>
        <w:tc>
          <w:tcPr>
            <w:tcW w:w="8220" w:type="dxa"/>
            <w:vAlign w:val="bottom"/>
          </w:tcPr>
          <w:p>
            <w:pPr>
              <w:ind w:left="120"/>
              <w:spacing w:after="0" w:line="278" w:lineRule="exact"/>
              <w:rPr>
                <w:sz w:val="20"/>
                <w:szCs w:val="20"/>
                <w:color w:val="auto"/>
              </w:rPr>
            </w:pPr>
            <w:r>
              <w:rPr>
                <w:rFonts w:ascii="Times New Roman" w:cs="Times New Roman" w:eastAsia="Times New Roman" w:hAnsi="Times New Roman"/>
                <w:sz w:val="19"/>
                <w:szCs w:val="19"/>
                <w:color w:val="auto"/>
              </w:rPr>
              <w:t>Tax effect on certain items listed above</w:t>
            </w:r>
            <w:r>
              <w:rPr>
                <w:rFonts w:ascii="Times New Roman" w:cs="Times New Roman" w:eastAsia="Times New Roman" w:hAnsi="Times New Roman"/>
                <w:sz w:val="31"/>
                <w:szCs w:val="31"/>
                <w:color w:val="auto"/>
                <w:vertAlign w:val="superscript"/>
              </w:rPr>
              <w:t>(i)</w:t>
            </w:r>
          </w:p>
        </w:tc>
        <w:tc>
          <w:tcPr>
            <w:tcW w:w="340" w:type="dxa"/>
            <w:vAlign w:val="bottom"/>
          </w:tcPr>
          <w:p>
            <w:pPr>
              <w:spacing w:after="0"/>
              <w:rPr>
                <w:sz w:val="24"/>
                <w:szCs w:val="24"/>
                <w:color w:val="auto"/>
              </w:rPr>
            </w:pP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21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9</w:t>
            </w:r>
          </w:p>
        </w:tc>
        <w:tc>
          <w:tcPr>
            <w:tcW w:w="0" w:type="dxa"/>
            <w:vAlign w:val="bottom"/>
          </w:tcPr>
          <w:p>
            <w:pPr>
              <w:spacing w:after="0"/>
              <w:rPr>
                <w:sz w:val="1"/>
                <w:szCs w:val="1"/>
                <w:color w:val="auto"/>
              </w:rPr>
            </w:pPr>
          </w:p>
        </w:tc>
      </w:tr>
      <w:tr>
        <w:trPr>
          <w:trHeight w:val="251"/>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 effect of significant adjustments</w:t>
            </w:r>
          </w:p>
        </w:tc>
        <w:tc>
          <w:tcPr>
            <w:tcW w:w="3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spacing w:after="0"/>
              <w:rPr>
                <w:sz w:val="21"/>
                <w:szCs w:val="21"/>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income taxes</w:t>
            </w:r>
          </w:p>
        </w:tc>
        <w:tc>
          <w:tcPr>
            <w:tcW w:w="3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100</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9"/>
                <w:szCs w:val="19"/>
                <w:color w:val="auto"/>
              </w:rPr>
              <w:t>91</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U.S. GAAP tax rate</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19.5%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19.7%</w:t>
            </w:r>
          </w:p>
        </w:tc>
        <w:tc>
          <w:tcPr>
            <w:tcW w:w="0" w:type="dxa"/>
            <w:vAlign w:val="bottom"/>
          </w:tcPr>
          <w:p>
            <w:pPr>
              <w:spacing w:after="0"/>
              <w:rPr>
                <w:sz w:val="1"/>
                <w:szCs w:val="1"/>
                <w:color w:val="auto"/>
              </w:rPr>
            </w:pPr>
          </w:p>
        </w:tc>
      </w:tr>
      <w:tr>
        <w:trPr>
          <w:trHeight w:val="252"/>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income tax rate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22.4%</w:t>
            </w:r>
          </w:p>
        </w:tc>
        <w:tc>
          <w:tcPr>
            <w:tcW w:w="0" w:type="dxa"/>
            <w:vAlign w:val="bottom"/>
          </w:tcPr>
          <w:p>
            <w:pPr>
              <w:spacing w:after="0"/>
              <w:rPr>
                <w:sz w:val="1"/>
                <w:szCs w:val="1"/>
                <w:color w:val="auto"/>
              </w:rPr>
            </w:pPr>
          </w:p>
        </w:tc>
      </w:tr>
      <w:tr>
        <w:trPr>
          <w:trHeight w:val="801"/>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center"/>
              <w:ind w:right="304"/>
              <w:spacing w:after="0"/>
              <w:rPr>
                <w:sz w:val="20"/>
                <w:szCs w:val="20"/>
                <w:color w:val="auto"/>
              </w:rPr>
            </w:pPr>
            <w:r>
              <w:rPr>
                <w:rFonts w:ascii="Times New Roman" w:cs="Times New Roman" w:eastAsia="Times New Roman" w:hAnsi="Times New Roman"/>
                <w:sz w:val="19"/>
                <w:szCs w:val="19"/>
                <w:color w:val="auto"/>
              </w:rPr>
              <w:t>Nine Months Ended</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center"/>
              <w:ind w:left="504"/>
              <w:spacing w:after="0"/>
              <w:rPr>
                <w:sz w:val="20"/>
                <w:szCs w:val="20"/>
                <w:color w:val="auto"/>
              </w:rPr>
            </w:pPr>
            <w:r>
              <w:rPr>
                <w:rFonts w:ascii="Times New Roman" w:cs="Times New Roman" w:eastAsia="Times New Roman" w:hAnsi="Times New Roman"/>
                <w:sz w:val="19"/>
                <w:szCs w:val="19"/>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470"/>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Income from operations before income taxes and interest in earnings of associates</w:t>
            </w: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1,069</w:t>
            </w:r>
          </w:p>
        </w:tc>
        <w:tc>
          <w:tcPr>
            <w:tcW w:w="120" w:type="dxa"/>
            <w:vAlign w:val="bottom"/>
          </w:tcPr>
          <w:p>
            <w:pPr>
              <w:spacing w:after="0"/>
              <w:rPr>
                <w:sz w:val="24"/>
                <w:szCs w:val="24"/>
                <w:color w:val="auto"/>
              </w:rPr>
            </w:pPr>
          </w:p>
        </w:tc>
        <w:tc>
          <w:tcPr>
            <w:tcW w:w="520" w:type="dxa"/>
            <w:vAlign w:val="bottom"/>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1,006</w:t>
            </w:r>
          </w:p>
        </w:tc>
        <w:tc>
          <w:tcPr>
            <w:tcW w:w="0" w:type="dxa"/>
            <w:vAlign w:val="bottom"/>
          </w:tcPr>
          <w:p>
            <w:pPr>
              <w:spacing w:after="0"/>
              <w:rPr>
                <w:sz w:val="1"/>
                <w:szCs w:val="1"/>
                <w:color w:val="auto"/>
              </w:rPr>
            </w:pPr>
          </w:p>
        </w:tc>
      </w:tr>
      <w:tr>
        <w:trPr>
          <w:trHeight w:val="467"/>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Adjusted for certain items: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Amortization</w:t>
            </w:r>
          </w:p>
        </w:tc>
        <w:tc>
          <w:tcPr>
            <w:tcW w:w="340" w:type="dxa"/>
            <w:vAlign w:val="bottom"/>
          </w:tcPr>
          <w:p>
            <w:pPr>
              <w:spacing w:after="0"/>
              <w:rPr>
                <w:sz w:val="20"/>
                <w:szCs w:val="20"/>
                <w:color w:val="auto"/>
              </w:rPr>
            </w:pP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162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144</w:t>
            </w: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Restructuring costs</w:t>
            </w:r>
          </w:p>
        </w:tc>
        <w:tc>
          <w:tcPr>
            <w:tcW w:w="340" w:type="dxa"/>
            <w:vAlign w:val="bottom"/>
          </w:tcPr>
          <w:p>
            <w:pPr>
              <w:spacing w:after="0"/>
              <w:rPr>
                <w:sz w:val="20"/>
                <w:szCs w:val="20"/>
                <w:color w:val="auto"/>
              </w:rPr>
            </w:pP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340" w:type="dxa"/>
            <w:vAlign w:val="bottom"/>
          </w:tcPr>
          <w:p>
            <w:pPr>
              <w:spacing w:after="0"/>
              <w:rPr>
                <w:sz w:val="20"/>
                <w:szCs w:val="20"/>
                <w:color w:val="auto"/>
              </w:rPr>
            </w:pP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144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Net periodic pension and postretirement benefits</w:t>
            </w:r>
          </w:p>
        </w:tc>
        <w:tc>
          <w:tcPr>
            <w:tcW w:w="340" w:type="dxa"/>
            <w:vAlign w:val="bottom"/>
          </w:tcPr>
          <w:p>
            <w:pPr>
              <w:spacing w:after="0"/>
              <w:rPr>
                <w:sz w:val="20"/>
                <w:szCs w:val="20"/>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(33)</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50</w:t>
            </w:r>
          </w:p>
        </w:tc>
        <w:tc>
          <w:tcPr>
            <w:tcW w:w="0" w:type="dxa"/>
            <w:vAlign w:val="bottom"/>
          </w:tcPr>
          <w:p>
            <w:pPr>
              <w:spacing w:after="0"/>
              <w:rPr>
                <w:sz w:val="1"/>
                <w:szCs w:val="1"/>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Gain on disposal of operations</w:t>
            </w:r>
          </w:p>
        </w:tc>
        <w:tc>
          <w:tcPr>
            <w:tcW w:w="340" w:type="dxa"/>
            <w:vAlign w:val="bottom"/>
          </w:tcPr>
          <w:p>
            <w:pPr>
              <w:spacing w:after="0"/>
              <w:rPr>
                <w:sz w:val="20"/>
                <w:szCs w:val="20"/>
                <w:color w:val="auto"/>
              </w:rPr>
            </w:pPr>
          </w:p>
        </w:tc>
        <w:tc>
          <w:tcPr>
            <w:tcW w:w="112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(37)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9"/>
                <w:szCs w:val="19"/>
                <w:color w:val="auto"/>
              </w:rPr>
              <w:t>(40)</w:t>
            </w:r>
          </w:p>
        </w:tc>
        <w:tc>
          <w:tcPr>
            <w:tcW w:w="0" w:type="dxa"/>
            <w:vAlign w:val="bottom"/>
          </w:tcPr>
          <w:p>
            <w:pPr>
              <w:spacing w:after="0"/>
              <w:rPr>
                <w:sz w:val="1"/>
                <w:szCs w:val="1"/>
                <w:color w:val="auto"/>
              </w:rPr>
            </w:pPr>
          </w:p>
        </w:tc>
      </w:tr>
      <w:tr>
        <w:trPr>
          <w:trHeight w:val="251"/>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Acquisition-related adjustments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9"/>
                <w:szCs w:val="19"/>
                <w:color w:val="auto"/>
              </w:rPr>
              <w:t>(4)</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income before taxes</w:t>
            </w: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1,315</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9"/>
                <w:szCs w:val="19"/>
                <w:color w:val="auto"/>
              </w:rPr>
              <w:t>1,164</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Provision for income taxes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8220" w:type="dxa"/>
            <w:vAlign w:val="bottom"/>
            <w:vMerge w:val="continue"/>
          </w:tcPr>
          <w:p>
            <w:pPr>
              <w:spacing w:after="0"/>
              <w:rPr>
                <w:sz w:val="24"/>
                <w:szCs w:val="24"/>
                <w:color w:val="auto"/>
              </w:rPr>
            </w:pP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206</w:t>
            </w:r>
          </w:p>
        </w:tc>
        <w:tc>
          <w:tcPr>
            <w:tcW w:w="120" w:type="dxa"/>
            <w:vAlign w:val="bottom"/>
          </w:tcPr>
          <w:p>
            <w:pPr>
              <w:spacing w:after="0"/>
              <w:rPr>
                <w:sz w:val="24"/>
                <w:szCs w:val="24"/>
                <w:color w:val="auto"/>
              </w:rPr>
            </w:pPr>
          </w:p>
        </w:tc>
        <w:tc>
          <w:tcPr>
            <w:tcW w:w="520" w:type="dxa"/>
            <w:vAlign w:val="bottom"/>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121</w:t>
            </w:r>
          </w:p>
        </w:tc>
        <w:tc>
          <w:tcPr>
            <w:tcW w:w="0" w:type="dxa"/>
            <w:vAlign w:val="bottom"/>
          </w:tcPr>
          <w:p>
            <w:pPr>
              <w:spacing w:after="0"/>
              <w:rPr>
                <w:sz w:val="1"/>
                <w:szCs w:val="1"/>
                <w:color w:val="auto"/>
              </w:rPr>
            </w:pPr>
          </w:p>
        </w:tc>
      </w:tr>
      <w:tr>
        <w:trPr>
          <w:trHeight w:val="278"/>
        </w:trPr>
        <w:tc>
          <w:tcPr>
            <w:tcW w:w="8220" w:type="dxa"/>
            <w:vAlign w:val="bottom"/>
          </w:tcPr>
          <w:p>
            <w:pPr>
              <w:ind w:left="120"/>
              <w:spacing w:after="0" w:line="278" w:lineRule="exact"/>
              <w:rPr>
                <w:sz w:val="20"/>
                <w:szCs w:val="20"/>
                <w:color w:val="auto"/>
              </w:rPr>
            </w:pPr>
            <w:r>
              <w:rPr>
                <w:rFonts w:ascii="Times New Roman" w:cs="Times New Roman" w:eastAsia="Times New Roman" w:hAnsi="Times New Roman"/>
                <w:sz w:val="19"/>
                <w:szCs w:val="19"/>
                <w:color w:val="auto"/>
              </w:rPr>
              <w:t>Tax effect on certain items listed above</w:t>
            </w:r>
            <w:r>
              <w:rPr>
                <w:rFonts w:ascii="Times New Roman" w:cs="Times New Roman" w:eastAsia="Times New Roman" w:hAnsi="Times New Roman"/>
                <w:sz w:val="31"/>
                <w:szCs w:val="31"/>
                <w:color w:val="auto"/>
                <w:vertAlign w:val="superscript"/>
              </w:rPr>
              <w:t>(i)</w:t>
            </w:r>
          </w:p>
        </w:tc>
        <w:tc>
          <w:tcPr>
            <w:tcW w:w="340" w:type="dxa"/>
            <w:vAlign w:val="bottom"/>
          </w:tcPr>
          <w:p>
            <w:pPr>
              <w:spacing w:after="0"/>
              <w:rPr>
                <w:sz w:val="24"/>
                <w:szCs w:val="24"/>
                <w:color w:val="auto"/>
              </w:rPr>
            </w:pPr>
          </w:p>
        </w:tc>
        <w:tc>
          <w:tcPr>
            <w:tcW w:w="11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65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47</w:t>
            </w:r>
          </w:p>
        </w:tc>
        <w:tc>
          <w:tcPr>
            <w:tcW w:w="0" w:type="dxa"/>
            <w:vAlign w:val="bottom"/>
          </w:tcPr>
          <w:p>
            <w:pPr>
              <w:spacing w:after="0"/>
              <w:rPr>
                <w:sz w:val="1"/>
                <w:szCs w:val="1"/>
                <w:color w:val="auto"/>
              </w:rPr>
            </w:pPr>
          </w:p>
        </w:tc>
      </w:tr>
      <w:tr>
        <w:trPr>
          <w:trHeight w:val="251"/>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Tax effect of significant adjustments</w:t>
            </w:r>
          </w:p>
        </w:tc>
        <w:tc>
          <w:tcPr>
            <w:tcW w:w="340" w:type="dxa"/>
            <w:vAlign w:val="bottom"/>
          </w:tcPr>
          <w:p>
            <w:pPr>
              <w:spacing w:after="0"/>
              <w:rPr>
                <w:sz w:val="21"/>
                <w:szCs w:val="21"/>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spacing w:after="0"/>
              <w:rPr>
                <w:sz w:val="21"/>
                <w:szCs w:val="21"/>
                <w:color w:val="auto"/>
              </w:rPr>
            </w:pPr>
          </w:p>
        </w:tc>
        <w:tc>
          <w:tcPr>
            <w:tcW w:w="9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79</w:t>
            </w:r>
          </w:p>
        </w:tc>
        <w:tc>
          <w:tcPr>
            <w:tcW w:w="0" w:type="dxa"/>
            <w:vAlign w:val="bottom"/>
          </w:tcPr>
          <w:p>
            <w:pPr>
              <w:spacing w:after="0"/>
              <w:rPr>
                <w:sz w:val="1"/>
                <w:szCs w:val="1"/>
                <w:color w:val="auto"/>
              </w:rPr>
            </w:pPr>
          </w:p>
        </w:tc>
      </w:tr>
      <w:tr>
        <w:trPr>
          <w:trHeight w:val="232"/>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income taxes</w:t>
            </w:r>
          </w:p>
        </w:tc>
        <w:tc>
          <w:tcPr>
            <w:tcW w:w="34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top w:val="single" w:sz="8" w:color="auto"/>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271</w:t>
            </w:r>
          </w:p>
        </w:tc>
        <w:tc>
          <w:tcPr>
            <w:tcW w:w="1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9"/>
                <w:szCs w:val="19"/>
                <w:color w:val="auto"/>
              </w:rPr>
              <w:t>247</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260"/>
          </w:cols>
          <w:pgMar w:left="320" w:top="112" w:right="319" w:bottom="0" w:gutter="0" w:footer="0" w:header="0"/>
        </w:sectPr>
      </w:pPr>
    </w:p>
    <w:bookmarkStart w:id="13" w:name="page14"/>
    <w:bookmarkEnd w:id="13"/>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9"/>
        </w:trPr>
        <w:tc>
          <w:tcPr>
            <w:tcW w:w="56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U.S. GAAP tax rate</w:t>
            </w:r>
          </w:p>
        </w:tc>
        <w:tc>
          <w:tcPr>
            <w:tcW w:w="4580" w:type="dxa"/>
            <w:vAlign w:val="bottom"/>
          </w:tcPr>
          <w:p>
            <w:pPr>
              <w:jc w:val="right"/>
              <w:ind w:right="404"/>
              <w:spacing w:after="0"/>
              <w:rPr>
                <w:sz w:val="20"/>
                <w:szCs w:val="20"/>
                <w:color w:val="auto"/>
              </w:rPr>
            </w:pPr>
            <w:r>
              <w:rPr>
                <w:rFonts w:ascii="Times New Roman" w:cs="Times New Roman" w:eastAsia="Times New Roman" w:hAnsi="Times New Roman"/>
                <w:sz w:val="19"/>
                <w:szCs w:val="19"/>
                <w:b w:val="1"/>
                <w:bCs w:val="1"/>
                <w:color w:val="auto"/>
              </w:rPr>
              <w:t>19.3%</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12.0%</w:t>
            </w:r>
          </w:p>
        </w:tc>
      </w:tr>
      <w:tr>
        <w:trPr>
          <w:trHeight w:val="252"/>
        </w:trPr>
        <w:tc>
          <w:tcPr>
            <w:tcW w:w="56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Adjusted income tax rate</w:t>
            </w:r>
          </w:p>
        </w:tc>
        <w:tc>
          <w:tcPr>
            <w:tcW w:w="4580" w:type="dxa"/>
            <w:vAlign w:val="bottom"/>
          </w:tcPr>
          <w:p>
            <w:pPr>
              <w:jc w:val="right"/>
              <w:ind w:right="404"/>
              <w:spacing w:after="0"/>
              <w:rPr>
                <w:sz w:val="20"/>
                <w:szCs w:val="20"/>
                <w:color w:val="auto"/>
              </w:rPr>
            </w:pPr>
            <w:r>
              <w:rPr>
                <w:rFonts w:ascii="Times New Roman" w:cs="Times New Roman" w:eastAsia="Times New Roman" w:hAnsi="Times New Roman"/>
                <w:sz w:val="19"/>
                <w:szCs w:val="19"/>
                <w:b w:val="1"/>
                <w:bCs w:val="1"/>
                <w:color w:val="auto"/>
              </w:rPr>
              <w:t>20.6%</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21.2%</w:t>
            </w:r>
          </w:p>
        </w:tc>
      </w:tr>
    </w:tbl>
    <w:p>
      <w:pPr>
        <w:spacing w:after="0" w:line="372" w:lineRule="exact"/>
        <w:rPr>
          <w:sz w:val="20"/>
          <w:szCs w:val="20"/>
          <w:color w:val="auto"/>
        </w:rPr>
      </w:pPr>
    </w:p>
    <w:p>
      <w:pPr>
        <w:ind w:left="184" w:hanging="184"/>
        <w:spacing w:after="0"/>
        <w:tabs>
          <w:tab w:leader="none" w:pos="184" w:val="left"/>
        </w:tabs>
        <w:numPr>
          <w:ilvl w:val="0"/>
          <w:numId w:val="8"/>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tax effect was calculated using an effective tax rate for each item.</w:t>
      </w:r>
    </w:p>
    <w:p>
      <w:pPr>
        <w:spacing w:after="0" w:line="15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b w:val="1"/>
          <w:bCs w:val="1"/>
          <w:color w:val="auto"/>
        </w:rPr>
        <w:t>RECONCILIATION OF CASH FLOWS FROM OPERATING ACTIVITIES TO FREE CASH FLOW</w:t>
      </w:r>
    </w:p>
    <w:p>
      <w:pPr>
        <w:spacing w:after="0" w:line="202" w:lineRule="exact"/>
        <w:rPr>
          <w:sz w:val="20"/>
          <w:szCs w:val="20"/>
          <w:color w:val="auto"/>
        </w:rPr>
      </w:pPr>
    </w:p>
    <w:p>
      <w:pPr>
        <w:ind w:left="8944"/>
        <w:spacing w:after="0"/>
        <w:rPr>
          <w:sz w:val="20"/>
          <w:szCs w:val="20"/>
          <w:color w:val="auto"/>
        </w:rPr>
      </w:pPr>
      <w:r>
        <w:rPr>
          <w:rFonts w:ascii="Times New Roman" w:cs="Times New Roman" w:eastAsia="Times New Roman" w:hAnsi="Times New Roman"/>
          <w:sz w:val="19"/>
          <w:szCs w:val="19"/>
          <w:color w:val="auto"/>
        </w:rPr>
        <w:t>Nine Months Ended</w:t>
      </w:r>
    </w:p>
    <w:p>
      <w:pPr>
        <w:spacing w:after="0" w:line="19" w:lineRule="exact"/>
        <w:rPr>
          <w:sz w:val="20"/>
          <w:szCs w:val="20"/>
          <w:color w:val="auto"/>
        </w:rPr>
      </w:pPr>
    </w:p>
    <w:p>
      <w:pPr>
        <w:ind w:left="9184"/>
        <w:spacing w:after="0"/>
        <w:rPr>
          <w:sz w:val="20"/>
          <w:szCs w:val="20"/>
          <w:color w:val="auto"/>
        </w:rPr>
      </w:pPr>
      <w:r>
        <w:rPr>
          <w:rFonts w:ascii="Times New Roman" w:cs="Times New Roman" w:eastAsia="Times New Roman" w:hAnsi="Times New Roman"/>
          <w:sz w:val="19"/>
          <w:szCs w:val="19"/>
          <w:color w:val="auto"/>
        </w:rPr>
        <w:t>September 30,</w:t>
      </w:r>
    </w:p>
    <w:p>
      <w:pPr>
        <w:spacing w:after="0" w:line="10"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2025</w:t>
            </w:r>
          </w:p>
        </w:tc>
      </w:tr>
      <w:tr>
        <w:trPr>
          <w:trHeight w:val="465"/>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1,213</w:t>
            </w:r>
          </w:p>
        </w:tc>
        <w:tc>
          <w:tcPr>
            <w:tcW w:w="120" w:type="dxa"/>
            <w:vAlign w:val="bottom"/>
          </w:tcPr>
          <w:p>
            <w:pPr>
              <w:spacing w:after="0"/>
              <w:rPr>
                <w:sz w:val="24"/>
                <w:szCs w:val="24"/>
                <w:color w:val="auto"/>
              </w:rPr>
            </w:pP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1,004</w:t>
            </w:r>
          </w:p>
        </w:tc>
      </w:tr>
      <w:tr>
        <w:trPr>
          <w:trHeight w:val="291"/>
        </w:trPr>
        <w:tc>
          <w:tcPr>
            <w:tcW w:w="8220" w:type="dxa"/>
            <w:vAlign w:val="bottom"/>
          </w:tcPr>
          <w:p>
            <w:pPr>
              <w:spacing w:after="0" w:line="292" w:lineRule="exact"/>
              <w:rPr>
                <w:sz w:val="20"/>
                <w:szCs w:val="20"/>
                <w:color w:val="auto"/>
              </w:rPr>
            </w:pPr>
            <w:r>
              <w:rPr>
                <w:rFonts w:ascii="Times New Roman" w:cs="Times New Roman" w:eastAsia="Times New Roman" w:hAnsi="Times New Roman"/>
                <w:sz w:val="19"/>
                <w:szCs w:val="19"/>
                <w:color w:val="auto"/>
              </w:rPr>
              <w:t>Less: Net additions to fixed assets and software</w:t>
            </w:r>
            <w:r>
              <w:rPr>
                <w:rFonts w:ascii="Times New Roman" w:cs="Times New Roman" w:eastAsia="Times New Roman" w:hAnsi="Times New Roman"/>
                <w:sz w:val="31"/>
                <w:szCs w:val="31"/>
                <w:color w:val="auto"/>
                <w:vertAlign w:val="superscript"/>
              </w:rPr>
              <w:t>(i)</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(166)</w:t>
            </w:r>
          </w:p>
        </w:tc>
      </w:tr>
      <w:tr>
        <w:trPr>
          <w:trHeight w:val="231"/>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Free Cash Flow</w:t>
            </w: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1,064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838</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4" w:right="580" w:hanging="4"/>
        <w:spacing w:after="0" w:line="202" w:lineRule="auto"/>
        <w:tabs>
          <w:tab w:leader="none" w:pos="194"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Includes cash proceeds of $29 million collected in connection with the sale of fixed assets, which resulted in a gain of approximately $13 million in other operating expenses on the condensed consolidated statements of income.</w:t>
      </w:r>
    </w:p>
    <w:p>
      <w:pPr>
        <w:spacing w:after="0" w:line="16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WILLIS TOWERS WATSON PUBLIC LIMITED COMPANY</w:t>
      </w:r>
    </w:p>
    <w:p>
      <w:pPr>
        <w:spacing w:after="0" w:line="17" w:lineRule="exact"/>
        <w:rPr>
          <w:sz w:val="20"/>
          <w:szCs w:val="20"/>
          <w:color w:val="auto"/>
        </w:rPr>
      </w:pPr>
    </w:p>
    <w:p>
      <w:pPr>
        <w:ind w:left="3704"/>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Income</w:t>
      </w:r>
    </w:p>
    <w:p>
      <w:pPr>
        <w:ind w:left="3724"/>
        <w:spacing w:after="0" w:line="236" w:lineRule="auto"/>
        <w:rPr>
          <w:sz w:val="20"/>
          <w:szCs w:val="20"/>
          <w:color w:val="auto"/>
        </w:rPr>
      </w:pPr>
      <w:r>
        <w:rPr>
          <w:rFonts w:ascii="Times New Roman" w:cs="Times New Roman" w:eastAsia="Times New Roman" w:hAnsi="Times New Roman"/>
          <w:sz w:val="19"/>
          <w:szCs w:val="19"/>
          <w:color w:val="auto"/>
        </w:rPr>
        <w:t>(In millions of U.S. dollars, except per share data)</w:t>
      </w:r>
    </w:p>
    <w:p>
      <w:pPr>
        <w:jc w:val="center"/>
        <w:ind w:right="-3"/>
        <w:spacing w:after="0"/>
        <w:rPr>
          <w:sz w:val="20"/>
          <w:szCs w:val="20"/>
          <w:color w:val="auto"/>
        </w:rPr>
      </w:pPr>
      <w:r>
        <w:rPr>
          <w:rFonts w:ascii="Times New Roman" w:cs="Times New Roman" w:eastAsia="Times New Roman" w:hAnsi="Times New Roman"/>
          <w:sz w:val="19"/>
          <w:szCs w:val="19"/>
          <w:color w:val="auto"/>
        </w:rPr>
        <w:t>(Unaudited)</w:t>
      </w:r>
    </w:p>
    <w:p>
      <w:pPr>
        <w:spacing w:after="0" w:line="234" w:lineRule="exact"/>
        <w:rPr>
          <w:sz w:val="20"/>
          <w:szCs w:val="20"/>
          <w:color w:val="auto"/>
        </w:rPr>
      </w:pPr>
    </w:p>
    <w:tbl>
      <w:tblPr>
        <w:tblLayout w:type="fixed"/>
        <w:tblInd w:w="4" w:type="dxa"/>
        <w:tblCellMar>
          <w:top w:w="0" w:type="dxa"/>
          <w:left w:w="0" w:type="dxa"/>
          <w:bottom w:w="0" w:type="dxa"/>
          <w:right w:w="0" w:type="dxa"/>
        </w:tblCellMar>
      </w:tblPr>
      <w:tr>
        <w:trPr>
          <w:trHeight w:val="218"/>
        </w:trPr>
        <w:tc>
          <w:tcPr>
            <w:tcW w:w="5080" w:type="dxa"/>
            <w:vAlign w:val="bottom"/>
          </w:tcPr>
          <w:p>
            <w:pPr>
              <w:spacing w:after="0"/>
              <w:rPr>
                <w:sz w:val="18"/>
                <w:szCs w:val="18"/>
                <w:color w:val="auto"/>
              </w:rPr>
            </w:pPr>
          </w:p>
        </w:tc>
        <w:tc>
          <w:tcPr>
            <w:tcW w:w="3140" w:type="dxa"/>
            <w:vAlign w:val="bottom"/>
            <w:gridSpan w:val="6"/>
          </w:tcPr>
          <w:p>
            <w:pPr>
              <w:ind w:left="720"/>
              <w:spacing w:after="0"/>
              <w:rPr>
                <w:sz w:val="20"/>
                <w:szCs w:val="20"/>
                <w:color w:val="auto"/>
              </w:rPr>
            </w:pPr>
            <w:r>
              <w:rPr>
                <w:rFonts w:ascii="Times New Roman" w:cs="Times New Roman" w:eastAsia="Times New Roman" w:hAnsi="Times New Roman"/>
                <w:sz w:val="19"/>
                <w:szCs w:val="19"/>
                <w:color w:val="auto"/>
              </w:rPr>
              <w:t>Three Months Ended</w:t>
            </w:r>
          </w:p>
        </w:tc>
        <w:tc>
          <w:tcPr>
            <w:tcW w:w="340" w:type="dxa"/>
            <w:vAlign w:val="bottom"/>
          </w:tcPr>
          <w:p>
            <w:pPr>
              <w:spacing w:after="0"/>
              <w:rPr>
                <w:sz w:val="18"/>
                <w:szCs w:val="18"/>
                <w:color w:val="auto"/>
              </w:rPr>
            </w:pPr>
          </w:p>
        </w:tc>
        <w:tc>
          <w:tcPr>
            <w:tcW w:w="2700" w:type="dxa"/>
            <w:vAlign w:val="bottom"/>
            <w:gridSpan w:val="4"/>
          </w:tcPr>
          <w:p>
            <w:pPr>
              <w:jc w:val="right"/>
              <w:ind w:right="644"/>
              <w:spacing w:after="0"/>
              <w:rPr>
                <w:sz w:val="20"/>
                <w:szCs w:val="20"/>
                <w:color w:val="auto"/>
              </w:rPr>
            </w:pPr>
            <w:r>
              <w:rPr>
                <w:rFonts w:ascii="Times New Roman" w:cs="Times New Roman" w:eastAsia="Times New Roman" w:hAnsi="Times New Roman"/>
                <w:sz w:val="19"/>
                <w:szCs w:val="19"/>
                <w:color w:val="auto"/>
              </w:rPr>
              <w:t>Nine Months Ended</w:t>
            </w:r>
          </w:p>
        </w:tc>
        <w:tc>
          <w:tcPr>
            <w:tcW w:w="0" w:type="dxa"/>
            <w:vAlign w:val="bottom"/>
          </w:tcPr>
          <w:p>
            <w:pPr>
              <w:spacing w:after="0"/>
              <w:rPr>
                <w:sz w:val="1"/>
                <w:szCs w:val="1"/>
                <w:color w:val="auto"/>
              </w:rPr>
            </w:pPr>
          </w:p>
        </w:tc>
      </w:tr>
      <w:tr>
        <w:trPr>
          <w:trHeight w:val="239"/>
        </w:trPr>
        <w:tc>
          <w:tcPr>
            <w:tcW w:w="5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September 30,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September 30,</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2026</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w w:val="99"/>
              </w:rPr>
              <w:t>2025</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w w:val="99"/>
              </w:rPr>
              <w:t>2025</w:t>
            </w:r>
          </w:p>
        </w:tc>
        <w:tc>
          <w:tcPr>
            <w:tcW w:w="0" w:type="dxa"/>
            <w:vAlign w:val="bottom"/>
          </w:tcPr>
          <w:p>
            <w:pPr>
              <w:spacing w:after="0"/>
              <w:rPr>
                <w:sz w:val="1"/>
                <w:szCs w:val="1"/>
                <w:color w:val="auto"/>
              </w:rPr>
            </w:pPr>
          </w:p>
        </w:tc>
      </w:tr>
      <w:tr>
        <w:trPr>
          <w:trHeight w:val="233"/>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Revenue</w:t>
            </w:r>
          </w:p>
        </w:tc>
        <w:tc>
          <w:tcPr>
            <w:tcW w:w="92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9"/>
                <w:szCs w:val="19"/>
                <w:color w:val="auto"/>
                <w:w w:val="83"/>
              </w:rPr>
              <w:t>$</w:t>
            </w: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w w:val="98"/>
              </w:rPr>
              <w:t>2,460</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2,288</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7,338</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6,772</w:t>
            </w:r>
          </w:p>
        </w:tc>
        <w:tc>
          <w:tcPr>
            <w:tcW w:w="0" w:type="dxa"/>
            <w:vAlign w:val="bottom"/>
          </w:tcPr>
          <w:p>
            <w:pPr>
              <w:spacing w:after="0"/>
              <w:rPr>
                <w:sz w:val="1"/>
                <w:szCs w:val="1"/>
                <w:color w:val="auto"/>
              </w:rPr>
            </w:pPr>
          </w:p>
        </w:tc>
      </w:tr>
      <w:tr>
        <w:trPr>
          <w:trHeight w:val="457"/>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Costs of providing services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50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Salaries and benefits</w:t>
            </w:r>
          </w:p>
        </w:tc>
        <w:tc>
          <w:tcPr>
            <w:tcW w:w="920" w:type="dxa"/>
            <w:vAlign w:val="bottom"/>
          </w:tcPr>
          <w:p>
            <w:pPr>
              <w:spacing w:after="0"/>
              <w:rPr>
                <w:sz w:val="20"/>
                <w:szCs w:val="20"/>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w w:val="98"/>
              </w:rPr>
              <w:t>1,507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4,492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4,186</w:t>
            </w:r>
          </w:p>
        </w:tc>
        <w:tc>
          <w:tcPr>
            <w:tcW w:w="0" w:type="dxa"/>
            <w:vAlign w:val="bottom"/>
          </w:tcPr>
          <w:p>
            <w:pPr>
              <w:spacing w:after="0"/>
              <w:rPr>
                <w:sz w:val="1"/>
                <w:szCs w:val="1"/>
                <w:color w:val="auto"/>
              </w:rPr>
            </w:pPr>
          </w:p>
        </w:tc>
      </w:tr>
      <w:tr>
        <w:trPr>
          <w:trHeight w:val="239"/>
        </w:trPr>
        <w:tc>
          <w:tcPr>
            <w:tcW w:w="50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Other operating expenses</w:t>
            </w:r>
          </w:p>
        </w:tc>
        <w:tc>
          <w:tcPr>
            <w:tcW w:w="920" w:type="dxa"/>
            <w:vAlign w:val="bottom"/>
          </w:tcPr>
          <w:p>
            <w:pPr>
              <w:spacing w:after="0"/>
              <w:rPr>
                <w:sz w:val="20"/>
                <w:szCs w:val="20"/>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354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1,053</w:t>
            </w:r>
          </w:p>
        </w:tc>
        <w:tc>
          <w:tcPr>
            <w:tcW w:w="0" w:type="dxa"/>
            <w:vAlign w:val="bottom"/>
          </w:tcPr>
          <w:p>
            <w:pPr>
              <w:spacing w:after="0"/>
              <w:rPr>
                <w:sz w:val="1"/>
                <w:szCs w:val="1"/>
                <w:color w:val="auto"/>
              </w:rPr>
            </w:pPr>
          </w:p>
        </w:tc>
      </w:tr>
      <w:tr>
        <w:trPr>
          <w:trHeight w:val="239"/>
        </w:trPr>
        <w:tc>
          <w:tcPr>
            <w:tcW w:w="50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Depreciation</w:t>
            </w:r>
          </w:p>
        </w:tc>
        <w:tc>
          <w:tcPr>
            <w:tcW w:w="920" w:type="dxa"/>
            <w:vAlign w:val="bottom"/>
          </w:tcPr>
          <w:p>
            <w:pPr>
              <w:spacing w:after="0"/>
              <w:rPr>
                <w:sz w:val="20"/>
                <w:szCs w:val="20"/>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166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167</w:t>
            </w:r>
          </w:p>
        </w:tc>
        <w:tc>
          <w:tcPr>
            <w:tcW w:w="0" w:type="dxa"/>
            <w:vAlign w:val="bottom"/>
          </w:tcPr>
          <w:p>
            <w:pPr>
              <w:spacing w:after="0"/>
              <w:rPr>
                <w:sz w:val="1"/>
                <w:szCs w:val="1"/>
                <w:color w:val="auto"/>
              </w:rPr>
            </w:pPr>
          </w:p>
        </w:tc>
      </w:tr>
      <w:tr>
        <w:trPr>
          <w:trHeight w:val="239"/>
        </w:trPr>
        <w:tc>
          <w:tcPr>
            <w:tcW w:w="50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Amortization</w:t>
            </w:r>
          </w:p>
        </w:tc>
        <w:tc>
          <w:tcPr>
            <w:tcW w:w="920" w:type="dxa"/>
            <w:vAlign w:val="bottom"/>
          </w:tcPr>
          <w:p>
            <w:pPr>
              <w:spacing w:after="0"/>
              <w:rPr>
                <w:sz w:val="20"/>
                <w:szCs w:val="20"/>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162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144</w:t>
            </w:r>
          </w:p>
        </w:tc>
        <w:tc>
          <w:tcPr>
            <w:tcW w:w="0" w:type="dxa"/>
            <w:vAlign w:val="bottom"/>
          </w:tcPr>
          <w:p>
            <w:pPr>
              <w:spacing w:after="0"/>
              <w:rPr>
                <w:sz w:val="1"/>
                <w:szCs w:val="1"/>
                <w:color w:val="auto"/>
              </w:rPr>
            </w:pPr>
          </w:p>
        </w:tc>
      </w:tr>
      <w:tr>
        <w:trPr>
          <w:trHeight w:val="239"/>
        </w:trPr>
        <w:tc>
          <w:tcPr>
            <w:tcW w:w="50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Restructuring costs</w:t>
            </w:r>
          </w:p>
        </w:tc>
        <w:tc>
          <w:tcPr>
            <w:tcW w:w="920" w:type="dxa"/>
            <w:vAlign w:val="bottom"/>
          </w:tcPr>
          <w:p>
            <w:pPr>
              <w:spacing w:after="0"/>
              <w:rPr>
                <w:sz w:val="20"/>
                <w:szCs w:val="20"/>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340" w:type="dxa"/>
            <w:vAlign w:val="bottom"/>
          </w:tcPr>
          <w:p>
            <w:pPr>
              <w:spacing w:after="0"/>
              <w:rPr>
                <w:sz w:val="20"/>
                <w:szCs w:val="20"/>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0"/>
        </w:trPr>
        <w:tc>
          <w:tcPr>
            <w:tcW w:w="50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Transaction and program expenses</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42</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144</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33"/>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Total costs of providing services</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w w:val="98"/>
              </w:rPr>
              <w:t>2,031</w:t>
            </w: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1,870</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6,097</w:t>
            </w: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5,554</w:t>
            </w:r>
          </w:p>
        </w:tc>
        <w:tc>
          <w:tcPr>
            <w:tcW w:w="0" w:type="dxa"/>
            <w:vAlign w:val="bottom"/>
          </w:tcPr>
          <w:p>
            <w:pPr>
              <w:spacing w:after="0"/>
              <w:rPr>
                <w:sz w:val="1"/>
                <w:szCs w:val="1"/>
                <w:color w:val="auto"/>
              </w:rPr>
            </w:pPr>
          </w:p>
        </w:tc>
      </w:tr>
      <w:tr>
        <w:trPr>
          <w:trHeight w:val="46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Income from operations</w:t>
            </w:r>
          </w:p>
        </w:tc>
        <w:tc>
          <w:tcPr>
            <w:tcW w:w="920" w:type="dxa"/>
            <w:vAlign w:val="bottom"/>
          </w:tcPr>
          <w:p>
            <w:pPr>
              <w:spacing w:after="0"/>
              <w:rPr>
                <w:sz w:val="24"/>
                <w:szCs w:val="24"/>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429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418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1,241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1,218</w:t>
            </w:r>
          </w:p>
        </w:tc>
        <w:tc>
          <w:tcPr>
            <w:tcW w:w="0" w:type="dxa"/>
            <w:vAlign w:val="bottom"/>
          </w:tcPr>
          <w:p>
            <w:pPr>
              <w:spacing w:after="0"/>
              <w:rPr>
                <w:sz w:val="1"/>
                <w:szCs w:val="1"/>
                <w:color w:val="auto"/>
              </w:rPr>
            </w:pPr>
          </w:p>
        </w:tc>
      </w:tr>
      <w:tr>
        <w:trPr>
          <w:trHeight w:val="467"/>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w:t>
            </w:r>
          </w:p>
        </w:tc>
        <w:tc>
          <w:tcPr>
            <w:tcW w:w="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(194)</w:t>
            </w: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Other income/(loss), net</w:t>
            </w:r>
          </w:p>
        </w:tc>
        <w:tc>
          <w:tcPr>
            <w:tcW w:w="9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52</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63</w:t>
            </w:r>
          </w:p>
        </w:tc>
        <w:tc>
          <w:tcPr>
            <w:tcW w:w="12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0" w:type="dxa"/>
            <w:vAlign w:val="bottom"/>
          </w:tcPr>
          <w:p>
            <w:pPr>
              <w:spacing w:after="0"/>
              <w:rPr>
                <w:sz w:val="1"/>
                <w:szCs w:val="1"/>
                <w:color w:val="auto"/>
              </w:rPr>
            </w:pPr>
          </w:p>
        </w:tc>
      </w:tr>
      <w:tr>
        <w:trPr>
          <w:trHeight w:val="435"/>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INCOME FROM OPERATIONS BEFORE INCOME TAXES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AND INTEREST IN EARNINGS OF ASSOCIATES</w:t>
            </w:r>
          </w:p>
        </w:tc>
        <w:tc>
          <w:tcPr>
            <w:tcW w:w="920" w:type="dxa"/>
            <w:vAlign w:val="bottom"/>
          </w:tcPr>
          <w:p>
            <w:pPr>
              <w:spacing w:after="0"/>
              <w:rPr>
                <w:sz w:val="21"/>
                <w:szCs w:val="21"/>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1,069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1,006</w:t>
            </w:r>
          </w:p>
        </w:tc>
        <w:tc>
          <w:tcPr>
            <w:tcW w:w="0" w:type="dxa"/>
            <w:vAlign w:val="bottom"/>
          </w:tcPr>
          <w:p>
            <w:pPr>
              <w:spacing w:after="0"/>
              <w:rPr>
                <w:sz w:val="1"/>
                <w:szCs w:val="1"/>
                <w:color w:val="auto"/>
              </w:rPr>
            </w:pPr>
          </w:p>
        </w:tc>
      </w:tr>
      <w:tr>
        <w:trPr>
          <w:trHeight w:val="47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(206)</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(121)</w:t>
            </w:r>
          </w:p>
        </w:tc>
        <w:tc>
          <w:tcPr>
            <w:tcW w:w="0" w:type="dxa"/>
            <w:vAlign w:val="bottom"/>
          </w:tcPr>
          <w:p>
            <w:pPr>
              <w:spacing w:after="0"/>
              <w:rPr>
                <w:sz w:val="1"/>
                <w:szCs w:val="1"/>
                <w:color w:val="auto"/>
              </w:rPr>
            </w:pPr>
          </w:p>
        </w:tc>
      </w:tr>
      <w:tr>
        <w:trPr>
          <w:trHeight w:val="435"/>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INCOME FROM OPERATIONS BEFORE INTEREST IN</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EARNINGS OF ASSOCIATES</w:t>
            </w:r>
          </w:p>
        </w:tc>
        <w:tc>
          <w:tcPr>
            <w:tcW w:w="920" w:type="dxa"/>
            <w:vAlign w:val="bottom"/>
          </w:tcPr>
          <w:p>
            <w:pPr>
              <w:spacing w:after="0"/>
              <w:rPr>
                <w:sz w:val="21"/>
                <w:szCs w:val="21"/>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885</w:t>
            </w:r>
          </w:p>
        </w:tc>
        <w:tc>
          <w:tcPr>
            <w:tcW w:w="0" w:type="dxa"/>
            <w:vAlign w:val="bottom"/>
          </w:tcPr>
          <w:p>
            <w:pPr>
              <w:spacing w:after="0"/>
              <w:rPr>
                <w:sz w:val="1"/>
                <w:szCs w:val="1"/>
                <w:color w:val="auto"/>
              </w:rPr>
            </w:pPr>
          </w:p>
        </w:tc>
      </w:tr>
      <w:tr>
        <w:trPr>
          <w:trHeight w:val="47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Interest in earnings of associates, net of tax</w:t>
            </w:r>
          </w:p>
        </w:tc>
        <w:tc>
          <w:tcPr>
            <w:tcW w:w="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w:t>
            </w:r>
          </w:p>
        </w:tc>
        <w:tc>
          <w:tcPr>
            <w:tcW w:w="0" w:type="dxa"/>
            <w:vAlign w:val="bottom"/>
          </w:tcPr>
          <w:p>
            <w:pPr>
              <w:spacing w:after="0"/>
              <w:rPr>
                <w:sz w:val="1"/>
                <w:szCs w:val="1"/>
                <w:color w:val="auto"/>
              </w:rPr>
            </w:pPr>
          </w:p>
        </w:tc>
      </w:tr>
      <w:tr>
        <w:trPr>
          <w:trHeight w:val="241"/>
        </w:trPr>
        <w:tc>
          <w:tcPr>
            <w:tcW w:w="5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INCOME</w:t>
            </w:r>
          </w:p>
        </w:tc>
        <w:tc>
          <w:tcPr>
            <w:tcW w:w="9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08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309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843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877</w:t>
            </w:r>
          </w:p>
        </w:tc>
        <w:tc>
          <w:tcPr>
            <w:tcW w:w="0" w:type="dxa"/>
            <w:vAlign w:val="bottom"/>
          </w:tcPr>
          <w:p>
            <w:pPr>
              <w:spacing w:after="0"/>
              <w:rPr>
                <w:sz w:val="1"/>
                <w:szCs w:val="1"/>
                <w:color w:val="auto"/>
              </w:rPr>
            </w:pPr>
          </w:p>
        </w:tc>
      </w:tr>
      <w:tr>
        <w:trPr>
          <w:trHeight w:val="466"/>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Income attributable to non-controlling interests</w:t>
            </w: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0" w:type="dxa"/>
            <w:vAlign w:val="bottom"/>
          </w:tcPr>
          <w:p>
            <w:pPr>
              <w:spacing w:after="0"/>
              <w:rPr>
                <w:sz w:val="1"/>
                <w:szCs w:val="1"/>
                <w:color w:val="auto"/>
              </w:rPr>
            </w:pPr>
          </w:p>
        </w:tc>
      </w:tr>
      <w:tr>
        <w:trPr>
          <w:trHeight w:val="471"/>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NET INCOME ATTRIBUTABLE TO WTW</w:t>
            </w:r>
          </w:p>
        </w:tc>
        <w:tc>
          <w:tcPr>
            <w:tcW w:w="92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9"/>
                <w:szCs w:val="19"/>
                <w:color w:val="auto"/>
                <w:w w:val="83"/>
              </w:rPr>
              <w:t>$</w:t>
            </w: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303</w:t>
            </w:r>
          </w:p>
        </w:tc>
        <w:tc>
          <w:tcPr>
            <w:tcW w:w="100" w:type="dxa"/>
            <w:vAlign w:val="bottom"/>
          </w:tcPr>
          <w:p>
            <w:pPr>
              <w:spacing w:after="0"/>
              <w:rPr>
                <w:sz w:val="24"/>
                <w:szCs w:val="24"/>
                <w:color w:val="auto"/>
              </w:rPr>
            </w:pPr>
          </w:p>
        </w:tc>
        <w:tc>
          <w:tcPr>
            <w:tcW w:w="5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304</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829</w:t>
            </w:r>
          </w:p>
        </w:tc>
        <w:tc>
          <w:tcPr>
            <w:tcW w:w="120" w:type="dxa"/>
            <w:vAlign w:val="bottom"/>
          </w:tcPr>
          <w:p>
            <w:pPr>
              <w:spacing w:after="0"/>
              <w:rPr>
                <w:sz w:val="24"/>
                <w:szCs w:val="24"/>
                <w:color w:val="auto"/>
              </w:rPr>
            </w:pPr>
          </w:p>
        </w:tc>
        <w:tc>
          <w:tcPr>
            <w:tcW w:w="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870</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EARNINGS PER SHARE</w:t>
            </w: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080" w:type="dxa"/>
            <w:vAlign w:val="bottom"/>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0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Basic earnings per share</w:t>
            </w:r>
          </w:p>
        </w:tc>
        <w:tc>
          <w:tcPr>
            <w:tcW w:w="92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9"/>
                <w:szCs w:val="19"/>
                <w:color w:val="auto"/>
                <w:w w:val="83"/>
              </w:rPr>
              <w:t>$</w:t>
            </w: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3.25</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3.12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8.79</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8.80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Diluted earnings per share</w:t>
            </w:r>
          </w:p>
        </w:tc>
        <w:tc>
          <w:tcPr>
            <w:tcW w:w="920" w:type="dxa"/>
            <w:vAlign w:val="bottom"/>
            <w:tcBorders>
              <w:bottom w:val="single" w:sz="8" w:color="auto"/>
            </w:tcBorders>
          </w:tcPr>
          <w:p>
            <w:pPr>
              <w:jc w:val="right"/>
              <w:ind w:right="724"/>
              <w:spacing w:after="0"/>
              <w:rPr>
                <w:sz w:val="20"/>
                <w:szCs w:val="20"/>
                <w:color w:val="auto"/>
              </w:rPr>
            </w:pPr>
            <w:r>
              <w:rPr>
                <w:rFonts w:ascii="Times New Roman" w:cs="Times New Roman" w:eastAsia="Times New Roman" w:hAnsi="Times New Roman"/>
                <w:sz w:val="19"/>
                <w:szCs w:val="19"/>
                <w:color w:val="auto"/>
                <w:w w:val="83"/>
              </w:rPr>
              <w:t>$</w:t>
            </w: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3.24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3.11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8.76</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8.74</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ordinary shares, basic</w:t>
            </w: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93</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94</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Weighted-average ordinary shares, diluted</w:t>
            </w: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95</w:t>
            </w:r>
          </w:p>
        </w:tc>
        <w:tc>
          <w:tcPr>
            <w:tcW w:w="12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100</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4"/>
          </w:cols>
          <w:pgMar w:left="316" w:top="351" w:right="319" w:bottom="73" w:gutter="0" w:footer="0" w:header="0"/>
        </w:sectPr>
      </w:pPr>
    </w:p>
    <w:bookmarkStart w:id="14" w:name="page15"/>
    <w:bookmarkEnd w:id="14"/>
    <w:p>
      <w:pPr>
        <w:spacing w:after="0" w:line="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WILLIS TOWERS WATSON PUBLIC LIMITED COMPANY</w:t>
      </w:r>
    </w:p>
    <w:p>
      <w:pPr>
        <w:spacing w:after="0" w:line="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Condensed Consolidated Balance Sheets</w:t>
      </w:r>
    </w:p>
    <w:p>
      <w:pPr>
        <w:jc w:val="center"/>
        <w:ind w:right="-3"/>
        <w:spacing w:after="0" w:line="236" w:lineRule="auto"/>
        <w:rPr>
          <w:sz w:val="20"/>
          <w:szCs w:val="20"/>
          <w:color w:val="auto"/>
        </w:rPr>
      </w:pPr>
      <w:r>
        <w:rPr>
          <w:rFonts w:ascii="Times New Roman" w:cs="Times New Roman" w:eastAsia="Times New Roman" w:hAnsi="Times New Roman"/>
          <w:sz w:val="19"/>
          <w:szCs w:val="19"/>
          <w:color w:val="auto"/>
        </w:rPr>
        <w:t>(In millions of U.S. dollars, except share data)</w:t>
      </w:r>
    </w:p>
    <w:p>
      <w:pPr>
        <w:jc w:val="center"/>
        <w:ind w:right="-3"/>
        <w:spacing w:after="0"/>
        <w:rPr>
          <w:sz w:val="20"/>
          <w:szCs w:val="20"/>
          <w:color w:val="auto"/>
        </w:rPr>
      </w:pPr>
      <w:r>
        <w:rPr>
          <w:rFonts w:ascii="Times New Roman" w:cs="Times New Roman" w:eastAsia="Times New Roman" w:hAnsi="Times New Roman"/>
          <w:sz w:val="19"/>
          <w:szCs w:val="19"/>
          <w:color w:val="auto"/>
        </w:rPr>
        <w:t>(Unaudited)</w:t>
      </w:r>
    </w:p>
    <w:p>
      <w:pPr>
        <w:spacing w:after="0" w:line="238" w:lineRule="exact"/>
        <w:rPr>
          <w:sz w:val="20"/>
          <w:szCs w:val="20"/>
          <w:color w:val="auto"/>
        </w:rPr>
      </w:pPr>
    </w:p>
    <w:tbl>
      <w:tblPr>
        <w:tblLayout w:type="fixed"/>
        <w:tblInd w:w="4" w:type="dxa"/>
        <w:tblCellMar>
          <w:top w:w="0" w:type="dxa"/>
          <w:left w:w="0" w:type="dxa"/>
          <w:bottom w:w="0" w:type="dxa"/>
          <w:right w:w="0" w:type="dxa"/>
        </w:tblCellMar>
      </w:tblPr>
      <w:tr>
        <w:trPr>
          <w:trHeight w:val="239"/>
        </w:trPr>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September 30,</w:t>
            </w:r>
          </w:p>
        </w:tc>
        <w:tc>
          <w:tcPr>
            <w:tcW w:w="140" w:type="dxa"/>
            <w:vAlign w:val="bottom"/>
          </w:tcPr>
          <w:p>
            <w:pPr>
              <w:spacing w:after="0"/>
              <w:rPr>
                <w:sz w:val="20"/>
                <w:szCs w:val="20"/>
                <w:color w:val="auto"/>
              </w:rPr>
            </w:pPr>
          </w:p>
        </w:tc>
        <w:tc>
          <w:tcPr>
            <w:tcW w:w="132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December 31,</w:t>
            </w:r>
          </w:p>
        </w:tc>
        <w:tc>
          <w:tcPr>
            <w:tcW w:w="0" w:type="dxa"/>
            <w:vAlign w:val="bottom"/>
          </w:tcPr>
          <w:p>
            <w:pPr>
              <w:spacing w:after="0"/>
              <w:rPr>
                <w:sz w:val="1"/>
                <w:szCs w:val="1"/>
                <w:color w:val="auto"/>
              </w:rPr>
            </w:pPr>
          </w:p>
        </w:tc>
      </w:tr>
      <w:tr>
        <w:trPr>
          <w:trHeight w:val="251"/>
        </w:trPr>
        <w:tc>
          <w:tcPr>
            <w:tcW w:w="82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2025</w:t>
            </w:r>
          </w:p>
        </w:tc>
        <w:tc>
          <w:tcPr>
            <w:tcW w:w="0" w:type="dxa"/>
            <w:vAlign w:val="bottom"/>
          </w:tcPr>
          <w:p>
            <w:pPr>
              <w:spacing w:after="0"/>
              <w:rPr>
                <w:sz w:val="1"/>
                <w:szCs w:val="1"/>
                <w:color w:val="auto"/>
              </w:rPr>
            </w:pPr>
          </w:p>
        </w:tc>
      </w:tr>
      <w:tr>
        <w:trPr>
          <w:trHeight w:val="219"/>
        </w:trPr>
        <w:tc>
          <w:tcPr>
            <w:tcW w:w="82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1,946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3,132</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Fiduciary assets</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11,057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10,445</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Accounts receivable, net</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2,462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2,702</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Prepaid and other current assets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669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595</w:t>
            </w:r>
          </w:p>
        </w:tc>
        <w:tc>
          <w:tcPr>
            <w:tcW w:w="0" w:type="dxa"/>
            <w:vAlign w:val="bottom"/>
          </w:tcPr>
          <w:p>
            <w:pPr>
              <w:spacing w:after="0"/>
              <w:rPr>
                <w:sz w:val="1"/>
                <w:szCs w:val="1"/>
                <w:color w:val="auto"/>
              </w:rPr>
            </w:pPr>
          </w:p>
        </w:tc>
      </w:tr>
      <w:tr>
        <w:trPr>
          <w:trHeight w:val="220"/>
        </w:trPr>
        <w:tc>
          <w:tcPr>
            <w:tcW w:w="82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current assets</w:t>
            </w:r>
          </w:p>
        </w:tc>
        <w:tc>
          <w:tcPr>
            <w:tcW w:w="160" w:type="dxa"/>
            <w:vAlign w:val="bottom"/>
          </w:tcPr>
          <w:p>
            <w:pPr>
              <w:spacing w:after="0"/>
              <w:rPr>
                <w:sz w:val="19"/>
                <w:szCs w:val="19"/>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16,134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16,874</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Fixed assets, net</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695</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Goodwill</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9,778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8,938</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intangible assets, net</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1,141</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Right-of-use assets</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487</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Pension benefits assets</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529</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non-current assets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928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866</w:t>
            </w:r>
          </w:p>
        </w:tc>
        <w:tc>
          <w:tcPr>
            <w:tcW w:w="0" w:type="dxa"/>
            <w:vAlign w:val="bottom"/>
          </w:tcPr>
          <w:p>
            <w:pPr>
              <w:spacing w:after="0"/>
              <w:rPr>
                <w:sz w:val="1"/>
                <w:szCs w:val="1"/>
                <w:color w:val="auto"/>
              </w:rPr>
            </w:pPr>
          </w:p>
        </w:tc>
      </w:tr>
      <w:tr>
        <w:trPr>
          <w:trHeight w:val="233"/>
        </w:trPr>
        <w:tc>
          <w:tcPr>
            <w:tcW w:w="82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non-current assets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13,862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12,656</w:t>
            </w: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29,996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29,530</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Fiduciary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11,057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10,445</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Deferred revenue and accrued expenses</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1,965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2,087</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Current debt</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749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550</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Current lease liabilities</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125</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current liabilities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729</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797</w:t>
            </w:r>
          </w:p>
        </w:tc>
        <w:tc>
          <w:tcPr>
            <w:tcW w:w="0" w:type="dxa"/>
            <w:vAlign w:val="bottom"/>
          </w:tcPr>
          <w:p>
            <w:pPr>
              <w:spacing w:after="0"/>
              <w:rPr>
                <w:sz w:val="1"/>
                <w:szCs w:val="1"/>
                <w:color w:val="auto"/>
              </w:rPr>
            </w:pPr>
          </w:p>
        </w:tc>
      </w:tr>
      <w:tr>
        <w:trPr>
          <w:trHeight w:val="220"/>
        </w:trPr>
        <w:tc>
          <w:tcPr>
            <w:tcW w:w="82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current liabilities</w:t>
            </w:r>
          </w:p>
        </w:tc>
        <w:tc>
          <w:tcPr>
            <w:tcW w:w="160" w:type="dxa"/>
            <w:vAlign w:val="bottom"/>
          </w:tcPr>
          <w:p>
            <w:pPr>
              <w:spacing w:after="0"/>
              <w:rPr>
                <w:sz w:val="19"/>
                <w:szCs w:val="19"/>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14,618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14,004</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Long-term debt</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5,783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5,756</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Liability for pension benefits</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660</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Provision for liabilities</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340</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Long-term lease liabilities</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472</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non-current liabilities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356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246</w:t>
            </w:r>
          </w:p>
        </w:tc>
        <w:tc>
          <w:tcPr>
            <w:tcW w:w="0" w:type="dxa"/>
            <w:vAlign w:val="bottom"/>
          </w:tcPr>
          <w:p>
            <w:pPr>
              <w:spacing w:after="0"/>
              <w:rPr>
                <w:sz w:val="1"/>
                <w:szCs w:val="1"/>
                <w:color w:val="auto"/>
              </w:rPr>
            </w:pPr>
          </w:p>
        </w:tc>
      </w:tr>
      <w:tr>
        <w:trPr>
          <w:trHeight w:val="233"/>
        </w:trPr>
        <w:tc>
          <w:tcPr>
            <w:tcW w:w="822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Total non-current liabilities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7,538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7,474</w:t>
            </w:r>
          </w:p>
        </w:tc>
        <w:tc>
          <w:tcPr>
            <w:tcW w:w="0" w:type="dxa"/>
            <w:vAlign w:val="bottom"/>
          </w:tcPr>
          <w:p>
            <w:pPr>
              <w:spacing w:after="0"/>
              <w:rPr>
                <w:sz w:val="1"/>
                <w:szCs w:val="1"/>
                <w:color w:val="auto"/>
              </w:rPr>
            </w:pPr>
          </w:p>
        </w:tc>
      </w:tr>
      <w:tr>
        <w:trPr>
          <w:trHeight w:val="216"/>
        </w:trPr>
        <w:tc>
          <w:tcPr>
            <w:tcW w:w="8220" w:type="dxa"/>
            <w:vAlign w:val="bottom"/>
          </w:tcPr>
          <w:p>
            <w:pPr>
              <w:spacing w:after="0" w:line="216" w:lineRule="exact"/>
              <w:rPr>
                <w:sz w:val="20"/>
                <w:szCs w:val="20"/>
                <w:color w:val="auto"/>
              </w:rPr>
            </w:pPr>
            <w:r>
              <w:rPr>
                <w:rFonts w:ascii="Times New Roman" w:cs="Times New Roman" w:eastAsia="Times New Roman" w:hAnsi="Times New Roman"/>
                <w:sz w:val="19"/>
                <w:szCs w:val="19"/>
                <w:b w:val="1"/>
                <w:bCs w:val="1"/>
                <w:color w:val="auto"/>
              </w:rPr>
              <w:t>TOTAL LIABILITIES</w:t>
            </w:r>
          </w:p>
        </w:tc>
        <w:tc>
          <w:tcPr>
            <w:tcW w:w="160" w:type="dxa"/>
            <w:vAlign w:val="bottom"/>
          </w:tcPr>
          <w:p>
            <w:pPr>
              <w:spacing w:after="0"/>
              <w:rPr>
                <w:sz w:val="18"/>
                <w:szCs w:val="18"/>
                <w:color w:val="auto"/>
              </w:rPr>
            </w:pPr>
          </w:p>
        </w:tc>
        <w:tc>
          <w:tcPr>
            <w:tcW w:w="1300" w:type="dxa"/>
            <w:vAlign w:val="bottom"/>
          </w:tcPr>
          <w:p>
            <w:pPr>
              <w:jc w:val="right"/>
              <w:ind w:right="24"/>
              <w:spacing w:after="0" w:line="216" w:lineRule="exact"/>
              <w:rPr>
                <w:sz w:val="20"/>
                <w:szCs w:val="20"/>
                <w:color w:val="auto"/>
              </w:rPr>
            </w:pPr>
            <w:r>
              <w:rPr>
                <w:rFonts w:ascii="Times New Roman" w:cs="Times New Roman" w:eastAsia="Times New Roman" w:hAnsi="Times New Roman"/>
                <w:sz w:val="19"/>
                <w:szCs w:val="19"/>
                <w:color w:val="auto"/>
              </w:rPr>
              <w:t>22,156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24"/>
              <w:spacing w:after="0" w:line="216" w:lineRule="exact"/>
              <w:rPr>
                <w:sz w:val="20"/>
                <w:szCs w:val="20"/>
                <w:color w:val="auto"/>
              </w:rPr>
            </w:pPr>
            <w:r>
              <w:rPr>
                <w:rFonts w:ascii="Times New Roman" w:cs="Times New Roman" w:eastAsia="Times New Roman" w:hAnsi="Times New Roman"/>
                <w:sz w:val="19"/>
                <w:szCs w:val="19"/>
                <w:color w:val="auto"/>
              </w:rPr>
              <w:t>21,478</w:t>
            </w:r>
          </w:p>
        </w:tc>
        <w:tc>
          <w:tcPr>
            <w:tcW w:w="0" w:type="dxa"/>
            <w:vAlign w:val="bottom"/>
          </w:tcPr>
          <w:p>
            <w:pPr>
              <w:spacing w:after="0"/>
              <w:rPr>
                <w:sz w:val="1"/>
                <w:szCs w:val="1"/>
                <w:color w:val="auto"/>
              </w:rPr>
            </w:pPr>
          </w:p>
        </w:tc>
      </w:tr>
      <w:tr>
        <w:trPr>
          <w:trHeight w:val="248"/>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COMMITMENTS AND CONTINGENCIES</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8220" w:type="dxa"/>
            <w:vAlign w:val="bottom"/>
          </w:tcPr>
          <w:p>
            <w:pPr>
              <w:spacing w:after="0" w:line="280" w:lineRule="exact"/>
              <w:rPr>
                <w:sz w:val="20"/>
                <w:szCs w:val="20"/>
                <w:color w:val="auto"/>
              </w:rPr>
            </w:pPr>
            <w:r>
              <w:rPr>
                <w:rFonts w:ascii="Times New Roman" w:cs="Times New Roman" w:eastAsia="Times New Roman" w:hAnsi="Times New Roman"/>
                <w:sz w:val="19"/>
                <w:szCs w:val="19"/>
                <w:b w:val="1"/>
                <w:bCs w:val="1"/>
                <w:color w:val="auto"/>
              </w:rPr>
              <w:t>EQUITY</w:t>
            </w:r>
            <w:r>
              <w:rPr>
                <w:rFonts w:ascii="Times New Roman" w:cs="Times New Roman" w:eastAsia="Times New Roman" w:hAnsi="Times New Roman"/>
                <w:sz w:val="31"/>
                <w:szCs w:val="31"/>
                <w:b w:val="1"/>
                <w:bCs w:val="1"/>
                <w:color w:val="auto"/>
                <w:vertAlign w:val="superscript"/>
              </w:rPr>
              <w:t>(i)</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Additional paid-in capital</w:t>
            </w:r>
          </w:p>
        </w:tc>
        <w:tc>
          <w:tcPr>
            <w:tcW w:w="160" w:type="dxa"/>
            <w:vAlign w:val="bottom"/>
          </w:tcPr>
          <w:p>
            <w:pPr>
              <w:spacing w:after="0"/>
              <w:rPr>
                <w:sz w:val="20"/>
                <w:szCs w:val="20"/>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11,304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11,106</w:t>
            </w:r>
          </w:p>
        </w:tc>
        <w:tc>
          <w:tcPr>
            <w:tcW w:w="0" w:type="dxa"/>
            <w:vAlign w:val="bottom"/>
          </w:tcPr>
          <w:p>
            <w:pPr>
              <w:spacing w:after="0"/>
              <w:rPr>
                <w:sz w:val="1"/>
                <w:szCs w:val="1"/>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Accumulated deficit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(296)</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Accumulated other comprehensive loss, net of tax</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(2,833)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(2,834)</w:t>
            </w:r>
          </w:p>
        </w:tc>
        <w:tc>
          <w:tcPr>
            <w:tcW w:w="0" w:type="dxa"/>
            <w:vAlign w:val="bottom"/>
          </w:tcPr>
          <w:p>
            <w:pPr>
              <w:spacing w:after="0"/>
              <w:rPr>
                <w:sz w:val="1"/>
                <w:szCs w:val="1"/>
                <w:color w:val="auto"/>
              </w:rPr>
            </w:pPr>
          </w:p>
        </w:tc>
      </w:tr>
      <w:tr>
        <w:trPr>
          <w:trHeight w:val="220"/>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WTW shareholders' equity</w:t>
            </w:r>
          </w:p>
        </w:tc>
        <w:tc>
          <w:tcPr>
            <w:tcW w:w="160" w:type="dxa"/>
            <w:vAlign w:val="bottom"/>
          </w:tcPr>
          <w:p>
            <w:pPr>
              <w:spacing w:after="0"/>
              <w:rPr>
                <w:sz w:val="19"/>
                <w:szCs w:val="19"/>
                <w:color w:val="auto"/>
              </w:rPr>
            </w:pPr>
          </w:p>
        </w:tc>
        <w:tc>
          <w:tcPr>
            <w:tcW w:w="130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7,764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7,976</w:t>
            </w:r>
          </w:p>
        </w:tc>
        <w:tc>
          <w:tcPr>
            <w:tcW w:w="0" w:type="dxa"/>
            <w:vAlign w:val="bottom"/>
          </w:tcPr>
          <w:p>
            <w:pPr>
              <w:spacing w:after="0"/>
              <w:rPr>
                <w:sz w:val="1"/>
                <w:szCs w:val="1"/>
                <w:color w:val="auto"/>
              </w:rPr>
            </w:pP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Non-controlling interests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76</w:t>
            </w:r>
          </w:p>
        </w:tc>
        <w:tc>
          <w:tcPr>
            <w:tcW w:w="0" w:type="dxa"/>
            <w:vAlign w:val="bottom"/>
          </w:tcPr>
          <w:p>
            <w:pPr>
              <w:spacing w:after="0"/>
              <w:rPr>
                <w:sz w:val="1"/>
                <w:szCs w:val="1"/>
                <w:color w:val="auto"/>
              </w:rPr>
            </w:pPr>
          </w:p>
        </w:tc>
      </w:tr>
      <w:tr>
        <w:trPr>
          <w:trHeight w:val="233"/>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Equity</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7,840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8,052</w:t>
            </w:r>
          </w:p>
        </w:tc>
        <w:tc>
          <w:tcPr>
            <w:tcW w:w="0" w:type="dxa"/>
            <w:vAlign w:val="bottom"/>
          </w:tcPr>
          <w:p>
            <w:pPr>
              <w:spacing w:after="0"/>
              <w:rPr>
                <w:sz w:val="1"/>
                <w:szCs w:val="1"/>
                <w:color w:val="auto"/>
              </w:rPr>
            </w:pPr>
          </w:p>
        </w:tc>
      </w:tr>
      <w:tr>
        <w:trPr>
          <w:trHeight w:val="231"/>
        </w:trPr>
        <w:tc>
          <w:tcPr>
            <w:tcW w:w="8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29,996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29,530</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__________</w:t>
      </w:r>
    </w:p>
    <w:p>
      <w:pPr>
        <w:spacing w:after="0" w:line="19" w:lineRule="exact"/>
        <w:rPr>
          <w:sz w:val="20"/>
          <w:szCs w:val="20"/>
          <w:color w:val="auto"/>
        </w:rPr>
      </w:pPr>
    </w:p>
    <w:p>
      <w:pPr>
        <w:ind w:left="4" w:hanging="4"/>
        <w:spacing w:after="0" w:line="241" w:lineRule="auto"/>
        <w:tabs>
          <w:tab w:leader="none" w:pos="28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Equity includes (a) Ordinary shares $0.000304635 nominal value; Authorized 1,510,003,775; Issued 92,337,120 (2026) and 95,079,835 (2025); Outstanding 92,337,120 (2026) and 95,079,835 (2025) and (b) Preference shares, $0.000115 nominal value; Authorized 1,000,000,000 and Issued none in 2026 and 2025.</w:t>
      </w:r>
    </w:p>
    <w:p>
      <w:pPr>
        <w:spacing w:after="0" w:line="1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WILLIS TOWERS WATSON PUBLIC LIMITED COMPANY</w:t>
      </w:r>
    </w:p>
    <w:p>
      <w:pPr>
        <w:spacing w:after="0" w:line="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Cash Flows</w:t>
      </w:r>
    </w:p>
    <w:p>
      <w:pPr>
        <w:jc w:val="center"/>
        <w:ind w:right="-3"/>
        <w:spacing w:after="0" w:line="236" w:lineRule="auto"/>
        <w:rPr>
          <w:sz w:val="20"/>
          <w:szCs w:val="20"/>
          <w:color w:val="auto"/>
        </w:rPr>
      </w:pPr>
      <w:r>
        <w:rPr>
          <w:rFonts w:ascii="Times New Roman" w:cs="Times New Roman" w:eastAsia="Times New Roman" w:hAnsi="Times New Roman"/>
          <w:sz w:val="19"/>
          <w:szCs w:val="19"/>
          <w:color w:val="auto"/>
        </w:rPr>
        <w:t>(In millions of U.S. dollars)</w:t>
      </w:r>
    </w:p>
    <w:p>
      <w:pPr>
        <w:jc w:val="center"/>
        <w:ind w:right="-3"/>
        <w:spacing w:after="0"/>
        <w:rPr>
          <w:sz w:val="20"/>
          <w:szCs w:val="20"/>
          <w:color w:val="auto"/>
        </w:rPr>
      </w:pPr>
      <w:r>
        <w:rPr>
          <w:rFonts w:ascii="Times New Roman" w:cs="Times New Roman" w:eastAsia="Times New Roman" w:hAnsi="Times New Roman"/>
          <w:sz w:val="19"/>
          <w:szCs w:val="19"/>
          <w:color w:val="auto"/>
        </w:rPr>
        <w:t>(Unaudited)</w:t>
      </w:r>
    </w:p>
    <w:p>
      <w:pPr>
        <w:spacing w:after="0" w:line="238" w:lineRule="exact"/>
        <w:rPr>
          <w:sz w:val="20"/>
          <w:szCs w:val="20"/>
          <w:color w:val="auto"/>
        </w:rPr>
      </w:pPr>
    </w:p>
    <w:p>
      <w:pPr>
        <w:ind w:left="8944"/>
        <w:spacing w:after="0"/>
        <w:rPr>
          <w:sz w:val="20"/>
          <w:szCs w:val="20"/>
          <w:color w:val="auto"/>
        </w:rPr>
      </w:pPr>
      <w:r>
        <w:rPr>
          <w:rFonts w:ascii="Times New Roman" w:cs="Times New Roman" w:eastAsia="Times New Roman" w:hAnsi="Times New Roman"/>
          <w:sz w:val="19"/>
          <w:szCs w:val="19"/>
          <w:color w:val="auto"/>
        </w:rPr>
        <w:t>Nine Months Ended</w:t>
      </w:r>
    </w:p>
    <w:p>
      <w:pPr>
        <w:spacing w:after="0" w:line="19" w:lineRule="exact"/>
        <w:rPr>
          <w:sz w:val="20"/>
          <w:szCs w:val="20"/>
          <w:color w:val="auto"/>
        </w:rPr>
      </w:pPr>
    </w:p>
    <w:p>
      <w:pPr>
        <w:ind w:left="9184"/>
        <w:spacing w:after="0"/>
        <w:rPr>
          <w:sz w:val="20"/>
          <w:szCs w:val="20"/>
          <w:color w:val="auto"/>
        </w:rPr>
      </w:pPr>
      <w:r>
        <w:rPr>
          <w:rFonts w:ascii="Times New Roman" w:cs="Times New Roman" w:eastAsia="Times New Roman" w:hAnsi="Times New Roman"/>
          <w:sz w:val="19"/>
          <w:szCs w:val="19"/>
          <w:color w:val="auto"/>
        </w:rPr>
        <w:t>September 30,</w:t>
      </w:r>
    </w:p>
    <w:p>
      <w:pPr>
        <w:spacing w:after="0" w:line="10"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2026</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2025</w:t>
            </w:r>
          </w:p>
        </w:tc>
      </w:tr>
      <w:tr>
        <w:trPr>
          <w:trHeight w:val="218"/>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CASH FLOWS FROM OPERATING ACTIVITIES</w:t>
            </w: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1000" w:type="dxa"/>
            <w:vAlign w:val="bottom"/>
          </w:tcPr>
          <w:p>
            <w:pPr>
              <w:jc w:val="right"/>
              <w:ind w:right="784"/>
              <w:spacing w:after="0"/>
              <w:rPr>
                <w:sz w:val="20"/>
                <w:szCs w:val="20"/>
                <w:color w:val="auto"/>
              </w:rPr>
            </w:pPr>
            <w:r>
              <w:rPr>
                <w:rFonts w:ascii="Times New Roman" w:cs="Times New Roman" w:eastAsia="Times New Roman" w:hAnsi="Times New Roman"/>
                <w:sz w:val="19"/>
                <w:szCs w:val="19"/>
                <w:color w:val="auto"/>
              </w:rPr>
              <w:t>$</w:t>
            </w: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843</w:t>
            </w:r>
          </w:p>
        </w:tc>
        <w:tc>
          <w:tcPr>
            <w:tcW w:w="120" w:type="dxa"/>
            <w:vAlign w:val="bottom"/>
          </w:tcPr>
          <w:p>
            <w:pPr>
              <w:spacing w:after="0"/>
              <w:rPr>
                <w:sz w:val="20"/>
                <w:szCs w:val="20"/>
                <w:color w:val="auto"/>
              </w:rPr>
            </w:pP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877</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Adjustments to reconcile net income to total net cash from operating activities:</w:t>
            </w: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Depreciation</w:t>
            </w:r>
          </w:p>
        </w:tc>
        <w:tc>
          <w:tcPr>
            <w:tcW w:w="1000" w:type="dxa"/>
            <w:vAlign w:val="bottom"/>
          </w:tcPr>
          <w:p>
            <w:pPr>
              <w:spacing w:after="0"/>
              <w:rPr>
                <w:sz w:val="20"/>
                <w:szCs w:val="20"/>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166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167</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Amortization</w:t>
            </w:r>
          </w:p>
        </w:tc>
        <w:tc>
          <w:tcPr>
            <w:tcW w:w="1000" w:type="dxa"/>
            <w:vAlign w:val="bottom"/>
          </w:tcPr>
          <w:p>
            <w:pPr>
              <w:spacing w:after="0"/>
              <w:rPr>
                <w:sz w:val="20"/>
                <w:szCs w:val="20"/>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144</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Non-cash restructuring costs</w:t>
            </w:r>
          </w:p>
        </w:tc>
        <w:tc>
          <w:tcPr>
            <w:tcW w:w="1000" w:type="dxa"/>
            <w:vAlign w:val="bottom"/>
          </w:tcPr>
          <w:p>
            <w:pPr>
              <w:spacing w:after="0"/>
              <w:rPr>
                <w:sz w:val="20"/>
                <w:szCs w:val="20"/>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Non-cash lease expense</w:t>
            </w:r>
          </w:p>
        </w:tc>
        <w:tc>
          <w:tcPr>
            <w:tcW w:w="1000" w:type="dxa"/>
            <w:vAlign w:val="bottom"/>
          </w:tcPr>
          <w:p>
            <w:pPr>
              <w:spacing w:after="0"/>
              <w:rPr>
                <w:sz w:val="20"/>
                <w:szCs w:val="20"/>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75</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71</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Net periodic cost of defined benefit pension plans</w:t>
            </w:r>
          </w:p>
        </w:tc>
        <w:tc>
          <w:tcPr>
            <w:tcW w:w="1000" w:type="dxa"/>
            <w:vAlign w:val="bottom"/>
          </w:tcPr>
          <w:p>
            <w:pPr>
              <w:spacing w:after="0"/>
              <w:rPr>
                <w:sz w:val="20"/>
                <w:szCs w:val="20"/>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100</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Provision for doubtful receivables from clients</w:t>
            </w:r>
          </w:p>
        </w:tc>
        <w:tc>
          <w:tcPr>
            <w:tcW w:w="1000" w:type="dxa"/>
            <w:vAlign w:val="bottom"/>
          </w:tcPr>
          <w:p>
            <w:pPr>
              <w:spacing w:after="0"/>
              <w:rPr>
                <w:sz w:val="20"/>
                <w:szCs w:val="20"/>
                <w:color w:val="auto"/>
              </w:rPr>
            </w:pPr>
          </w:p>
        </w:tc>
        <w:tc>
          <w:tcPr>
            <w:tcW w:w="46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w:t>
            </w: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Benefit from deferred income taxes</w:t>
            </w:r>
          </w:p>
        </w:tc>
        <w:tc>
          <w:tcPr>
            <w:tcW w:w="10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w:t>
            </w:r>
          </w:p>
        </w:tc>
      </w:tr>
    </w:tbl>
    <w:p>
      <w:pPr>
        <w:sectPr>
          <w:pgSz w:w="11900" w:h="16913" w:orient="portrait"/>
          <w:cols w:equalWidth="0" w:num="1">
            <w:col w:w="11264"/>
          </w:cols>
          <w:pgMar w:left="316" w:top="531" w:right="319" w:bottom="0" w:gutter="0" w:footer="0" w:header="0"/>
        </w:sectPr>
      </w:pPr>
    </w:p>
    <w:bookmarkStart w:id="15" w:name="page16"/>
    <w:bookmarkEnd w:id="15"/>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Share-based compensation</w:t>
            </w: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179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104</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Gain on disposal of operations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Non-cash foreign exchange (gain)/loss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30</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net</w:t>
            </w: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42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34</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Changes in operating assets and liabilities, net of effects from purchase of subsidiaries:</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Accounts receivable</w:t>
            </w: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382</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assets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liabilities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(689)</w:t>
            </w: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Provisions</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26</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20</w:t>
            </w:r>
          </w:p>
        </w:tc>
      </w:tr>
      <w:tr>
        <w:trPr>
          <w:trHeight w:val="233"/>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Net cash from operating activities</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1,213</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1,004</w:t>
            </w:r>
          </w:p>
        </w:tc>
      </w:tr>
      <w:tr>
        <w:trPr>
          <w:trHeight w:val="457"/>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CASH FLOWS (USED IN)/FROM INVESTING ACTIVITIES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Additions to fixed assets and software</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Sale of fixed assets</w:t>
            </w: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Acquisitions of operations, net of cash acquired</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Contributions to investments in associates, net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Net proceeds from sale of operations</w:t>
            </w: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870</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Cash and fiduciary funds transferred in sale of operations</w:t>
            </w:r>
          </w:p>
        </w:tc>
        <w:tc>
          <w:tcPr>
            <w:tcW w:w="4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Net purchases of held-to-maturity securities</w:t>
            </w:r>
          </w:p>
        </w:tc>
        <w:tc>
          <w:tcPr>
            <w:tcW w:w="4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Net purchases of available-for-sale securities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w:t>
            </w: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Other, net</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33"/>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Net cash (used in)/from investing activities</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(1,265)</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530</w:t>
            </w:r>
          </w:p>
        </w:tc>
      </w:tr>
      <w:tr>
        <w:trPr>
          <w:trHeight w:val="457"/>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CASH FLOWS USED IN FINANCING ACTIVITIES</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Borrowing of other debt</w:t>
            </w: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775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Debt issuance costs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Repayments of debt</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Repurchase of shares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(970)</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(1,300)</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Net proceeds from fiduciary funds held for clients</w:t>
            </w: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343</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Payments of deferred and contingent consideration related to acquisitions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Cash paid for employee taxes on withholding shares</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w:t>
            </w:r>
          </w:p>
        </w:tc>
      </w:tr>
      <w:tr>
        <w:trPr>
          <w:trHeight w:val="239"/>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Dividends paid</w:t>
            </w: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(269)</w:t>
            </w:r>
          </w:p>
        </w:tc>
      </w:tr>
      <w:tr>
        <w:trPr>
          <w:trHeight w:val="250"/>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Acquisitions of and dividends paid to non-controlling interests</w:t>
            </w: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w:t>
            </w:r>
          </w:p>
        </w:tc>
        <w:tc>
          <w:tcPr>
            <w:tcW w:w="12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233"/>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Net cash used in financing activities</w:t>
            </w: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(1,041)</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(1,311)</w:t>
            </w:r>
          </w:p>
        </w:tc>
      </w:tr>
      <w:tr>
        <w:trPr>
          <w:trHeight w:val="457"/>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(DECREASE)/INCREASE IN CASH, CASH EQUIVALENTS AND RESTRICTED CASH</w:t>
            </w: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(1,093)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223</w:t>
            </w:r>
          </w:p>
        </w:tc>
      </w:tr>
      <w:tr>
        <w:trPr>
          <w:trHeight w:val="248"/>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Effect of exchange rate changes on cash, cash equivalents and restricted cash</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202</w:t>
            </w:r>
          </w:p>
        </w:tc>
      </w:tr>
      <w:tr>
        <w:trPr>
          <w:trHeight w:val="291"/>
        </w:trPr>
        <w:tc>
          <w:tcPr>
            <w:tcW w:w="8220" w:type="dxa"/>
            <w:vAlign w:val="bottom"/>
          </w:tcPr>
          <w:p>
            <w:pPr>
              <w:spacing w:after="0" w:line="292" w:lineRule="exact"/>
              <w:rPr>
                <w:sz w:val="20"/>
                <w:szCs w:val="20"/>
                <w:color w:val="auto"/>
              </w:rPr>
            </w:pPr>
            <w:r>
              <w:rPr>
                <w:rFonts w:ascii="Times New Roman" w:cs="Times New Roman" w:eastAsia="Times New Roman" w:hAnsi="Times New Roman"/>
                <w:sz w:val="19"/>
                <w:szCs w:val="19"/>
                <w:color w:val="auto"/>
              </w:rPr>
              <w:t xml:space="preserve">CASH, CASH EQUIVALENTS AND RESTRICTED CASH, BEGINNING OF PERIOD </w:t>
            </w:r>
            <w:r>
              <w:rPr>
                <w:rFonts w:ascii="Times New Roman" w:cs="Times New Roman" w:eastAsia="Times New Roman" w:hAnsi="Times New Roman"/>
                <w:sz w:val="31"/>
                <w:szCs w:val="31"/>
                <w:color w:val="auto"/>
                <w:vertAlign w:val="superscript"/>
              </w:rPr>
              <w:t>(i)</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6,487</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4,998</w:t>
            </w:r>
          </w:p>
        </w:tc>
      </w:tr>
      <w:tr>
        <w:trPr>
          <w:trHeight w:val="243"/>
        </w:trPr>
        <w:tc>
          <w:tcPr>
            <w:tcW w:w="82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8"/>
                <w:szCs w:val="28"/>
                <w:color w:val="auto"/>
                <w:vertAlign w:val="superscript"/>
              </w:rPr>
              <w:t>(i)</w:t>
            </w:r>
          </w:p>
        </w:tc>
        <w:tc>
          <w:tcPr>
            <w:tcW w:w="48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5,356</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9"/>
                <w:szCs w:val="19"/>
                <w:color w:val="auto"/>
                <w:w w:val="83"/>
              </w:rPr>
              <w:t>$</w:t>
            </w:r>
          </w:p>
        </w:tc>
        <w:tc>
          <w:tcPr>
            <w:tcW w:w="98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5,423</w:t>
            </w:r>
          </w:p>
        </w:tc>
      </w:tr>
      <w:tr>
        <w:trPr>
          <w:trHeight w:val="20"/>
        </w:trPr>
        <w:tc>
          <w:tcPr>
            <w:tcW w:w="8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9"/>
          <w:szCs w:val="19"/>
          <w:color w:val="auto"/>
        </w:rPr>
        <w:t>__________</w:t>
      </w:r>
    </w:p>
    <w:p>
      <w:pPr>
        <w:spacing w:after="0" w:line="19" w:lineRule="exact"/>
        <w:rPr>
          <w:sz w:val="20"/>
          <w:szCs w:val="20"/>
          <w:color w:val="auto"/>
        </w:rPr>
      </w:pPr>
    </w:p>
    <w:p>
      <w:pPr>
        <w:ind w:left="4" w:right="80" w:hanging="4"/>
        <w:spacing w:after="0" w:line="241" w:lineRule="auto"/>
        <w:tabs>
          <w:tab w:leader="none" w:pos="280"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the Supplemental Disclosure of Cash Flow Information section.</w:t>
      </w:r>
    </w:p>
    <w:p>
      <w:pPr>
        <w:spacing w:after="0" w:line="154" w:lineRule="exact"/>
        <w:rPr>
          <w:sz w:val="20"/>
          <w:szCs w:val="20"/>
          <w:color w:val="auto"/>
        </w:rPr>
      </w:pPr>
    </w:p>
    <w:p>
      <w:pPr>
        <w:ind w:left="4" w:right="5440"/>
        <w:spacing w:after="0" w:line="273" w:lineRule="auto"/>
        <w:rPr>
          <w:sz w:val="20"/>
          <w:szCs w:val="20"/>
          <w:color w:val="auto"/>
        </w:rPr>
      </w:pPr>
      <w:r>
        <w:rPr>
          <w:rFonts w:ascii="Times New Roman" w:cs="Times New Roman" w:eastAsia="Times New Roman" w:hAnsi="Times New Roman"/>
          <w:sz w:val="19"/>
          <w:szCs w:val="19"/>
          <w:b w:val="1"/>
          <w:bCs w:val="1"/>
          <w:color w:val="auto"/>
        </w:rPr>
        <w:t xml:space="preserve">SUPPLEMENTAL DISCLOSURE OF CASH FLOW INFORMATION </w:t>
      </w:r>
      <w:r>
        <w:rPr>
          <w:rFonts w:ascii="Times New Roman" w:cs="Times New Roman" w:eastAsia="Times New Roman" w:hAnsi="Times New Roman"/>
          <w:sz w:val="19"/>
          <w:szCs w:val="19"/>
          <w:color w:val="auto"/>
        </w:rPr>
        <w:t>(In millions of U.S. dollars)</w:t>
      </w:r>
    </w:p>
    <w:p>
      <w:pPr>
        <w:spacing w:after="0" w:line="138" w:lineRule="exact"/>
        <w:rPr>
          <w:sz w:val="20"/>
          <w:szCs w:val="20"/>
          <w:color w:val="auto"/>
        </w:rPr>
      </w:pPr>
    </w:p>
    <w:p>
      <w:pPr>
        <w:ind w:left="8944"/>
        <w:spacing w:after="0"/>
        <w:rPr>
          <w:sz w:val="20"/>
          <w:szCs w:val="20"/>
          <w:color w:val="auto"/>
        </w:rPr>
      </w:pPr>
      <w:r>
        <w:rPr>
          <w:rFonts w:ascii="Times New Roman" w:cs="Times New Roman" w:eastAsia="Times New Roman" w:hAnsi="Times New Roman"/>
          <w:sz w:val="19"/>
          <w:szCs w:val="19"/>
          <w:color w:val="auto"/>
        </w:rPr>
        <w:t>Nine Months Ended</w:t>
      </w:r>
    </w:p>
    <w:p>
      <w:pPr>
        <w:spacing w:after="0" w:line="19" w:lineRule="exact"/>
        <w:rPr>
          <w:sz w:val="20"/>
          <w:szCs w:val="20"/>
          <w:color w:val="auto"/>
        </w:rPr>
      </w:pPr>
    </w:p>
    <w:p>
      <w:pPr>
        <w:ind w:left="9184"/>
        <w:spacing w:after="0"/>
        <w:rPr>
          <w:sz w:val="20"/>
          <w:szCs w:val="20"/>
          <w:color w:val="auto"/>
        </w:rPr>
      </w:pPr>
      <w:r>
        <w:rPr>
          <w:rFonts w:ascii="Times New Roman" w:cs="Times New Roman" w:eastAsia="Times New Roman" w:hAnsi="Times New Roman"/>
          <w:sz w:val="19"/>
          <w:szCs w:val="19"/>
          <w:color w:val="auto"/>
        </w:rPr>
        <w:t>September 30,</w:t>
      </w:r>
    </w:p>
    <w:p>
      <w:pPr>
        <w:spacing w:after="0" w:line="10" w:lineRule="exact"/>
        <w:rPr>
          <w:sz w:val="20"/>
          <w:szCs w:val="20"/>
          <w:color w:val="auto"/>
        </w:rPr>
      </w:pPr>
    </w:p>
    <w:tbl>
      <w:tblPr>
        <w:tblLayout w:type="fixed"/>
        <w:tblInd w:w="4" w:type="dxa"/>
        <w:tblCellMar>
          <w:top w:w="0" w:type="dxa"/>
          <w:left w:w="0" w:type="dxa"/>
          <w:bottom w:w="0" w:type="dxa"/>
          <w:right w:w="0" w:type="dxa"/>
        </w:tblCellMar>
      </w:tblPr>
      <w:tr>
        <w:trPr>
          <w:trHeight w:val="241"/>
        </w:trPr>
        <w:tc>
          <w:tcPr>
            <w:tcW w:w="8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2026</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44"/>
              <w:spacing w:after="0"/>
              <w:rPr>
                <w:sz w:val="20"/>
                <w:szCs w:val="20"/>
                <w:color w:val="auto"/>
              </w:rPr>
            </w:pPr>
            <w:r>
              <w:rPr>
                <w:rFonts w:ascii="Times New Roman" w:cs="Times New Roman" w:eastAsia="Times New Roman" w:hAnsi="Times New Roman"/>
                <w:sz w:val="19"/>
                <w:szCs w:val="19"/>
                <w:color w:val="auto"/>
              </w:rPr>
              <w:t>2025</w:t>
            </w:r>
          </w:p>
        </w:tc>
      </w:tr>
      <w:tr>
        <w:trPr>
          <w:trHeight w:val="457"/>
        </w:trPr>
        <w:tc>
          <w:tcPr>
            <w:tcW w:w="8220" w:type="dxa"/>
            <w:vAlign w:val="bottom"/>
          </w:tcPr>
          <w:p>
            <w:pPr>
              <w:spacing w:after="0"/>
              <w:rPr>
                <w:sz w:val="20"/>
                <w:szCs w:val="20"/>
                <w:color w:val="auto"/>
              </w:rPr>
            </w:pPr>
            <w:r>
              <w:rPr>
                <w:rFonts w:ascii="Times New Roman" w:cs="Times New Roman" w:eastAsia="Times New Roman" w:hAnsi="Times New Roman"/>
                <w:sz w:val="19"/>
                <w:szCs w:val="19"/>
                <w:color w:val="auto"/>
              </w:rPr>
              <w:t>Supplemental disclosures of cash flow information:</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9"/>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Cash and cash equivalents</w:t>
            </w: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1,946</w:t>
            </w:r>
          </w:p>
        </w:tc>
        <w:tc>
          <w:tcPr>
            <w:tcW w:w="120" w:type="dxa"/>
            <w:vAlign w:val="bottom"/>
          </w:tcPr>
          <w:p>
            <w:pPr>
              <w:spacing w:after="0"/>
              <w:rPr>
                <w:sz w:val="20"/>
                <w:szCs w:val="20"/>
                <w:color w:val="auto"/>
              </w:rPr>
            </w:pP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1,895</w:t>
            </w:r>
          </w:p>
        </w:tc>
      </w:tr>
      <w:tr>
        <w:trPr>
          <w:trHeight w:val="251"/>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Fiduciary funds (included in fiduciary assets)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3,410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3,528</w:t>
            </w:r>
          </w:p>
        </w:tc>
      </w:tr>
      <w:tr>
        <w:trPr>
          <w:trHeight w:val="232"/>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Total cash, cash equivalents and restricted cash</w:t>
            </w: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5,356</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5,423</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53"/>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Decrease in cash, cash equivalents and other restricted cash</w:t>
            </w:r>
          </w:p>
        </w:tc>
        <w:tc>
          <w:tcPr>
            <w:tcW w:w="34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(1,161)</w:t>
            </w:r>
          </w:p>
        </w:tc>
        <w:tc>
          <w:tcPr>
            <w:tcW w:w="120" w:type="dxa"/>
            <w:vAlign w:val="bottom"/>
          </w:tcPr>
          <w:p>
            <w:pPr>
              <w:spacing w:after="0"/>
              <w:rPr>
                <w:sz w:val="24"/>
                <w:szCs w:val="24"/>
                <w:color w:val="auto"/>
              </w:rPr>
            </w:pPr>
          </w:p>
        </w:tc>
        <w:tc>
          <w:tcPr>
            <w:tcW w:w="320" w:type="dxa"/>
            <w:vAlign w:val="bottom"/>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w:t>
            </w:r>
          </w:p>
        </w:tc>
      </w:tr>
      <w:tr>
        <w:trPr>
          <w:trHeight w:val="250"/>
        </w:trPr>
        <w:tc>
          <w:tcPr>
            <w:tcW w:w="822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Increase in fiduciary funds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68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289</w:t>
            </w:r>
          </w:p>
        </w:tc>
      </w:tr>
      <w:tr>
        <w:trPr>
          <w:trHeight w:val="245"/>
        </w:trPr>
        <w:tc>
          <w:tcPr>
            <w:tcW w:w="8220" w:type="dxa"/>
            <w:vAlign w:val="bottom"/>
          </w:tcPr>
          <w:p>
            <w:pPr>
              <w:ind w:left="120"/>
              <w:spacing w:after="0" w:line="245" w:lineRule="exact"/>
              <w:rPr>
                <w:sz w:val="20"/>
                <w:szCs w:val="20"/>
                <w:color w:val="auto"/>
              </w:rPr>
            </w:pPr>
            <w:r>
              <w:rPr>
                <w:rFonts w:ascii="Times New Roman" w:cs="Times New Roman" w:eastAsia="Times New Roman" w:hAnsi="Times New Roman"/>
                <w:sz w:val="18"/>
                <w:szCs w:val="18"/>
                <w:color w:val="auto"/>
              </w:rPr>
              <w:t xml:space="preserve">Total </w:t>
            </w:r>
            <w:r>
              <w:rPr>
                <w:rFonts w:ascii="Times New Roman" w:cs="Times New Roman" w:eastAsia="Times New Roman" w:hAnsi="Times New Roman"/>
                <w:sz w:val="28"/>
                <w:szCs w:val="28"/>
                <w:color w:val="auto"/>
                <w:vertAlign w:val="superscript"/>
              </w:rPr>
              <w:t>(i)</w:t>
            </w:r>
          </w:p>
        </w:tc>
        <w:tc>
          <w:tcPr>
            <w:tcW w:w="3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(1,093)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9"/>
                <w:szCs w:val="19"/>
                <w:color w:val="auto"/>
                <w:w w:val="83"/>
              </w:rPr>
              <w:t>$</w:t>
            </w:r>
          </w:p>
        </w:tc>
        <w:tc>
          <w:tcPr>
            <w:tcW w:w="1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9"/>
                <w:szCs w:val="19"/>
                <w:color w:val="auto"/>
              </w:rPr>
              <w:t>223</w:t>
            </w:r>
          </w:p>
        </w:tc>
      </w:tr>
      <w:tr>
        <w:trPr>
          <w:trHeight w:val="20"/>
        </w:trPr>
        <w:tc>
          <w:tcPr>
            <w:tcW w:w="8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70" w:lineRule="exact"/>
        <w:rPr>
          <w:sz w:val="20"/>
          <w:szCs w:val="20"/>
          <w:color w:val="auto"/>
        </w:rPr>
      </w:pPr>
    </w:p>
    <w:p>
      <w:pPr>
        <w:ind w:left="184" w:hanging="184"/>
        <w:spacing w:after="0"/>
        <w:tabs>
          <w:tab w:leader="none" w:pos="184" w:val="left"/>
        </w:tabs>
        <w:numPr>
          <w:ilvl w:val="0"/>
          <w:numId w:val="1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Does not include the effect of exchange rate changes on cash, cash equivalents and restricted cash.</w:t>
      </w:r>
    </w:p>
    <w:p>
      <w:pPr>
        <w:sectPr>
          <w:pgSz w:w="11900" w:h="16838" w:orient="portrait"/>
          <w:cols w:equalWidth="0" w:num="1">
            <w:col w:w="11264"/>
          </w:cols>
          <w:pgMar w:left="316" w:top="126" w:right="319" w:bottom="1067" w:gutter="0" w:footer="0" w:header="0"/>
        </w:sectPr>
      </w:pPr>
    </w:p>
    <w:bookmarkStart w:id="16" w:name="page17"/>
    <w:bookmarkEnd w:id="16"/>
    <w:p>
      <w:pPr>
        <w:ind w:left="9140"/>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152400</wp:posOffset>
            </wp:positionV>
            <wp:extent cx="7203440" cy="2678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2678430"/>
                    </a:xfrm>
                    <a:prstGeom prst="rect">
                      <a:avLst/>
                    </a:prstGeom>
                    <a:noFill/>
                  </pic:spPr>
                </pic:pic>
              </a:graphicData>
            </a:graphic>
          </wp:anchor>
        </w:drawing>
      </w:r>
    </w:p>
    <w:p>
      <w:pPr>
        <w:sectPr>
          <w:pgSz w:w="11900" w:h="16838" w:orient="portrait"/>
          <w:cols w:equalWidth="0" w:num="1">
            <w:col w:w="10140"/>
          </w:cols>
          <w:pgMar w:left="1440" w:top="111" w:right="319" w:bottom="1440"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7165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8195" cy="2716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7148195" cy="26784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2678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4"/>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1"/>
      <w:numFmt w:val="lowerRoman"/>
      <w:start w:val="1"/>
    </w:lvl>
    <w:lvl w:ilvl="1">
      <w:lvlJc w:val="left"/>
      <w:lvlText w:val="(%2)"/>
      <w:numFmt w:val="lowerRoman"/>
      <w:start w:val="1"/>
    </w:lvl>
  </w:abstractNum>
  <w:abstractNum w:abstractNumId="6">
    <w:nsid w:val="12200854"/>
    <w:multiLevelType w:val="hybridMultilevel"/>
    <w:lvl w:ilvl="0">
      <w:lvlJc w:val="left"/>
      <w:lvlText w:val="(%1)"/>
      <w:numFmt w:val="lowerRoman"/>
      <w:start w:val="3"/>
    </w:lvl>
    <w:lvl w:ilvl="1">
      <w:lvlJc w:val="left"/>
      <w:lvlText w:val="%2"/>
      <w:numFmt w:val="lowerRoman"/>
      <w:start w:val="1"/>
    </w:lvl>
  </w:abstractNum>
  <w:abstractNum w:abstractNumId="7">
    <w:nsid w:val="4DB127F8"/>
    <w:multiLevelType w:val="hybridMultilevel"/>
    <w:lvl w:ilvl="0">
      <w:lvlJc w:val="left"/>
      <w:lvlText w:val="(%1)"/>
      <w:numFmt w:val="lowerRoman"/>
      <w:start w:val="1"/>
    </w:lvl>
  </w:abstractNum>
  <w:abstractNum w:abstractNumId="8">
    <w:nsid w:val="216231B"/>
    <w:multiLevelType w:val="hybridMultilevel"/>
    <w:lvl w:ilvl="0">
      <w:lvlJc w:val="left"/>
      <w:lvlText w:val="(%1)"/>
      <w:numFmt w:val="lowerRoman"/>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2026-10-29T05:14:13Z</dcterms:created>
  <dcterms:modified xsi:type="dcterms:W3CDTF">2026-10-29T05:14:13Z</dcterms:modified>
</cp:coreProperties>
</file>