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Clarke Lucy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WILLIS GROUP LIMITED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LIME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7DQ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WILLIS TOWERS WATSON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Risk &amp; Broking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1"/>
        <w:gridCol w:w="900"/>
        <w:gridCol w:w="772"/>
        <w:gridCol w:w="597"/>
        <w:gridCol w:w="335"/>
        <w:gridCol w:w="755"/>
        <w:gridCol w:w="419"/>
        <w:gridCol w:w="829"/>
        <w:gridCol w:w="1327"/>
        <w:gridCol w:w="953"/>
        <w:gridCol w:w="90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nominal value $0.000304635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288.23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20,871.987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by Issuer incident to the tax payment related to the vesting and settlement of restricted share units granted on October 1,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Lucy Clarke by Gary Pang, Attorney-in-Fact (power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612" TargetMode="External"/><Relationship Id="rId5" Type="http://schemas.openxmlformats.org/officeDocument/2006/relationships/hyperlink" Target="http://www.sec.gov/cgi-bin/browse-edgar?action=getcompany&amp;CIK=000114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3314</Characters>
  <CharactersWithSpaces>3856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