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-228600</wp:posOffset>
            </wp:positionV>
            <wp:extent cx="285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6"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-20320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114300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259715</wp:posOffset>
            </wp:positionV>
            <wp:extent cx="120015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94615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8"/>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2"/>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90"/>
        </w:trPr>
        <w:tc>
          <w:tcPr>
            <w:tcW w:w="4400" w:type="dxa"/>
            <w:vAlign w:val="bottom"/>
            <w:gridSpan w:val="2"/>
          </w:tcPr>
          <w:p>
            <w:pPr>
              <w:jc w:val="center"/>
              <w:ind w:left="106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4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90"/>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57"/>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2"/>
                <w:szCs w:val="22"/>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4"/>
                <w:szCs w:val="14"/>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4"/>
                <w:szCs w:val="14"/>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ectPr>
          <w:pgSz w:w="11900" w:h="16838" w:orient="portrait"/>
          <w:cols w:equalWidth="0" w:num="8">
            <w:col w:w="1640" w:space="720"/>
            <w:col w:w="200" w:space="720"/>
            <w:col w:w="960" w:space="460"/>
            <w:col w:w="280" w:space="680"/>
            <w:col w:w="1220" w:space="620"/>
            <w:col w:w="400" w:space="720"/>
            <w:col w:w="1640" w:space="720"/>
            <w:col w:w="260"/>
          </w:cols>
          <w:pgMar w:left="320" w:top="1245" w:right="33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6" w:lineRule="exact"/>
        <w:rPr>
          <w:sz w:val="24"/>
          <w:szCs w:val="24"/>
          <w:color w:val="auto"/>
        </w:rPr>
      </w:pPr>
    </w:p>
    <w:p>
      <w:pPr>
        <w:sectPr>
          <w:pgSz w:w="11900" w:h="16838" w:orient="portrait"/>
          <w:cols w:equalWidth="0" w:num="2">
            <w:col w:w="1640" w:space="720"/>
            <w:col w:w="8880"/>
          </w:cols>
          <w:pgMar w:left="320" w:top="1245" w:right="339" w:bottom="1440" w:gutter="0" w:footer="0" w:header="0"/>
          <w:type w:val="continuous"/>
        </w:sect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right="3360"/>
        <w:spacing w:after="0" w:line="25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April 27, 2026, there were outstanding 94,447,976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For the Three Months Ended March 31, 2026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106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Certain Definitions</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640" w:type="dxa"/>
            <w:vAlign w:val="bottom"/>
            <w:gridSpan w:val="22"/>
            <w:vMerge w:val="continue"/>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06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6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 (Unaudited)</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 Three Months Ended March 31, 2026 and 2025</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 March 31, 2026 and December 31, 2025</w:t>
            </w:r>
          </w:p>
        </w:tc>
        <w:tc>
          <w:tcPr>
            <w:tcW w:w="20" w:type="dxa"/>
            <w:vAlign w:val="bottom"/>
            <w:tcBorders>
              <w:top w:val="single" w:sz="8" w:color="0000FF"/>
              <w:bottom w:val="single" w:sz="8" w:color="0000EE"/>
            </w:tcBorders>
          </w:tcPr>
          <w:p>
            <w:pPr>
              <w:spacing w:after="0"/>
              <w:rPr>
                <w:sz w:val="17"/>
                <w:szCs w:val="17"/>
                <w:color w:val="auto"/>
              </w:rPr>
            </w:pPr>
          </w:p>
        </w:tc>
        <w:tc>
          <w:tcPr>
            <w:tcW w:w="2120" w:type="dxa"/>
            <w:vAlign w:val="bottom"/>
            <w:tcBorders>
              <w:top w:val="single" w:sz="8" w:color="0000FF"/>
            </w:tcBorders>
            <w:gridSpan w:val="4"/>
          </w:tcPr>
          <w:p>
            <w:pPr>
              <w:spacing w:after="0"/>
              <w:rPr>
                <w:sz w:val="17"/>
                <w:szCs w:val="17"/>
                <w:color w:val="auto"/>
              </w:rPr>
            </w:pPr>
          </w:p>
        </w:tc>
        <w:tc>
          <w:tcPr>
            <w:tcW w:w="21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 Three Months Ended March 31, 2026 and 2025</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Equity - Three Months Ended March 31, 2026 and 2025</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3480" w:type="dxa"/>
            <w:vAlign w:val="bottom"/>
            <w:tcBorders>
              <w:top w:val="single" w:sz="8" w:color="0000FF"/>
            </w:tcBorders>
            <w:gridSpan w:val="6"/>
          </w:tcPr>
          <w:p>
            <w:pPr>
              <w:spacing w:after="0"/>
              <w:rPr>
                <w:sz w:val="17"/>
                <w:szCs w:val="17"/>
                <w:color w:val="auto"/>
              </w:rPr>
            </w:pPr>
          </w:p>
        </w:tc>
        <w:tc>
          <w:tcPr>
            <w:tcW w:w="250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02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86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Signatures</w:t>
            </w:r>
          </w:p>
        </w:tc>
        <w:tc>
          <w:tcPr>
            <w:tcW w:w="9880" w:type="dxa"/>
            <w:vAlign w:val="bottom"/>
            <w:gridSpan w:val="19"/>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628"/>
        </w:trPr>
        <w:tc>
          <w:tcPr>
            <w:tcW w:w="6420" w:type="dxa"/>
            <w:vAlign w:val="bottom"/>
            <w:gridSpan w:val="17"/>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ectPr>
          <w:pgSz w:w="11900" w:h="16838" w:orient="portrait"/>
          <w:cols w:equalWidth="0" w:num="1">
            <w:col w:w="11240"/>
          </w:cols>
          <w:pgMar w:left="320" w:top="981" w:right="339" w:bottom="1440" w:gutter="0" w:footer="0" w:header="0"/>
        </w:sectPr>
      </w:pPr>
    </w:p>
    <w:p>
      <w:pPr>
        <w:spacing w:after="0" w:line="252"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‘We’, ‘Us’, ‘Company’, ‘Willis Towers Watson’, ‘Our’, ‘Willis Towers Watson plc’ or ‘WTW’</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6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67" w:lineRule="exact"/>
        <w:rPr>
          <w:sz w:val="20"/>
          <w:szCs w:val="20"/>
          <w:color w:val="auto"/>
        </w:rPr>
      </w:pPr>
    </w:p>
    <w:p>
      <w:pPr>
        <w:sectPr>
          <w:pgSz w:w="11900" w:h="16838" w:orient="portrait"/>
          <w:cols w:equalWidth="0" w:num="2">
            <w:col w:w="4100" w:space="440"/>
            <w:col w:w="670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38"/>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‘U.K.’</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46"/>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‘E.U.’</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3020" w:type="dxa"/>
            <w:vAlign w:val="bottom"/>
          </w:tcPr>
          <w:p>
            <w:pPr>
              <w:spacing w:after="0"/>
              <w:rPr>
                <w:sz w:val="20"/>
                <w:szCs w:val="20"/>
                <w:color w:val="auto"/>
              </w:rPr>
            </w:pP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38"/>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 GAAP’</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36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‘FASB’</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36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‘ASC’</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365"/>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‘ASU’</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364"/>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‘SEC’</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05"/>
        </w:trPr>
        <w:tc>
          <w:tcPr>
            <w:tcW w:w="3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‘EBITDA’</w:t>
            </w:r>
          </w:p>
        </w:tc>
        <w:tc>
          <w:tcPr>
            <w:tcW w:w="82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797"/>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3</w:t>
            </w:r>
          </w:p>
        </w:tc>
      </w:tr>
      <w:tr>
        <w:trPr>
          <w:trHeight w:val="763"/>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or certain considerations relating to our future results.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the impact of macroeconomic trends, including inflation, changes in interest rates, trade policies and other geopolitical risks; future capital expenditures; ongoing working capital efforts; future share repurchases; financial results (including our revenue, costs or margins) and the impact of changes to tax laws on our financial results; existing and evolving business strategies; our indebtedness; our ability to execute strategic transactions, including both acquisitions and dispositions, including our ability to receive adequate consideration or any earnout proceeds in return for any dispositions or integrate or manage acquired businesses (such as our recent acquisition of Newfront Insurance Holdings, Inc. and our planned acquisition of Cushon) or effect internal reorganizations; demand for our services and competitive strengths; strategic goals; the benefits of new initiatives or investments in technology;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cybersecurity and privacy processes; our application of artificial intelligence technologies throughout our business; our ability to protect our intellectual property; our compliance with laws and regulations; risks associated with being an Irish-incorporated company;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income,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including with respect to our cash flow generation, the timing with respect to such achievement and how such achievement may be impacted by any of the risks or uncertainties set forth herein or elsewhere;</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changes in trade policies, increased tariffs and retaliatory actions;</w:t>
      </w:r>
    </w:p>
    <w:p>
      <w:pPr>
        <w:spacing w:after="0" w:line="53"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including our ability to integrate or manage acquired businesses or carve-out businesses to be disposed, as well as our ability to identify and successfully execute on opportunities for strategic collaboration;</w:t>
      </w:r>
    </w:p>
    <w:p>
      <w:pPr>
        <w:spacing w:after="0" w:line="53"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those relating to changes in trade policies and tariffs, as well as political events, war, such as the Russia-Ukraine war and conflict in the Middle East,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17"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380" w:right="10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53" w:lineRule="exact"/>
        <w:rPr>
          <w:rFonts w:ascii="Times New Roman" w:cs="Times New Roman" w:eastAsia="Times New Roman" w:hAnsi="Times New Roman"/>
          <w:sz w:val="18"/>
          <w:szCs w:val="18"/>
          <w:color w:val="auto"/>
        </w:rPr>
      </w:pPr>
    </w:p>
    <w:p>
      <w:pPr>
        <w:ind w:left="380" w:right="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artificial intelligence and other technology, data and analytics solutions, including through the use of artificial intelligence, for internal operations, maintaining industry standards, meeting client preferences and gaining competitive advantage, among other things;</w:t>
      </w:r>
    </w:p>
    <w:p>
      <w:pPr>
        <w:spacing w:after="0" w:line="67" w:lineRule="exact"/>
        <w:rPr>
          <w:rFonts w:ascii="Times New Roman" w:cs="Times New Roman" w:eastAsia="Times New Roman" w:hAnsi="Times New Roman"/>
          <w:sz w:val="18"/>
          <w:szCs w:val="18"/>
          <w:color w:val="auto"/>
        </w:rPr>
      </w:pPr>
    </w:p>
    <w:p>
      <w:pPr>
        <w:ind w:left="380" w:right="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or relating to our operations, products and/or services, and expectations, intentions and outcomes relating to outstanding litigation;</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or potential future litigation or investigation matters;</w:t>
      </w:r>
    </w:p>
    <w:p>
      <w:pPr>
        <w:spacing w:after="0" w:line="11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7" w:lineRule="exact"/>
        <w:rPr>
          <w:rFonts w:ascii="Times New Roman" w:cs="Times New Roman" w:eastAsia="Times New Roman" w:hAnsi="Times New Roman"/>
          <w:sz w:val="18"/>
          <w:szCs w:val="18"/>
          <w:color w:val="auto"/>
        </w:rPr>
      </w:pPr>
    </w:p>
    <w:p>
      <w:pPr>
        <w:ind w:left="380" w:right="4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regulatory claims, government inquiries or investigations or the potential for regulatory action in various jurisdictions where we operate around the world;</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7" w:lineRule="exact"/>
        <w:rPr>
          <w:rFonts w:ascii="Times New Roman" w:cs="Times New Roman" w:eastAsia="Times New Roman" w:hAnsi="Times New Roman"/>
          <w:sz w:val="18"/>
          <w:szCs w:val="18"/>
          <w:color w:val="auto"/>
        </w:rPr>
      </w:pPr>
    </w:p>
    <w:p>
      <w:pPr>
        <w:ind w:left="380" w:right="1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organizational changes, including as a result of our investments in improving systems and processes or other initiatives, and in connection with our acquisition and divestiture activities;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7" w:lineRule="exact"/>
        <w:rPr>
          <w:rFonts w:ascii="Times New Roman" w:cs="Times New Roman" w:eastAsia="Times New Roman" w:hAnsi="Times New Roman"/>
          <w:sz w:val="18"/>
          <w:szCs w:val="18"/>
          <w:color w:val="auto"/>
        </w:rPr>
      </w:pPr>
    </w:p>
    <w:p>
      <w:pPr>
        <w:ind w:left="380" w:right="1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free cash flow through enhanced billing, collection and other working capital efforts;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key employees and maintain an appropriate number of employees;</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7" w:lineRule="exact"/>
        <w:rPr>
          <w:rFonts w:ascii="Times New Roman" w:cs="Times New Roman" w:eastAsia="Times New Roman" w:hAnsi="Times New Roman"/>
          <w:sz w:val="18"/>
          <w:szCs w:val="18"/>
          <w:color w:val="auto"/>
        </w:rPr>
      </w:pPr>
    </w:p>
    <w:p>
      <w:pPr>
        <w:ind w:left="380" w:right="16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global trade policies and retaliatory considerations as well as foreign currency exchange rates;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and related counter-sanctions;</w:t>
      </w:r>
    </w:p>
    <w:p>
      <w:pPr>
        <w:spacing w:after="0" w:line="117" w:lineRule="exact"/>
        <w:rPr>
          <w:rFonts w:ascii="Times New Roman" w:cs="Times New Roman" w:eastAsia="Times New Roman" w:hAnsi="Times New Roman"/>
          <w:sz w:val="18"/>
          <w:szCs w:val="18"/>
          <w:color w:val="auto"/>
        </w:rPr>
      </w:pPr>
    </w:p>
    <w:p>
      <w:pPr>
        <w:ind w:left="380" w:right="24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and any other changes and developments in legal, regulatory, economic, business or operational conditions that could impact our businesses;</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7" w:lineRule="exact"/>
        <w:rPr>
          <w:rFonts w:ascii="Times New Roman" w:cs="Times New Roman" w:eastAsia="Times New Roman" w:hAnsi="Times New Roman"/>
          <w:sz w:val="18"/>
          <w:szCs w:val="18"/>
          <w:color w:val="auto"/>
        </w:rPr>
      </w:pPr>
    </w:p>
    <w:p>
      <w:pPr>
        <w:ind w:left="380" w:right="20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capital structure, including indebtedness amounts, the limitations imposed by the covenants in the documents governing such indebtedness and the maintenance of the financial and disclosure controls and procedures of each;</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17"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7" w:lineRule="exact"/>
        <w:rPr>
          <w:rFonts w:ascii="Times New Roman" w:cs="Times New Roman" w:eastAsia="Times New Roman" w:hAnsi="Times New Roman"/>
          <w:sz w:val="18"/>
          <w:szCs w:val="18"/>
          <w:color w:val="auto"/>
        </w:rPr>
      </w:pPr>
    </w:p>
    <w:p>
      <w:pPr>
        <w:ind w:left="380" w:right="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applicable U.S. state, federal and/or foreign laws, rules and regulations, recent judicial decisions and case law developments, and any other relevant policy changes and legislative actions, including the</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3" w:right="359" w:bottom="1440" w:gutter="0" w:footer="0" w:header="0"/>
        </w:sectPr>
      </w:pPr>
    </w:p>
    <w:bookmarkStart w:id="5" w:name="page6"/>
    <w:bookmarkEnd w:id="5"/>
    <w:p>
      <w:pPr>
        <w:ind w:left="760"/>
        <w:spacing w:after="0" w:line="282" w:lineRule="auto"/>
        <w:rPr>
          <w:sz w:val="20"/>
          <w:szCs w:val="20"/>
          <w:color w:val="auto"/>
        </w:rPr>
      </w:pPr>
      <w:r>
        <w:rPr>
          <w:rFonts w:ascii="Times New Roman" w:cs="Times New Roman" w:eastAsia="Times New Roman" w:hAnsi="Times New Roman"/>
          <w:sz w:val="18"/>
          <w:szCs w:val="18"/>
          <w:color w:val="auto"/>
        </w:rPr>
        <w:t>‘Act to provide for reconciliation pursuant to title II of H. Con. Res. 14’ (‘H.R. 1’) signed into law on July 4, 2025, on our business, operations or results;</w:t>
      </w:r>
    </w:p>
    <w:p>
      <w:pPr>
        <w:spacing w:after="0" w:line="54" w:lineRule="exact"/>
        <w:rPr>
          <w:sz w:val="20"/>
          <w:szCs w:val="20"/>
          <w:color w:val="auto"/>
        </w:rPr>
      </w:pPr>
    </w:p>
    <w:p>
      <w:pPr>
        <w:ind w:left="760" w:right="3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in state, federal, and/or foreign tax laws and regulations, including those that may impose additional excise taxes or impact our effective tax rate, including H.R. 1;</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future impairment charges;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market downturns can have a significant impact on investments made across our portfolios;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7"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91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7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2,412</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2,223</w:t>
            </w:r>
          </w:p>
        </w:tc>
      </w:tr>
      <w:tr>
        <w:trPr>
          <w:trHeight w:val="210"/>
        </w:trPr>
        <w:tc>
          <w:tcPr>
            <w:tcW w:w="7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0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7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7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76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1,791</w:t>
            </w:r>
          </w:p>
        </w:tc>
      </w:tr>
      <w:tr>
        <w:trPr>
          <w:trHeight w:val="209"/>
        </w:trPr>
        <w:tc>
          <w:tcPr>
            <w:tcW w:w="7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76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income/(loss), net</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91"/>
        </w:trPr>
        <w:tc>
          <w:tcPr>
            <w:tcW w:w="7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 AND INTEREST IN</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OF ASSOCIATES</w:t>
            </w:r>
          </w:p>
        </w:tc>
        <w:tc>
          <w:tcPr>
            <w:tcW w:w="10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77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191"/>
        </w:trPr>
        <w:tc>
          <w:tcPr>
            <w:tcW w:w="7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INTEREST IN EARNINGS OF</w:t>
            </w: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ASSOCIATES</w:t>
            </w:r>
          </w:p>
        </w:tc>
        <w:tc>
          <w:tcPr>
            <w:tcW w:w="100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77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 in earnings of associates, net of tax</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77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00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r>
      <w:tr>
        <w:trPr>
          <w:trHeight w:val="20"/>
        </w:trPr>
        <w:tc>
          <w:tcPr>
            <w:tcW w:w="7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6"/>
        </w:trPr>
        <w:tc>
          <w:tcPr>
            <w:tcW w:w="7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7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196"/>
        </w:trPr>
        <w:tc>
          <w:tcPr>
            <w:tcW w:w="77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00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2.33</w:t>
            </w:r>
          </w:p>
        </w:tc>
      </w:tr>
      <w:tr>
        <w:trPr>
          <w:trHeight w:val="20"/>
        </w:trPr>
        <w:tc>
          <w:tcPr>
            <w:tcW w:w="7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60" w:type="dxa"/>
            <w:vAlign w:val="bottom"/>
            <w:tcBorders>
              <w:right w:val="single" w:sz="8" w:color="CCEEFF"/>
            </w:tcBorders>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100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776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100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r>
      <w:tr>
        <w:trPr>
          <w:trHeight w:val="20"/>
        </w:trPr>
        <w:tc>
          <w:tcPr>
            <w:tcW w:w="7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-3874135</wp:posOffset>
            </wp:positionV>
            <wp:extent cx="111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-3042285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-2476500</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-2056765</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-1636395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-1353820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-770890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-753745</wp:posOffset>
            </wp:positionV>
            <wp:extent cx="111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7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1,855</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3,132</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Fiduciary assets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10,981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10,445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2,702</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595</w:t>
            </w:r>
          </w:p>
        </w:tc>
      </w:tr>
      <w:tr>
        <w:trPr>
          <w:trHeight w:val="209"/>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16,874</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8,938</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Pension benefits assets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866</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13,552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12,656</w:t>
            </w: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29,637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29,530</w:t>
            </w:r>
          </w:p>
        </w:tc>
      </w:tr>
      <w:tr>
        <w:trPr>
          <w:trHeight w:val="20"/>
        </w:trPr>
        <w:tc>
          <w:tcPr>
            <w:tcW w:w="5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Fiduciary liabilities</w:t>
            </w:r>
          </w:p>
        </w:tc>
        <w:tc>
          <w:tcPr>
            <w:tcW w:w="2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10,981</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10,445</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2,087</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w:t>
            </w:r>
          </w:p>
        </w:tc>
      </w:tr>
      <w:tr>
        <w:trPr>
          <w:trHeight w:val="210"/>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13,547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14,004</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5,756</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246</w:t>
            </w:r>
          </w:p>
        </w:tc>
      </w:tr>
      <w:tr>
        <w:trPr>
          <w:trHeight w:val="210"/>
        </w:trPr>
        <w:tc>
          <w:tcPr>
            <w:tcW w:w="5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8,031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21,478</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11,239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11,106</w:t>
            </w: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0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0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7,976</w:t>
            </w:r>
          </w:p>
        </w:tc>
      </w:tr>
      <w:tr>
        <w:trPr>
          <w:trHeight w:val="216"/>
        </w:trPr>
        <w:tc>
          <w:tcPr>
            <w:tcW w:w="5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2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8,059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8,052</w:t>
            </w:r>
          </w:p>
        </w:tc>
      </w:tr>
      <w:tr>
        <w:trPr>
          <w:trHeight w:val="22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29,637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29,530</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-4516755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-3402330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-1431290</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600" w:hanging="272"/>
        <w:spacing w:after="0" w:line="261"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94,277,914 (2026) and 95,079,835 (2025); Outstanding 94,277,914 (2026) and 95,079,835 (2025) and (b) Preference shares, $0.000115 nominal value; Authorized 1,000,000,000 and Issued none in 2026 and 2025.</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8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total net cash from operating activities: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Net periodic cost of defined benefit pension plans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doubtful receivables from clients</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Benefit from deferred income taxes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foreign exchange (gain)/loss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w:t>
            </w:r>
          </w:p>
        </w:tc>
      </w:tr>
      <w:tr>
        <w:trPr>
          <w:trHeight w:val="198"/>
        </w:trPr>
        <w:tc>
          <w:tcPr>
            <w:tcW w:w="85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8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8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85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 to fixed assets and software</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operations, net of cash acquired</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Contributions to investments in associates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sales/(purchases) of available-for-sale securities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85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IN)/FROM FINANCING ACTIVITIES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Borrowing of other debt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shares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8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proceeds from fiduciary funds held for clients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for employee taxes on withholding shares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5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Dividends paid</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9"/>
        </w:trPr>
        <w:tc>
          <w:tcPr>
            <w:tcW w:w="8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(used in)/from financing activities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85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DECREASE IN CASH, CASH EQUIVALENTS AND RESTRICTED CASH </w:t>
            </w:r>
            <w:r>
              <w:rPr>
                <w:rFonts w:ascii="Times New Roman" w:cs="Times New Roman" w:eastAsia="Times New Roman" w:hAnsi="Times New Roman"/>
                <w:sz w:val="24"/>
                <w:szCs w:val="24"/>
                <w:color w:val="auto"/>
                <w:vertAlign w:val="superscript"/>
              </w:rPr>
              <w:t>(i)</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6,487</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4,998</w:t>
            </w:r>
          </w:p>
        </w:tc>
      </w:tr>
      <w:tr>
        <w:trPr>
          <w:trHeight w:val="210"/>
        </w:trPr>
        <w:tc>
          <w:tcPr>
            <w:tcW w:w="856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5,405</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4,983</w:t>
            </w:r>
          </w:p>
        </w:tc>
      </w:tr>
      <w:tr>
        <w:trPr>
          <w:trHeight w:val="20"/>
        </w:trPr>
        <w:tc>
          <w:tcPr>
            <w:tcW w:w="8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-2682240</wp:posOffset>
            </wp:positionV>
            <wp:extent cx="111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-1842770</wp:posOffset>
            </wp:positionV>
            <wp:extent cx="111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-736600</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180" w:hanging="272"/>
        <w:spacing w:after="0" w:line="284"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78"/>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38"/>
              <w:spacing w:after="0" w:line="135" w:lineRule="exact"/>
              <w:rPr>
                <w:sz w:val="20"/>
                <w:szCs w:val="20"/>
                <w:color w:val="auto"/>
              </w:rPr>
            </w:pPr>
            <w:r>
              <w:rPr>
                <w:rFonts w:ascii="Times New Roman" w:cs="Times New Roman" w:eastAsia="Times New Roman" w:hAnsi="Times New Roman"/>
                <w:sz w:val="12"/>
                <w:szCs w:val="12"/>
                <w:b w:val="1"/>
                <w:bCs w:val="1"/>
                <w:color w:val="auto"/>
                <w:w w:val="97"/>
              </w:rPr>
              <w:t>earnings/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Total WTW</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3"/>
          </w:tcPr>
          <w:p>
            <w:pPr>
              <w:jc w:val="right"/>
              <w:ind w:right="77"/>
              <w:spacing w:after="0" w:line="135"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8"/>
              <w:spacing w:after="0" w:line="135" w:lineRule="exact"/>
              <w:rPr>
                <w:sz w:val="20"/>
                <w:szCs w:val="20"/>
                <w:color w:val="auto"/>
              </w:rPr>
            </w:pPr>
            <w:r>
              <w:rPr>
                <w:rFonts w:ascii="Times New Roman" w:cs="Times New Roman" w:eastAsia="Times New Roman" w:hAnsi="Times New Roman"/>
                <w:sz w:val="12"/>
                <w:szCs w:val="12"/>
                <w:b w:val="1"/>
                <w:bCs w:val="1"/>
                <w:color w:val="auto"/>
                <w:w w:val="95"/>
              </w:rPr>
              <w:t>(accumulated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shareholders’</w:t>
            </w:r>
          </w:p>
        </w:tc>
        <w:tc>
          <w:tcPr>
            <w:tcW w:w="120" w:type="dxa"/>
            <w:vAlign w:val="bottom"/>
          </w:tcPr>
          <w:p>
            <w:pPr>
              <w:spacing w:after="0"/>
              <w:rPr>
                <w:sz w:val="11"/>
                <w:szCs w:val="11"/>
                <w:color w:val="auto"/>
              </w:rPr>
            </w:pPr>
          </w:p>
        </w:tc>
        <w:tc>
          <w:tcPr>
            <w:tcW w:w="100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2"/>
                <w:szCs w:val="12"/>
                <w:b w:val="1"/>
                <w:bCs w:val="1"/>
                <w:color w:val="auto"/>
                <w:w w:val="95"/>
              </w:rPr>
              <w:t>Shares outstanding</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99,806</w:t>
            </w:r>
          </w:p>
        </w:tc>
        <w:tc>
          <w:tcPr>
            <w:tcW w:w="300" w:type="dxa"/>
            <w:vAlign w:val="bottom"/>
            <w:gridSpan w:val="2"/>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10,989</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109</w:t>
            </w:r>
          </w:p>
        </w:tc>
        <w:tc>
          <w:tcPr>
            <w:tcW w:w="2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(3,158)</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7,940</w:t>
            </w:r>
          </w:p>
        </w:tc>
        <w:tc>
          <w:tcPr>
            <w:tcW w:w="260" w:type="dxa"/>
            <w:vAlign w:val="bottom"/>
            <w:gridSpan w:val="2"/>
            <w:shd w:val="clear" w:color="auto" w:fill="CFF0FC"/>
          </w:tcPr>
          <w:p>
            <w:pPr>
              <w:jc w:val="right"/>
              <w:ind w:right="26"/>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8,017</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(607)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($0.92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108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99,211</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FF0FC"/>
          </w:tcPr>
          <w:p>
            <w:pPr>
              <w:jc w:val="right"/>
              <w:ind w:right="77"/>
              <w:spacing w:after="0" w:line="115" w:lineRule="exact"/>
              <w:rPr>
                <w:sz w:val="20"/>
                <w:szCs w:val="20"/>
                <w:color w:val="auto"/>
              </w:rPr>
            </w:pPr>
            <w:r>
              <w:rPr>
                <w:rFonts w:ascii="Times New Roman" w:cs="Times New Roman" w:eastAsia="Times New Roman" w:hAnsi="Times New Roman"/>
                <w:sz w:val="13"/>
                <w:szCs w:val="13"/>
                <w:color w:val="auto"/>
              </w:rPr>
              <w:t>11,017</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FF0FC"/>
          </w:tcPr>
          <w:p>
            <w:pPr>
              <w:jc w:val="right"/>
              <w:ind w:right="58"/>
              <w:spacing w:after="0" w:line="115" w:lineRule="exact"/>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(2,935)</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FF0FC"/>
          </w:tcPr>
          <w:p>
            <w:pPr>
              <w:jc w:val="right"/>
              <w:ind w:right="58"/>
              <w:spacing w:after="0" w:line="115" w:lineRule="exact"/>
              <w:rPr>
                <w:sz w:val="20"/>
                <w:szCs w:val="20"/>
                <w:color w:val="auto"/>
              </w:rPr>
            </w:pPr>
            <w:r>
              <w:rPr>
                <w:rFonts w:ascii="Times New Roman" w:cs="Times New Roman" w:eastAsia="Times New Roman" w:hAnsi="Times New Roman"/>
                <w:sz w:val="13"/>
                <w:szCs w:val="13"/>
                <w:color w:val="auto"/>
              </w:rPr>
              <w:t>8,133</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81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FF0FC"/>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8,214</w:t>
            </w:r>
          </w:p>
        </w:tc>
        <w:tc>
          <w:tcPr>
            <w:tcW w:w="0" w:type="dxa"/>
            <w:vAlign w:val="bottom"/>
          </w:tcPr>
          <w:p>
            <w:pPr>
              <w:spacing w:after="0"/>
              <w:rPr>
                <w:sz w:val="1"/>
                <w:szCs w:val="1"/>
                <w:color w:val="auto"/>
              </w:rPr>
            </w:pPr>
          </w:p>
        </w:tc>
      </w:tr>
      <w:tr>
        <w:trPr>
          <w:trHeight w:val="116"/>
        </w:trPr>
        <w:tc>
          <w:tcPr>
            <w:tcW w:w="3320" w:type="dxa"/>
            <w:vAlign w:val="bottom"/>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3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as of December 31, 2025</w:t>
            </w:r>
          </w:p>
        </w:tc>
        <w:tc>
          <w:tcPr>
            <w:tcW w:w="10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95,080</w:t>
            </w:r>
          </w:p>
        </w:tc>
        <w:tc>
          <w:tcPr>
            <w:tcW w:w="300" w:type="dxa"/>
            <w:vAlign w:val="bottom"/>
            <w:gridSpan w:val="2"/>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11,106</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(296)</w:t>
            </w:r>
          </w:p>
        </w:tc>
        <w:tc>
          <w:tcPr>
            <w:tcW w:w="260" w:type="dxa"/>
            <w:vAlign w:val="bottom"/>
            <w:gridSpan w:val="2"/>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(2,834)</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58"/>
              <w:spacing w:after="0" w:line="129" w:lineRule="exact"/>
              <w:rPr>
                <w:sz w:val="20"/>
                <w:szCs w:val="20"/>
                <w:color w:val="auto"/>
              </w:rPr>
            </w:pPr>
            <w:r>
              <w:rPr>
                <w:rFonts w:ascii="Times New Roman" w:cs="Times New Roman" w:eastAsia="Times New Roman" w:hAnsi="Times New Roman"/>
                <w:sz w:val="13"/>
                <w:szCs w:val="13"/>
                <w:color w:val="auto"/>
              </w:rPr>
              <w:t>7,976</w:t>
            </w:r>
          </w:p>
        </w:tc>
        <w:tc>
          <w:tcPr>
            <w:tcW w:w="260" w:type="dxa"/>
            <w:vAlign w:val="bottom"/>
            <w:gridSpan w:val="2"/>
            <w:shd w:val="clear" w:color="auto" w:fill="CFF0FC"/>
          </w:tcPr>
          <w:p>
            <w:pPr>
              <w:jc w:val="right"/>
              <w:ind w:right="26"/>
              <w:spacing w:after="0" w:line="129"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2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8,052</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repurchased</w:t>
            </w:r>
          </w:p>
        </w:tc>
        <w:tc>
          <w:tcPr>
            <w:tcW w:w="10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(1,014)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297</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303</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Dividends declared ($0.96 per share)</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loss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17"/>
        </w:trPr>
        <w:tc>
          <w:tcPr>
            <w:tcW w:w="33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compensation plans</w:t>
            </w:r>
          </w:p>
        </w:tc>
        <w:tc>
          <w:tcPr>
            <w:tcW w:w="10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3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35"/>
        </w:trPr>
        <w:tc>
          <w:tcPr>
            <w:tcW w:w="33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Acquisition of Newfront </w:t>
            </w:r>
            <w:r>
              <w:rPr>
                <w:rFonts w:ascii="Times New Roman" w:cs="Times New Roman" w:eastAsia="Times New Roman" w:hAnsi="Times New Roman"/>
                <w:sz w:val="15"/>
                <w:szCs w:val="15"/>
                <w:color w:val="auto"/>
                <w:vertAlign w:val="superscript"/>
              </w:rPr>
              <w:t>(ii)</w:t>
            </w:r>
          </w:p>
        </w:tc>
        <w:tc>
          <w:tcPr>
            <w:tcW w:w="10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35"/>
        </w:trPr>
        <w:tc>
          <w:tcPr>
            <w:tcW w:w="33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10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28"/>
        </w:trPr>
        <w:tc>
          <w:tcPr>
            <w:tcW w:w="33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108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94,278</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ind w:right="77"/>
              <w:spacing w:after="0" w:line="115" w:lineRule="exact"/>
              <w:rPr>
                <w:sz w:val="20"/>
                <w:szCs w:val="20"/>
                <w:color w:val="auto"/>
              </w:rPr>
            </w:pPr>
            <w:r>
              <w:rPr>
                <w:rFonts w:ascii="Times New Roman" w:cs="Times New Roman" w:eastAsia="Times New Roman" w:hAnsi="Times New Roman"/>
                <w:sz w:val="13"/>
                <w:szCs w:val="13"/>
                <w:color w:val="auto"/>
              </w:rPr>
              <w:t>11,239</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(2,870)</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tcPr>
          <w:p>
            <w:pPr>
              <w:jc w:val="right"/>
              <w:ind w:right="58"/>
              <w:spacing w:after="0" w:line="115" w:lineRule="exact"/>
              <w:rPr>
                <w:sz w:val="20"/>
                <w:szCs w:val="20"/>
                <w:color w:val="auto"/>
              </w:rPr>
            </w:pPr>
            <w:r>
              <w:rPr>
                <w:rFonts w:ascii="Times New Roman" w:cs="Times New Roman" w:eastAsia="Times New Roman" w:hAnsi="Times New Roman"/>
                <w:sz w:val="13"/>
                <w:szCs w:val="13"/>
                <w:color w:val="auto"/>
              </w:rPr>
              <w:t>7,977</w:t>
            </w:r>
          </w:p>
        </w:tc>
        <w:tc>
          <w:tcPr>
            <w:tcW w:w="120" w:type="dxa"/>
            <w:vAlign w:val="bottom"/>
          </w:tcPr>
          <w:p>
            <w:pPr>
              <w:spacing w:after="0"/>
              <w:rPr>
                <w:sz w:val="11"/>
                <w:szCs w:val="11"/>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ind w:right="57"/>
              <w:spacing w:after="0" w:line="115" w:lineRule="exact"/>
              <w:rPr>
                <w:sz w:val="20"/>
                <w:szCs w:val="20"/>
                <w:color w:val="auto"/>
              </w:rPr>
            </w:pPr>
            <w:r>
              <w:rPr>
                <w:rFonts w:ascii="Times New Roman" w:cs="Times New Roman" w:eastAsia="Times New Roman" w:hAnsi="Times New Roman"/>
                <w:sz w:val="13"/>
                <w:szCs w:val="13"/>
                <w:color w:val="auto"/>
              </w:rPr>
              <w:t>8,059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-1096645</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-1079500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-1096645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-1079500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-1096645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-1079500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-1096645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-1079500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-1096645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-1079500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-1096645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-1079500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-119380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-119380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-119380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-119380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-119380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20" w:hanging="272"/>
        <w:spacing w:after="0" w:line="264"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part of the acquisition of Newfront, 199,028 ordinary shares were issued to certain award holders. Additionally, $93 million was allocated to pre-combination service for all replaced share-based compensation awards (see </w:t>
      </w:r>
      <w:r>
        <w:rPr>
          <w:rFonts w:ascii="Times New Roman" w:cs="Times New Roman" w:eastAsia="Times New Roman" w:hAnsi="Times New Roman"/>
          <w:sz w:val="14"/>
          <w:szCs w:val="14"/>
          <w:color w:val="auto"/>
        </w:rPr>
        <w:t>Note 3 — Acquisitions)</w:t>
      </w:r>
      <w:r>
        <w:rPr>
          <w:rFonts w:ascii="Times New Roman" w:cs="Times New Roman" w:eastAsia="Times New Roman" w:hAnsi="Times New Roman"/>
          <w:sz w:val="13"/>
          <w:szCs w:val="13"/>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jc w:val="both"/>
        <w:ind w:right="660"/>
        <w:spacing w:after="0" w:line="312" w:lineRule="auto"/>
        <w:rPr>
          <w:sz w:val="20"/>
          <w:szCs w:val="20"/>
          <w:color w:val="auto"/>
        </w:rPr>
      </w:pPr>
      <w:r>
        <w:rPr>
          <w:rFonts w:ascii="Times New Roman" w:cs="Times New Roman" w:eastAsia="Times New Roman" w:hAnsi="Times New Roman"/>
          <w:sz w:val="17"/>
          <w:szCs w:val="17"/>
          <w:color w:val="auto"/>
        </w:rPr>
        <w:t>Willis Towers Watson Public Limited Company is a leading global advisory, broking and solutions company that provides data-driven, insight-led solutions in the areas of people, risk and capital. The Company has approximately 47,000 colleagues serving more than 140 countries and markets.</w:t>
      </w:r>
    </w:p>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risk control services include strategic risk expertise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advisory services, technology and solutions that help them anticipate, identify and capitalize on emerging opportunities in human capital management, and by offering investment advice to help them develop disciplined and efficient strategies to meet their investment goals.</w:t>
      </w:r>
    </w:p>
    <w:p>
      <w:pPr>
        <w:spacing w:after="0" w:line="122"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0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Certain prior-period amounts have been reclassified to conform to the current-period presentation. All intercompany accounts and transactions have been eliminated in consolidation. The condensed consolidated financial statements should be read together with the Company’s Annual Report on Form 10-K, filed with the SEC on February 25, 2026, and may be accessed via EDGAR on the SEC’s web site at www.sec.gov.</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purchases of inventory, employee compensation, depreciation, intangible asset amortization and depletion for each income statement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t>line item that contains those expenses. The ASU requires a new tabular disclosure format that centralizes expense information and additional qualitative disclosure. The guidance does not change the existing income statement presentation. The annual requirements for this ASU become effective with the Company's Annual Report on Form 10-K for the year ended December 31, 2027,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condensed consolidated financial statements.</w:t>
      </w:r>
    </w:p>
    <w:p>
      <w:pPr>
        <w:spacing w:after="0" w:line="1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is intended to clarify and modernize the accounting for costs related to internal-use software.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capitalization requirements from being tied to development stages and instead creates a capitalization threshold which is achieved when it is probable the software will be completed for its intended purpose. The annual and interim requirements for this ASU become effective for the Company on January 1, 2028. Early adoption is permitted and may be applied using a prospective, retrospective, or modified transition approach. The Company is assessing all aspects of the ASU, including adoption timing and transition method, and the expected impact on its condensed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is intended to improve guidance on the measurement of credit losses for accounts receivable and contract assets.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an optional practical expedient to assume that current conditions as of the balance sheet date do not change for the remaining life of the assets. The requirements for this ASU became effective for the Company on January 1, 2026, at which time it was adopted. This ASU did not have a material impact on our condensed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(‘OECD’) and G20 Inclusive Framework on Base Erosion and Profit Shifting released the Model Global Anti-Base Erosion (‘GloBE’) rules (the ‘OECD Model Rules’) under Pillar Two. In 2023, many E.U. countries, including Ireland, enacted the necessary legislation (based on the OECD Model Rules) to implement Pillar Two in 2024. Other countries and territories introduced Pillar Two legislation in 2024 and 2025. In January 2026, the OECD announced the release of a new package of administrative guidance under the Pillar Two global minimum tax rules (the ‘side-by-side’ (SbS) package). Key components of the package include a simplified effective tax rate safe harbor, an extension of the transitional country-by-country reporting safe harbor, a substance-based tax incentive safe harbor, a side-by-side safe harbor for certain multinational groups located in eligible jurisdictions, an ultimate parent entity safe harbor for eligible countries, and a commitment to focus on additional clarifications and simplifications. These new safe harbor rules do not affect the application of a qualified domestic minimum top-up tax. Except for the extension of the transitional country-by-country reporting safe harbor, the Company does not expect the new safe harbors to apply. The Pillar Two minimum tax is treated as a period-cost beginning in 2024 and does not have a material impact on the Company's financial results of operations for the periods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H.R. 1</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4, 2025, the ‘Act to provide for reconciliation pursuant to title II of H. Con. Res. 14’ (‘H.R. 1’) was enacted into law and generally became effective on January 1, 2026, with certain exceptions. H.R. 1 included numerous changes to existing tax law affecting businesses, including extending and modifying certain key provisions of the Tax Cuts and Jobs Act of 2017, both domestic and international, expanding certain Investment Retirement Account incentives while accelerating the phase-out of others. In 2025, the Company recognized cash tax benefits related to the acceleration of certain timing differences. The Company will continue to evaluate the overall impact of H.R. 1 and related regulations on our operations and tax positions.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Newfront Insurance Holdings, Inc. acquisition</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January 27, 2026, the Company completed the acquisition of Newfront Insurance Holdings, Inc. (‘Newfront’), a U.S.-based broker combining specialty expertise and cutting-edge technology, for up-front and contingent consideration. The $1.05 billion up-front portion of the purchase price was comprised of approximately $900 million in cash paid to all of Newfront’s shareholders and $150 million in replacement award equity paid only to Newfront’s employee-shareholders and subject to ongoing vesting. The contingent consideration includes up to $250 million, subject to Newfront’s achievement of specified three-year performance targets, and up to an incremental $150 million which would become payable if Newfront achieves above-target revenue growth. Both tranches of contingent consideration are payable primarily in equity awards subject to service requirements and will be recognized as</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12" w:name="page13"/>
    <w:bookmarkEnd w:id="12"/>
    <w:p>
      <w:pPr>
        <w:spacing w:after="0" w:line="261" w:lineRule="auto"/>
        <w:rPr>
          <w:sz w:val="20"/>
          <w:szCs w:val="20"/>
          <w:color w:val="auto"/>
        </w:rPr>
      </w:pPr>
      <w:r>
        <w:rPr>
          <w:rFonts w:ascii="Times New Roman" w:cs="Times New Roman" w:eastAsia="Times New Roman" w:hAnsi="Times New Roman"/>
          <w:sz w:val="18"/>
          <w:szCs w:val="18"/>
          <w:color w:val="auto"/>
        </w:rPr>
        <w:t>compensation expense. The cash portion of these arrangements has no service requirements and is included in the estimate of consideration transferred. The cash consideration and related fees, costs and expenses for the acquisition were funded with the net proceeds from our December 2025 issuance of $1.0 billion of senior notes (see Note 9 — Debt for additional information). Newfront operates as part of both our Health, Wealth &amp; Career (Health &amp; Benefits and Investment businesses) and Risk &amp; Broking (Corporate Risk &amp; Broking business) segments.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part of the replacement of the share-based compensation awards of Newfront, the Company granted 187,000 restricted stock units (‘RSUs’) and 225,000 restricted stock awards (‘RSAs’) subject to vesting and transfer restrictions. Included in the RSA grants are an aggregate 199,000 ordinary shares, subject to vesting and transfer restrictions, issued via private placement to trusts established by certain key employees of Newfront.</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summary of preliminary fair values of the identifiable assets acquired and liabilities assumed of Newfront at January 27, 2026 are summarized in the following table. We have prepared analyses necessary to assess the fair values of the assets acquired and liabilities assumed and the amount of goodwill and consideration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Accordingly, there may be adjustments to the assigned values of acquired assets and liabilities assumed. The final determination of acquisition date fair values and residual goodwill will be completed as soon as practicable, and within the measurement period of up to one year from the acquisition date as permitted under GAAP. Any adjustments to provisional amounts that are identified during the measurement period will be recorded in the reporting period in which the adjustment is determined.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Fiduciary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Fiduciary liabilities</w:t>
            </w: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1,051</w:t>
            </w:r>
          </w:p>
        </w:tc>
      </w:tr>
    </w:tbl>
    <w:p>
      <w:pPr>
        <w:spacing w:after="0" w:line="1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Preliminary values of intangible assets consist primarily of $131 million of customer relationships and $53 million of developed software, with weighted-average expected lives of 13 years and 7 years, respectively.</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aggregate consideration and the acquisition date fair value of the net assets acquired, including acquired intangible assets, and represents the value of Newfront’s assembled workforce and the future economic benefits that we expect to achieve as a result of the acquisition. The assignment of the acquired goodwill to the individual reporting units is not yet finalized. None of the goodwill recognized on the transaction is tax-deductible, however there is tax-deductible goodwill that will be carried forward from previous acquisitions by Newfront.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Acquisitions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Cushon — </w:t>
      </w:r>
      <w:r>
        <w:rPr>
          <w:rFonts w:ascii="Times New Roman" w:cs="Times New Roman" w:eastAsia="Times New Roman" w:hAnsi="Times New Roman"/>
          <w:sz w:val="18"/>
          <w:szCs w:val="18"/>
          <w:color w:val="auto"/>
        </w:rPr>
        <w:t>On December 10, 2025, the Company entered into a definitive agreement to acquire Cushon,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A2A2B"/>
        </w:rPr>
        <w:t>a workplace pensions, savings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A2A2B"/>
        </w:rPr>
        <w:t xml:space="preserve">wellbeing company for consideration of £150 million, subject to working capital and other adjustments, and contingent consideration of up to £100 million. </w:t>
      </w:r>
      <w:r>
        <w:rPr>
          <w:rFonts w:ascii="Times New Roman" w:cs="Times New Roman" w:eastAsia="Times New Roman" w:hAnsi="Times New Roman"/>
          <w:sz w:val="18"/>
          <w:szCs w:val="18"/>
          <w:color w:val="000000"/>
        </w:rPr>
        <w:t>The transaction is expected to close during the second quarter of 2026, subject to receipt of certain regulatory approvals and other customary closing conditions, and the Company will fund the acquisition with the remaining available balance on the delayed draw term loan (see Note 9 — Debt for additional information).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Al-Futtaim Willis — </w:t>
      </w:r>
      <w:r>
        <w:rPr>
          <w:rFonts w:ascii="Times New Roman" w:cs="Times New Roman" w:eastAsia="Times New Roman" w:hAnsi="Times New Roman"/>
          <w:sz w:val="18"/>
          <w:szCs w:val="18"/>
          <w:color w:val="auto"/>
        </w:rPr>
        <w:t>On May 2, 2025, the Company entered into a definitive agreement to acquire the remaining 51% controlling interest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longstanding broking joint venture, Al-Futtaim Willis (‘AFW’), based in the United Arab Emirates, for cash consideration of $58 million, subject to certain adjustments. The results of AFW are currently included in interest in earnings of associates, net of tax, on the condensed consolidated statements of comprehensive income, but will be fully consolidated after the close of the transaction. The transaction is expected to close during the second quarter of 2026, subject to receipt of certain regulatory approvals and other customary closing conditions.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t>Additionally, during the three months ended March 31, 2026 the Company made contributions to interests in associates accounted for under the equity method of accounting in cash payments of $9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 presents revenue by service offering and segment, as well as a reconciliation to total revenue for the three months ended March 31, 2026 and 2025. Along with reimbursable expenses and other, total revenue by service offering represents our revenue from customer contracts.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4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2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Broking</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3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1,033</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Consulting</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Outsourced administration</w:t>
            </w:r>
          </w:p>
        </w:tc>
        <w:tc>
          <w:tcPr>
            <w:tcW w:w="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5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1,156</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74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1,275</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1,173</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3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1,006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2,363</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Interest and other income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5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1,182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3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680" w:type="dxa"/>
            <w:vAlign w:val="bottom"/>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2,412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2,223</w:t>
            </w: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-1448435</wp:posOffset>
            </wp:positionV>
            <wp:extent cx="4963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6316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-25400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60" w:hanging="272"/>
        <w:spacing w:after="0" w:line="261" w:lineRule="auto"/>
        <w:tabs>
          <w:tab w:leader="none" w:pos="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 because it does not arise directly from contracts with customers. The significant components of interest and other income are as follows for the periods presented above: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3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bottom w:val="single" w:sz="8" w:color="CFF0FC"/>
            </w:tcBorders>
            <w:gridSpan w:val="3"/>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8"/>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3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-145415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presents revenue from service offerings by the geography where our work was performed for the three months ended March 31, 2026 and 2025. The reconciliation to total revenue on our condensed consolidated statements of comprehensive income and to segment revenue is shown in the table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673</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645</w:t>
            </w: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36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1,020</w:t>
            </w:r>
          </w:p>
        </w:tc>
        <w:tc>
          <w:tcPr>
            <w:tcW w:w="2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2,341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-145415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-145415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-145415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-145415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accounts receivable and deferred revenue balances at March 31, 2026 and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5"/>
                <w:szCs w:val="15"/>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$34 million and $30 million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1,836</w:t>
            </w:r>
          </w:p>
        </w:tc>
        <w:tc>
          <w:tcPr>
            <w:tcW w:w="68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1,833</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w:t>
            </w:r>
          </w:p>
        </w:tc>
      </w:tr>
      <w:tr>
        <w:trPr>
          <w:trHeight w:val="216"/>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contract assets</w:t>
            </w: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w:t>
            </w:r>
          </w:p>
        </w:tc>
      </w:tr>
      <w:tr>
        <w:trPr>
          <w:trHeight w:val="209"/>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2,648</w:t>
            </w:r>
          </w:p>
        </w:tc>
        <w:tc>
          <w:tcPr>
            <w:tcW w:w="68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2,702</w:t>
            </w:r>
          </w:p>
        </w:tc>
      </w:tr>
      <w:tr>
        <w:trPr>
          <w:trHeight w:val="20"/>
        </w:trPr>
        <w:tc>
          <w:tcPr>
            <w:tcW w:w="8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Non-current accounts receivable,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-462280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revenue of approximately $304 million was recognized that was reflected as deferred revenue at December 31, 2025.</w:t>
      </w:r>
    </w:p>
    <w:p>
      <w:pPr>
        <w:spacing w:after="0" w:line="108" w:lineRule="exact"/>
        <w:rPr>
          <w:sz w:val="20"/>
          <w:szCs w:val="20"/>
          <w:color w:val="auto"/>
        </w:rPr>
      </w:pPr>
    </w:p>
    <w:p>
      <w:pPr>
        <w:ind w:right="1200"/>
        <w:spacing w:after="0" w:line="438"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 Company had no revenue related to performance obligations satisfied in a prior period. </w:t>
      </w:r>
      <w:r>
        <w:rPr>
          <w:rFonts w:ascii="Times New Roman" w:cs="Times New Roman" w:eastAsia="Times New Roman" w:hAnsi="Times New Roman"/>
          <w:sz w:val="18"/>
          <w:szCs w:val="18"/>
          <w:b w:val="1"/>
          <w:bCs w:val="1"/>
          <w:color w:val="auto"/>
        </w:rPr>
        <w:t>Performance Obligations</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March 31, 2026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2"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gridSpan w:val="2"/>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2028 onward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expected to be recognized on contracts as of March 31, 2026</w:t>
            </w:r>
          </w:p>
        </w:tc>
        <w:tc>
          <w:tcPr>
            <w:tcW w:w="7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503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March 31, 2026 have been excluded from the table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WTW’s chief operating decision maker (‘CODM’) is its chief executive officer. We determined that the operational data used by the CODM is at the segment level.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Company has not presented any individual significant expense categories due to the following factors:</w:t>
      </w:r>
    </w:p>
    <w:p>
      <w:pPr>
        <w:spacing w:after="0" w:line="117" w:lineRule="exact"/>
        <w:rPr>
          <w:sz w:val="20"/>
          <w:szCs w:val="20"/>
          <w:color w:val="auto"/>
        </w:rPr>
      </w:pPr>
    </w:p>
    <w:p>
      <w:pPr>
        <w:ind w:left="760" w:right="38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CODM’s review focuses on segment operating income results in total, rather than on individual expenses to arrive at segment operating income. The CODM uses segment operating income to make decisions and allocate resources.</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spacing w:after="0" w:line="67"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Instead, the CODM routinely reviews budgeted, forecasted and actual expense information at the consolidated level only and not at the individual segment level.</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Segment operating income excludes certain costs, including (i) amortization of intangibles; (ii) certain transaction and integration expenses; and (iii)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 and other operating expenses, including for occupancy, colleague travel costs, legal, marketing, technology, professional fees and professional liability costs.</w:t>
      </w:r>
    </w:p>
    <w:p>
      <w:pPr>
        <w:spacing w:after="0" w:line="13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revenue, segment expenses and segment operating income for our reportable segments for the three months ended March 31,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R&amp;B</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bottom w:val="single" w:sz="8" w:color="auto"/>
            </w:tcBorders>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revenue excluding interest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1,257</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1,158</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2,348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29</w:t>
            </w: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2,381</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2,192</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1,741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41</w:t>
            </w: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segment expense</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854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1,783</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1,655</w:t>
            </w:r>
          </w:p>
        </w:tc>
      </w:tr>
      <w:tr>
        <w:trPr>
          <w:trHeight w:val="197"/>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5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537</w:t>
            </w:r>
          </w:p>
        </w:tc>
      </w:tr>
      <w:tr>
        <w:trPr>
          <w:trHeight w:val="588"/>
        </w:trPr>
        <w:tc>
          <w:tcPr>
            <w:tcW w:w="346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763"/>
        </w:trPr>
        <w:tc>
          <w:tcPr>
            <w:tcW w:w="3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-1799590</wp:posOffset>
            </wp:positionV>
            <wp:extent cx="857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-1782445</wp:posOffset>
            </wp:positionV>
            <wp:extent cx="857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-1799590</wp:posOffset>
            </wp:positionV>
            <wp:extent cx="857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-1782445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-1799590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-1782445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-1799590</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-1782445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-1799590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-1782445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-1216660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-1199515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-1216660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-1199515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-1216660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-1199515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-1216660</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-1199515</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-1216660</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-1199515</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-908050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-890905</wp:posOffset>
            </wp:positionV>
            <wp:extent cx="85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-908050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-890905</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-908050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-890905</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-908050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-890905</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-908050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-890905</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ind w:right="1120"/>
        <w:spacing w:after="0" w:line="282"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months ended March 31, 2026 and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r>
      <w:tr>
        <w:trPr>
          <w:trHeight w:val="173"/>
        </w:trPr>
        <w:tc>
          <w:tcPr>
            <w:tcW w:w="6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82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2,381</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2,192</w:t>
            </w:r>
          </w:p>
        </w:tc>
      </w:tr>
      <w:tr>
        <w:trPr>
          <w:trHeight w:val="216"/>
        </w:trPr>
        <w:tc>
          <w:tcPr>
            <w:tcW w:w="68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8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2,412</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2,223</w:t>
            </w:r>
          </w:p>
        </w:tc>
      </w:tr>
      <w:tr>
        <w:trPr>
          <w:trHeight w:val="20"/>
        </w:trPr>
        <w:tc>
          <w:tcPr>
            <w:tcW w:w="6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8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82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598</w:t>
            </w: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8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Transaction and integration expenses </w:t>
            </w:r>
            <w:r>
              <w:rPr>
                <w:rFonts w:ascii="Times New Roman" w:cs="Times New Roman" w:eastAsia="Times New Roman" w:hAnsi="Times New Roman"/>
                <w:sz w:val="24"/>
                <w:szCs w:val="24"/>
                <w:color w:val="auto"/>
                <w:vertAlign w:val="superscript"/>
              </w:rPr>
              <w:t>(i)</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w:t>
            </w:r>
          </w:p>
        </w:tc>
        <w:tc>
          <w:tcPr>
            <w:tcW w:w="8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income/(loss), net</w:t>
            </w:r>
          </w:p>
        </w:tc>
        <w:tc>
          <w:tcPr>
            <w:tcW w:w="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operations before income taxes and interest in earnings of associates</w:t>
            </w:r>
          </w:p>
        </w:tc>
        <w:tc>
          <w:tcPr>
            <w:tcW w:w="182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376</w:t>
            </w:r>
          </w:p>
        </w:tc>
        <w:tc>
          <w:tcPr>
            <w:tcW w:w="7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303</w:t>
            </w:r>
          </w:p>
        </w:tc>
      </w:tr>
      <w:tr>
        <w:trPr>
          <w:trHeight w:val="20"/>
        </w:trPr>
        <w:tc>
          <w:tcPr>
            <w:tcW w:w="68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-1448435</wp:posOffset>
            </wp:positionV>
            <wp:extent cx="1200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-591185</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20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share-based compensation and other transaction-related costs attributable to our Newfront acquisition (see Note 3 — Acquisitions).</w:t>
      </w:r>
    </w:p>
    <w:p>
      <w:pPr>
        <w:spacing w:after="0" w:line="28" w:lineRule="exact"/>
        <w:rPr>
          <w:rFonts w:ascii="Times New Roman" w:cs="Times New Roman" w:eastAsia="Times New Roman" w:hAnsi="Times New Roman"/>
          <w:sz w:val="14"/>
          <w:szCs w:val="14"/>
          <w:color w:val="auto"/>
        </w:rPr>
      </w:pPr>
    </w:p>
    <w:p>
      <w:pPr>
        <w:ind w:left="280" w:right="80" w:hanging="272"/>
        <w:spacing w:after="0" w:line="261"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our revenue (on the basis of where the work was performed) and tangible long-lived assets for Ireland, our country of domicile, countries with significant concentrations and all other foreign countries as of and for the periods ended as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9"/>
                <w:szCs w:val="19"/>
                <w:b w:val="1"/>
                <w:bCs w:val="1"/>
                <w:color w:val="auto"/>
                <w:vertAlign w:val="superscript"/>
              </w:rPr>
              <w:t>(i)</w:t>
            </w:r>
          </w:p>
        </w:tc>
      </w:tr>
      <w:tr>
        <w:trPr>
          <w:trHeight w:val="142"/>
        </w:trPr>
        <w:tc>
          <w:tcPr>
            <w:tcW w:w="3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620" w:type="dxa"/>
            <w:vAlign w:val="bottom"/>
            <w:tcBorders>
              <w:bottom w:val="single" w:sz="8" w:color="auto"/>
            </w:tcBorders>
            <w:gridSpan w:val="5"/>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276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982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0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372</w:t>
            </w: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Foreign Countries</w:t>
            </w:r>
          </w:p>
        </w:tc>
        <w:tc>
          <w:tcPr>
            <w:tcW w:w="20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93"/>
              </w:rPr>
              <w:t>2,373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2,188</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1,163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1,175</w:t>
            </w:r>
          </w:p>
        </w:tc>
      </w:tr>
      <w:tr>
        <w:trPr>
          <w:trHeight w:val="230"/>
        </w:trPr>
        <w:tc>
          <w:tcPr>
            <w:tcW w:w="3780" w:type="dxa"/>
            <w:vAlign w:val="bottom"/>
            <w:shd w:val="clear" w:color="auto" w:fill="CFF0FC"/>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3"/>
              </w:rPr>
              <w:t>2,412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1,170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1,182</w:t>
            </w:r>
          </w:p>
        </w:tc>
      </w:tr>
      <w:tr>
        <w:trPr>
          <w:trHeight w:val="20"/>
        </w:trPr>
        <w:tc>
          <w:tcPr>
            <w:tcW w:w="378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-316865</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-316865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-316865</wp:posOffset>
            </wp:positionV>
            <wp:extent cx="857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Tangible long-lived assets consist of fixed assets and right-of-use (‘ROU’)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2026 was $70 million compared to $65 million for the three months ended March 31, 2025. The effective tax rate was 18.6% for the three months ended March 31, 2026 and 21.5% for the three months ended March 31, 2025. These effective tax rates are calculated using extended values from our condensed consolidated statements of comprehensive income and are therefore more precise tax rates than can be calculated from rounded values. The current-year effective tax rate is lower primarily due to a discrete tax benefit in the U.K. related to deferred revenue.</w:t>
      </w:r>
    </w:p>
    <w:p>
      <w:pPr>
        <w:spacing w:after="0" w:line="1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At March 31, 2026,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$39 million, excluding interest and penalties.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three months ended March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7,317</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2,894</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10,211</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December 31, 2025</w:t>
            </w: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8,938</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acquired</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gross</w:t>
            </w: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10,935</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 March 31, 2026</w:t>
            </w:r>
          </w:p>
        </w:tc>
        <w:tc>
          <w:tcPr>
            <w:tcW w:w="860" w:type="dxa"/>
            <w:vAlign w:val="bottom"/>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6,765</w:t>
            </w:r>
          </w:p>
        </w:tc>
        <w:tc>
          <w:tcPr>
            <w:tcW w:w="1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9,662</w:t>
            </w: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-1010920</wp:posOffset>
            </wp:positionV>
            <wp:extent cx="102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-1010920</wp:posOffset>
            </wp:positionV>
            <wp:extent cx="102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three months ended March 31, 2026: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3,239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750</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1,041</w:t>
            </w:r>
          </w:p>
        </w:tc>
        <w:tc>
          <w:tcPr>
            <w:tcW w:w="102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 December 31, 2025</w:t>
            </w:r>
          </w:p>
        </w:tc>
        <w:tc>
          <w:tcPr>
            <w:tcW w:w="1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gross</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3,349</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 - March 31, 2026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622</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601</w:t>
            </w:r>
          </w:p>
        </w:tc>
        <w:tc>
          <w:tcPr>
            <w:tcW w:w="102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-1148080</wp:posOffset>
            </wp:positionV>
            <wp:extent cx="1968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-1148080</wp:posOffset>
            </wp:positionV>
            <wp:extent cx="1968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1885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-1148080</wp:posOffset>
            </wp:positionV>
            <wp:extent cx="1885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-590550</wp:posOffset>
            </wp:positionV>
            <wp:extent cx="1968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-590550</wp:posOffset>
            </wp:positionV>
            <wp:extent cx="1968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-590550</wp:posOffset>
            </wp:positionV>
            <wp:extent cx="1885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-590550</wp:posOffset>
            </wp:positionV>
            <wp:extent cx="1885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1968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1968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1968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1968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885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18859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1885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1885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March 31, 2026 was 10.7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2026 and for subsequent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2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555</w:t>
            </w:r>
          </w:p>
        </w:tc>
      </w:tr>
      <w:tr>
        <w:trPr>
          <w:trHeight w:val="25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1,275</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 Financial Instruments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policies for managing this risk as summarized below. Additional information regarding our derivative financial instruments can be found in Note 10 — Fair Value Measurements and Investments and Note 16 — Accumulated Other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March 31, 2026 and December 31, 2025 had total notional amounts of $170 million and $165 million, respectively, with a net fair value asset of less than $1 million and $3 million, respectively.</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March 31, 2026, the Company estimates, based on current exchange rates, there will be $1 million of net derivative gains on forward exchange rates reclassified from accumulated other comprehensive loss into earnings within the next twelve months as the forecast transactions affect earnings. At March 31, 2026, our longest outstanding maturity was 1.7 years.</w:t>
      </w:r>
    </w:p>
    <w:p>
      <w:pPr>
        <w:spacing w:after="0" w:line="12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months ended March 31, 2026 and 2025 are below. Amounts pertaining to the ineffective portion of hedging instruments and those excluded from effectiveness testing were not material for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Pr>
          <w:p>
            <w:pPr>
              <w:spacing w:after="0"/>
              <w:rPr>
                <w:sz w:val="15"/>
                <w:szCs w:val="15"/>
                <w:color w:val="auto"/>
              </w:rPr>
            </w:pPr>
          </w:p>
        </w:tc>
        <w:tc>
          <w:tcPr>
            <w:tcW w:w="398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(Loss)/gain recognized in OCI (effective element)</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66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960" w:type="dxa"/>
            <w:vAlign w:val="bottom"/>
            <w:gridSpan w:val="2"/>
            <w:shd w:val="clear" w:color="auto" w:fill="CFF0FC"/>
          </w:tcPr>
          <w:p>
            <w:pPr>
              <w:jc w:val="right"/>
              <w:ind w:right="14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gain/(loss) reclassified from Accumulated OCL into income (effective element)</w:t>
            </w:r>
          </w:p>
        </w:tc>
        <w:tc>
          <w:tcPr>
            <w:tcW w:w="360" w:type="dxa"/>
            <w:vAlign w:val="bottom"/>
          </w:tcPr>
          <w:p>
            <w:pPr>
              <w:spacing w:after="0"/>
              <w:rPr>
                <w:sz w:val="21"/>
                <w:szCs w:val="21"/>
                <w:color w:val="auto"/>
              </w:rPr>
            </w:pPr>
          </w:p>
        </w:tc>
        <w:tc>
          <w:tcPr>
            <w:tcW w:w="3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Gain/(loss) reclassified from Accumulated OCL into income</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656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(effective element)</w:t>
            </w:r>
          </w:p>
        </w:tc>
        <w:tc>
          <w:tcPr>
            <w:tcW w:w="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66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FF0FC"/>
          </w:tcPr>
          <w:p>
            <w:pPr>
              <w:jc w:val="right"/>
              <w:ind w:right="14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benefits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income/(loss), net</w:t>
            </w:r>
          </w:p>
        </w:tc>
        <w:tc>
          <w:tcPr>
            <w:tcW w:w="360" w:type="dxa"/>
            <w:vAlign w:val="bottom"/>
            <w:tcBorders>
              <w:bottom w:val="single" w:sz="8" w:color="CFF0FC"/>
              <w:right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Borders>
              <w:bottom w:val="single" w:sz="8" w:color="CFF0FC"/>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660" w:type="dxa"/>
            <w:vAlign w:val="bottom"/>
            <w:gridSpan w:val="2"/>
          </w:tcPr>
          <w:p>
            <w:pPr>
              <w:jc w:val="right"/>
              <w:ind w:right="116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960" w:type="dxa"/>
            <w:vAlign w:val="bottom"/>
            <w:gridSpan w:val="2"/>
          </w:tcPr>
          <w:p>
            <w:pPr>
              <w:jc w:val="right"/>
              <w:ind w:right="14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-968375</wp:posOffset>
            </wp:positionV>
            <wp:extent cx="2057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-950595</wp:posOffset>
            </wp:positionV>
            <wp:extent cx="2057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-162560</wp:posOffset>
            </wp:positionV>
            <wp:extent cx="2057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1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March 31, 2026 and December 31, 2025, we had notional amounts of $1.0 billion and $739 million, respectively, with a net fair value liability of $9 million and a net fair value asset of $1 million, respectively. Such derivatives typically mature within three months.</w:t>
      </w:r>
    </w:p>
    <w:p>
      <w:pPr>
        <w:spacing w:after="0" w:line="1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the Company has foreign exchange option derivatives to hedge against cash flow risk associated with its pending Cushon acquisition (see Note 3 — Acquisitions). These derivatives are not designated as hedging instruments, and at March 31, 2026 had a notional amount of $102 million, with a net fair value asset of less than $1 million. These derivatives will mature during the second quarter of 2026.</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months ended March 31, 2026 and 2025 are as follows (see Note 15 — Other Income/(Loss), Net for the net foreign currency impact on the Company’s condensed consolidated statements of comprehensive income which includes the results of the offset of underlying exposures). The effect of the foreign exchange options on the condensed consolidated statements of comprehensive income was not material for the three months ended March 31, 2026.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tcBorders>
              <w:bottom w:val="single" w:sz="8" w:color="auto"/>
            </w:tcBorders>
            <w:gridSpan w:val="4"/>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(Loss)/gain recognized in income</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00" w:type="dxa"/>
            <w:vAlign w:val="bottom"/>
            <w:gridSpan w:val="3"/>
          </w:tcPr>
          <w:p>
            <w:pPr>
              <w:jc w:val="center"/>
              <w:ind w:right="488"/>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(loss)/gain</w:t>
            </w:r>
          </w:p>
        </w:tc>
        <w:tc>
          <w:tcPr>
            <w:tcW w:w="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8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80" w:type="dxa"/>
            <w:vAlign w:val="bottom"/>
            <w:vMerge w:val="restart"/>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10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8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80" w:type="dxa"/>
            <w:vAlign w:val="bottom"/>
            <w:shd w:val="clear" w:color="auto" w:fill="CFF0FC"/>
          </w:tcPr>
          <w:p>
            <w:pPr>
              <w:spacing w:after="0"/>
              <w:rPr>
                <w:sz w:val="18"/>
                <w:szCs w:val="18"/>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Other income/(loss), net</w:t>
            </w:r>
          </w:p>
        </w:tc>
        <w:tc>
          <w:tcPr>
            <w:tcW w:w="10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-24765</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111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1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2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34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tcPr>
          <w:p>
            <w:pPr>
              <w:spacing w:after="0"/>
              <w:rPr>
                <w:sz w:val="18"/>
                <w:szCs w:val="18"/>
                <w:color w:val="auto"/>
              </w:rPr>
            </w:pPr>
          </w:p>
        </w:tc>
        <w:tc>
          <w:tcPr>
            <w:tcW w:w="348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6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36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1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2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34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w:t>
            </w: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2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2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4.550% senior notes due 2031</w:t>
            </w: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2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5.150% senior notes due 2036</w:t>
            </w: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2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2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2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23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19"/>
                <w:szCs w:val="19"/>
                <w:color w:val="auto"/>
              </w:rPr>
            </w:pPr>
          </w:p>
        </w:tc>
        <w:tc>
          <w:tcPr>
            <w:tcW w:w="34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6,304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5,756</w:t>
            </w: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-2510790</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draw term loan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January 7, 2026, the Company, together with Trinity Acquisition plc and Willis North America Inc. as borrowers (the ‘Borrowers’), entered into a $775 million delayed draw term loan (the ‘DDTL’). Drawings against the DDTL may be used (i) to finance a portion of the Newfront acquisition (see Note 3 — Acquisitions); (ii) to refinance certain outstanding indebtedness of the Company and its subsidiaries, and (iii) for working capital, capital expenditures, permitted acquisitions and general corporate purposes.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Amounts outstanding under the DDTL shall bear interest, at the Borrowers’ option, at a rate equal to (i) the term secured overnight financing rate plus an applicable margin of 0.625% to 1.250% (based upon the Company’s guaranteed senior-unsecured long-term debt rating) or (ii) the base rate plus an applicable margin of 0.00% to 0.250% (based upon the Company’s guaranteed senior-unsecured long-term debt rating). In addition, the Borrowers will pay a commitment fee in an amount equal to 0.055% to 0.140% (based upon the Company’s guaranteed senior-unsecured long-term debt rating) on the unused amount of commitments under the DDTL. Interest is payable no later than every three months and interest rates are reset on a one-, three- or six-month basis, at the election of the Company, but may be shorter or longer durations with consent of the lenders.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DDTL may be drawn on up to four borrowings, each of which is subject to customary conditions, including, solely in the case of drawings that are not used to fund the Newfront acquisition, the accuracy and completeness in all material respects of all representations and warranties in the loan documentation and that no default under the DDTL shall exist, or would result from such borrowing or the application of the drawings thereof.</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March 16, 2026, the Company made the first borrowing under the DDTL for $550 million in relation to the repayment of the 4.400% senior notes due 2026. In accordance with the terms of the DDTL agreement, the maturity date for all borrowings is established as three years from the date of the first borrowing, or March 16, 2029.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4.400% Senior Notes due 2026</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March 16, 2026, the Company repaid in full the $550 million aggregate principal amount and related accrued interest of the 4.400% senior notes due 2026 ($562 million in total) using borrowings against the DDTL and cash on hand.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 Compliance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we were in compliance with all financial covenants.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 and Investments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3"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7"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March 31, 2026 and December 31, 2025:</w:t>
      </w:r>
    </w:p>
    <w:p>
      <w:pPr>
        <w:spacing w:after="0" w:line="15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7"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3"/>
          <w:szCs w:val="13"/>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-635</wp:posOffset>
            </wp:positionV>
            <wp:extent cx="26574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ind w:left="4560"/>
        <w:spacing w:after="0"/>
        <w:tabs>
          <w:tab w:leader="none" w:pos="7260" w:val="left"/>
          <w:tab w:leader="none" w:pos="8360" w:val="left"/>
          <w:tab w:leader="none" w:pos="9420" w:val="left"/>
          <w:tab w:leader="none" w:pos="10540" w:val="left"/>
        </w:tabs>
        <w:rPr>
          <w:sz w:val="20"/>
          <w:szCs w:val="20"/>
          <w:color w:val="auto"/>
        </w:rPr>
      </w:pPr>
      <w:r>
        <w:rPr>
          <w:rFonts w:ascii="Times New Roman" w:cs="Times New Roman" w:eastAsia="Times New Roman" w:hAnsi="Times New Roman"/>
          <w:sz w:val="13"/>
          <w:szCs w:val="13"/>
          <w:b w:val="1"/>
          <w:bCs w:val="1"/>
          <w:color w:val="auto"/>
        </w:rPr>
        <w:t>Balance Sheet Location</w:t>
      </w:r>
      <w:r>
        <w:rPr>
          <w:sz w:val="20"/>
          <w:szCs w:val="20"/>
          <w:color w:val="auto"/>
        </w:rPr>
        <w:tab/>
      </w:r>
      <w:r>
        <w:rPr>
          <w:rFonts w:ascii="Times New Roman" w:cs="Times New Roman" w:eastAsia="Times New Roman" w:hAnsi="Times New Roman"/>
          <w:sz w:val="13"/>
          <w:szCs w:val="13"/>
          <w:b w:val="1"/>
          <w:bCs w:val="1"/>
          <w:color w:val="auto"/>
        </w:rPr>
        <w:t>Level 1</w:t>
      </w:r>
      <w:r>
        <w:rPr>
          <w:sz w:val="20"/>
          <w:szCs w:val="20"/>
          <w:color w:val="auto"/>
        </w:rPr>
        <w:tab/>
      </w:r>
      <w:r>
        <w:rPr>
          <w:rFonts w:ascii="Times New Roman" w:cs="Times New Roman" w:eastAsia="Times New Roman" w:hAnsi="Times New Roman"/>
          <w:sz w:val="13"/>
          <w:szCs w:val="13"/>
          <w:b w:val="1"/>
          <w:bCs w:val="1"/>
          <w:color w:val="auto"/>
        </w:rPr>
        <w:t>Level 2</w:t>
      </w:r>
      <w:r>
        <w:rPr>
          <w:sz w:val="20"/>
          <w:szCs w:val="20"/>
          <w:color w:val="auto"/>
        </w:rPr>
        <w:tab/>
      </w:r>
      <w:r>
        <w:rPr>
          <w:rFonts w:ascii="Times New Roman" w:cs="Times New Roman" w:eastAsia="Times New Roman" w:hAnsi="Times New Roman"/>
          <w:sz w:val="13"/>
          <w:szCs w:val="13"/>
          <w:b w:val="1"/>
          <w:bCs w:val="1"/>
          <w:color w:val="auto"/>
        </w:rPr>
        <w:t>Level 3</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0</wp:posOffset>
            </wp:positionV>
            <wp:extent cx="4894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5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Fiduciary assets</w:t>
            </w:r>
          </w:p>
        </w:tc>
        <w:tc>
          <w:tcPr>
            <w:tcW w:w="54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452</w:t>
            </w:r>
          </w:p>
        </w:tc>
        <w:tc>
          <w:tcPr>
            <w:tcW w:w="500" w:type="dxa"/>
            <w:vAlign w:val="bottom"/>
          </w:tcPr>
          <w:p>
            <w:pPr>
              <w:spacing w:after="0"/>
              <w:rPr>
                <w:sz w:val="18"/>
                <w:szCs w:val="18"/>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49"/>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2"/>
                <w:szCs w:val="12"/>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5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tcPr>
          <w:p>
            <w:pPr>
              <w:spacing w:after="0"/>
              <w:rPr>
                <w:sz w:val="12"/>
                <w:szCs w:val="12"/>
                <w:color w:val="auto"/>
              </w:rPr>
            </w:pPr>
          </w:p>
        </w:tc>
        <w:tc>
          <w:tcPr>
            <w:tcW w:w="6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2"/>
                <w:szCs w:val="12"/>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5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-970280</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-713105</wp:posOffset>
            </wp:positionV>
            <wp:extent cx="713232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-387350</wp:posOffset>
            </wp:positionV>
            <wp:extent cx="713232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2820" w:space="720"/>
            <w:col w:w="7660"/>
          </w:cols>
          <w:pgMar w:left="320" w:top="1143" w:right="379" w:bottom="1440" w:gutter="0" w:footer="0" w:header="0"/>
          <w:type w:val="continuous"/>
        </w:sectPr>
      </w:pPr>
    </w:p>
    <w:p>
      <w:pPr>
        <w:spacing w:after="0" w:line="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336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54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31"/>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-685165</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-410845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-136525</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660"/>
          </w:cols>
          <w:pgMar w:left="320" w:top="1143" w:right="379" w:bottom="1440" w:gutter="0" w:footer="0" w:header="0"/>
          <w:type w:val="continuous"/>
        </w:sectPr>
      </w:pP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type w:val="continuous"/>
        </w:sectPr>
      </w:pPr>
    </w:p>
    <w:bookmarkStart w:id="21" w:name="page22"/>
    <w:bookmarkEnd w:id="21"/>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Mutual funds/exchange traded funds </w:t>
      </w:r>
      <w:r>
        <w:rPr>
          <w:rFonts w:ascii="Times New Roman" w:cs="Times New Roman" w:eastAsia="Times New Roman" w:hAnsi="Times New Roman"/>
          <w:sz w:val="20"/>
          <w:szCs w:val="20"/>
          <w:color w:val="auto"/>
          <w:vertAlign w:val="superscript"/>
        </w:rPr>
        <w:t>(i)</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ind w:left="8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-86995</wp:posOffset>
            </wp:positionV>
            <wp:extent cx="713232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assets</w:t>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3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-183515</wp:posOffset>
            </wp:positionV>
            <wp:extent cx="713232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9"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-10160</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 2025</w:t>
      </w:r>
    </w:p>
    <w:tbl>
      <w:tblPr>
        <w:tblLayout w:type="fixed"/>
        <w:tblInd w:w="0" w:type="dxa"/>
        <w:tblCellMar>
          <w:top w:w="0" w:type="dxa"/>
          <w:left w:w="0" w:type="dxa"/>
          <w:bottom w:w="0" w:type="dxa"/>
          <w:right w:w="0" w:type="dxa"/>
        </w:tblCellMar>
      </w:tblPr>
      <w:tr>
        <w:trPr>
          <w:trHeight w:val="142"/>
        </w:trPr>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677"/>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448</w:t>
            </w:r>
          </w:p>
        </w:tc>
      </w:tr>
      <w:tr>
        <w:trPr>
          <w:trHeight w:val="297"/>
        </w:trPr>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r>
      <w:tr>
        <w:trPr>
          <w:trHeight w:val="513"/>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ectPr>
          <w:pgSz w:w="11900" w:h="16838" w:orient="portrait"/>
          <w:cols w:equalWidth="0" w:num="3">
            <w:col w:w="2820" w:space="720"/>
            <w:col w:w="3140" w:space="380"/>
            <w:col w:w="4180"/>
          </w:cols>
          <w:pgMar w:left="320" w:top="1243" w:right="339" w:bottom="1440" w:gutter="0" w:footer="0" w:header="0"/>
        </w:sectPr>
      </w:pPr>
    </w:p>
    <w:p>
      <w:pPr>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9512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-410845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-136525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820" w:space="720"/>
            <w:col w:w="7700"/>
          </w:cols>
          <w:pgMar w:left="320" w:top="1243" w:right="339" w:bottom="1440" w:gutter="0" w:footer="0" w:header="0"/>
          <w:type w:val="continuous"/>
        </w:sectPr>
      </w:pPr>
    </w:p>
    <w:p>
      <w:pPr>
        <w:ind w:left="280" w:right="200" w:hanging="272"/>
        <w:spacing w:after="0" w:line="251" w:lineRule="auto"/>
        <w:tabs>
          <w:tab w:leader="none" w:pos="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 Derivative Financial Instruments for further information on our derivative contracts.</w:t>
      </w:r>
    </w:p>
    <w:p>
      <w:pPr>
        <w:spacing w:after="0" w:line="28" w:lineRule="exact"/>
        <w:rPr>
          <w:rFonts w:ascii="Times New Roman" w:cs="Times New Roman" w:eastAsia="Times New Roman" w:hAnsi="Times New Roman"/>
          <w:sz w:val="14"/>
          <w:szCs w:val="14"/>
          <w:color w:val="auto"/>
        </w:rPr>
      </w:pPr>
    </w:p>
    <w:p>
      <w:pPr>
        <w:ind w:left="280" w:right="200" w:hanging="272"/>
        <w:spacing w:after="0" w:line="236" w:lineRule="auto"/>
        <w:tabs>
          <w:tab w:leader="none" w:pos="2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2029. Probability weightings are based on our knowledge of the past and planned performance of the acquired entity to which the contingent consideration applies. The fair value weighted-average discount rates used in our material contingent consideration calculations were 9.87% and 11.00% at March 31, 2026 and December 31, 2025, respectively. The range of these discount rates was 9.60% - 11.00% at March 31, 2026. Using different probability weightings and discount rates could result in an increase or decrease of the contingent consideration payable.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assumed</w:t>
            </w:r>
          </w:p>
        </w:tc>
        <w:tc>
          <w:tcPr>
            <w:tcW w:w="260" w:type="dxa"/>
            <w:vAlign w:val="bottom"/>
          </w:tcPr>
          <w:p>
            <w:pPr>
              <w:spacing w:after="0"/>
              <w:rPr>
                <w:sz w:val="18"/>
                <w:szCs w:val="18"/>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164"/>
        </w:trPr>
        <w:tc>
          <w:tcPr>
            <w:tcW w:w="9240" w:type="dxa"/>
            <w:vAlign w:val="bottom"/>
          </w:tcPr>
          <w:p>
            <w:pPr>
              <w:ind w:left="180"/>
              <w:spacing w:after="0" w:line="164" w:lineRule="exact"/>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Pr>
          <w:p>
            <w:pPr>
              <w:spacing w:after="0"/>
              <w:rPr>
                <w:sz w:val="14"/>
                <w:szCs w:val="14"/>
                <w:color w:val="auto"/>
              </w:rPr>
            </w:pPr>
          </w:p>
        </w:tc>
        <w:tc>
          <w:tcPr>
            <w:tcW w:w="1740" w:type="dxa"/>
            <w:vAlign w:val="bottom"/>
          </w:tcPr>
          <w:p>
            <w:pPr>
              <w:jc w:val="right"/>
              <w:ind w:right="11"/>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268"/>
        </w:trPr>
        <w:tc>
          <w:tcPr>
            <w:tcW w:w="9240" w:type="dxa"/>
            <w:vAlign w:val="bottom"/>
          </w:tcPr>
          <w:p>
            <w:pPr>
              <w:ind w:left="180"/>
              <w:spacing w:after="0" w:line="267"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260" w:type="dxa"/>
            <w:vAlign w:val="bottom"/>
          </w:tcPr>
          <w:p>
            <w:pPr>
              <w:spacing w:after="0"/>
              <w:rPr>
                <w:sz w:val="23"/>
                <w:szCs w:val="23"/>
                <w:color w:val="auto"/>
              </w:rPr>
            </w:pPr>
          </w:p>
        </w:tc>
        <w:tc>
          <w:tcPr>
            <w:tcW w:w="1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right="720" w:hanging="272"/>
        <w:spacing w:after="0" w:line="261"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Securities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invested $50 million in debt securities, which it intends to hold to maturity. The following table summarizes the types of holdings and related values:</w:t>
      </w:r>
    </w:p>
    <w:p>
      <w:pPr>
        <w:sectPr>
          <w:pgSz w:w="11900" w:h="16838" w:orient="portrait"/>
          <w:cols w:equalWidth="0" w:num="1">
            <w:col w:w="11240"/>
          </w:cols>
          <w:pgMar w:left="320" w:top="1243" w:right="33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Held-to-Maturity Securities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cost basis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carrying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unrealized gains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unrealized losses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fair value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Corporate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30480</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Borders>
              <w:top w:val="single" w:sz="8" w:color="auto"/>
            </w:tcBorders>
          </w:tcPr>
          <w:p>
            <w:pPr>
              <w:jc w:val="right"/>
              <w:ind w:right="71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51</w:t>
            </w:r>
          </w:p>
        </w:tc>
      </w:tr>
      <w:tr>
        <w:trPr>
          <w:trHeight w:val="234"/>
        </w:trPr>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900" w:type="dxa"/>
            <w:vAlign w:val="bottom"/>
          </w:tcPr>
          <w:p>
            <w:pPr>
              <w:spacing w:after="0"/>
              <w:rPr>
                <w:sz w:val="16"/>
                <w:szCs w:val="16"/>
                <w:color w:val="auto"/>
              </w:rPr>
            </w:pPr>
          </w:p>
        </w:tc>
        <w:tc>
          <w:tcPr>
            <w:tcW w:w="11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51</w:t>
            </w:r>
          </w:p>
        </w:tc>
      </w:tr>
      <w:tr>
        <w:trPr>
          <w:trHeight w:val="216"/>
        </w:trPr>
        <w:tc>
          <w:tcPr>
            <w:tcW w:w="9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-582295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-307975</wp:posOffset>
            </wp:positionV>
            <wp:extent cx="7132320"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000"/>
          </w:cols>
          <w:pgMar w:left="320" w:top="1243" w:right="339" w:bottom="1440" w:gutter="0" w:footer="0" w:header="0"/>
          <w:type w:val="continuous"/>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March 31, 2026 and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4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5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in one year or less</w:t>
            </w:r>
          </w:p>
        </w:tc>
        <w:tc>
          <w:tcPr>
            <w:tcW w:w="19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1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in greater than five years</w:t>
            </w:r>
          </w:p>
        </w:tc>
        <w:tc>
          <w:tcPr>
            <w:tcW w:w="19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debt</w:t>
            </w:r>
          </w:p>
        </w:tc>
        <w:tc>
          <w:tcPr>
            <w:tcW w:w="19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550</w:t>
            </w:r>
          </w:p>
        </w:tc>
      </w:tr>
      <w:tr>
        <w:trPr>
          <w:trHeight w:val="234"/>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9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6,304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6,075</w:t>
            </w:r>
          </w:p>
        </w:tc>
        <w:tc>
          <w:tcPr>
            <w:tcW w:w="54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5,756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5,618</w:t>
            </w:r>
          </w:p>
        </w:tc>
      </w:tr>
    </w:tbl>
    <w:p>
      <w:pPr>
        <w:spacing w:after="0" w:line="1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carrying values of our revolving credit facility and DDTL approximate their fair values. The fair values above, which exclude accrued interest, are not necessarily indicative of the amounts that the Company would realize upon disposition, nor do they indicate the Company’s intent or ability to dispose of the financial instruments. The fair values of our held-to-maturity securities are considered Level 1 financial instruments as they are based on quoted market prices in active markets. The fair values of our respective senior notes are considered Level 2 financial instruments as they are corroborated by observable market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Plans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Cost/(Credit) for Defined Benefit Pension Plans</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benefit cost/(credit) for the Company’s defined benefit pension plans for the three months ended March 31,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64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76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Settlements</w:t>
            </w: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w:t>
            </w: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periodic benefit cost/(credit)</w:t>
            </w:r>
          </w:p>
        </w:tc>
        <w:tc>
          <w:tcPr>
            <w:tcW w:w="64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did not make any contributions to its U.S. plan during the three months ended March 31, 2026 and currently does not anticipate making contributions over the remainder of the fiscal year. The Company made contributions of less than $1 million to its U.K. plans for the three months ended March 31, 2026 and anticipates making additional contributions totaling $1 million for the remainder of the fiscal year. The Company made contributions of less than $1 million to its other plans for the three months ended March 31, 2026 and anticipates making additional contributions totaling $1 million for the remainder of the fiscal year.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Annuity Purchase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2025, the Company’s Willis Towers Watson Pension Plan for U.S. Employees, a qualified pension plan (‘the Plan’), purchased a nonparticipating single premium group annuity contract from a third-party insurance company and irrevocably transferred to that insurance company approximately $423 million of the Plan’s defined benefit pension obligations and related plan assets, thereby reducing the pension obligations and assets of the Plan by this same amount. The group annuity contract was purchased using assets of the Plan and no additional funding contribution was required by the Company. As a result of this transaction, WTW recognized a one-time, non-cash pre-tax pension settlement charge of $82 million in the first quarter of 2025, attributable to the accelerated recognition of accumulated actuarial losses of the Plan.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defined contribution plan expense of $41 million and $40 million during the three months ended March 31, 2026 and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lease costs recorded on our condensed consolidated statements of comprehensive income for the three months ended March 31, 2026 and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196"/>
        </w:trPr>
        <w:tc>
          <w:tcPr>
            <w:tcW w:w="7460" w:type="dxa"/>
            <w:vAlign w:val="bottom"/>
          </w:tcPr>
          <w:p>
            <w:pPr>
              <w:spacing w:after="0"/>
              <w:rPr>
                <w:sz w:val="17"/>
                <w:szCs w:val="17"/>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r>
      <w:tr>
        <w:trPr>
          <w:trHeight w:val="20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gridSpan w:val="2"/>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20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lease cost, net</w:t>
            </w:r>
          </w:p>
        </w:tc>
        <w:tc>
          <w:tcPr>
            <w:tcW w:w="1200" w:type="dxa"/>
            <w:vAlign w:val="bottom"/>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7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lease costs are included in other operating expenses in our condensed consolidated statements of comprehensive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As of March 31, 2026, we have not incurred a material loss with respect to the indemnification of such third parties. In addition, as of March 31, 2026, we do not believe that any potential liability that may arise from such indemnity obligations is probable or will be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14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March 31, 2026 and December 31, 2025 in the condensed consolidated balance sheets.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4" w:name="page25"/>
    <w:bookmarkEnd w:id="24"/>
    <w:p>
      <w:pPr>
        <w:ind w:right="120"/>
        <w:spacing w:after="0" w:line="282" w:lineRule="auto"/>
        <w:rPr>
          <w:sz w:val="20"/>
          <w:szCs w:val="20"/>
          <w:color w:val="auto"/>
        </w:rPr>
      </w:pPr>
      <w:r>
        <w:rPr>
          <w:rFonts w:ascii="Times New Roman" w:cs="Times New Roman" w:eastAsia="Times New Roman" w:hAnsi="Times New Roman"/>
          <w:sz w:val="18"/>
          <w:szCs w:val="18"/>
          <w:color w:val="auto"/>
        </w:rPr>
        <w:t>that an adverse outcome or settlement in certain matters could, from time to time, have a material adverse effect on the Company’s results of operations or cash flows in a particular quarterly or annual period.</w:t>
      </w:r>
    </w:p>
    <w:p>
      <w:pPr>
        <w:spacing w:after="0" w:line="106"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15" w:lineRule="exact"/>
        <w:rPr>
          <w:sz w:val="20"/>
          <w:szCs w:val="20"/>
          <w:color w:val="auto"/>
        </w:rPr>
      </w:pPr>
    </w:p>
    <w:p>
      <w:pPr>
        <w:ind w:right="542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Note 14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Deferred revenue and accrued expenses consist of the following:</w:t>
      </w: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2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27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2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w:t>
            </w:r>
          </w:p>
        </w:tc>
        <w:tc>
          <w:tcPr>
            <w:tcW w:w="39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1,055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8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Accrued 401(k) contributions</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8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39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1,543</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88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8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2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2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39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8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28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other benefits-related liabilities</w:t>
            </w:r>
          </w:p>
        </w:tc>
        <w:tc>
          <w:tcPr>
            <w:tcW w:w="28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taxes payable</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28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Third-party commissions</w:t>
            </w: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9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2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88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1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39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provisions</w:t>
            </w:r>
          </w:p>
        </w:tc>
        <w:tc>
          <w:tcPr>
            <w:tcW w:w="28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39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588"/>
        </w:trPr>
        <w:tc>
          <w:tcPr>
            <w:tcW w:w="4880" w:type="dxa"/>
            <w:vAlign w:val="bottom"/>
            <w:tcBorders>
              <w:top w:val="single" w:sz="8" w:color="CFF0FC"/>
            </w:tcBorders>
          </w:tcPr>
          <w:p>
            <w:pPr>
              <w:spacing w:after="0"/>
              <w:rPr>
                <w:sz w:val="24"/>
                <w:szCs w:val="24"/>
                <w:color w:val="auto"/>
              </w:rPr>
            </w:pPr>
          </w:p>
        </w:tc>
        <w:tc>
          <w:tcPr>
            <w:tcW w:w="284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-4311015</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-2065020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-908050</wp:posOffset>
            </wp:positionV>
            <wp:extent cx="1200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-890905</wp:posOffset>
            </wp:positionV>
            <wp:extent cx="1200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15 — Other Income/(Loss),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income/(loss), net consists of the following:</w:t>
      </w:r>
    </w:p>
    <w:p>
      <w:pPr>
        <w:spacing w:after="0" w:line="21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2199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294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9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periodic pension and postretirement benefit credits </w:t>
            </w:r>
            <w:r>
              <w:rPr>
                <w:rFonts w:ascii="Times New Roman" w:cs="Times New Roman" w:eastAsia="Times New Roman" w:hAnsi="Times New Roman"/>
                <w:sz w:val="24"/>
                <w:szCs w:val="24"/>
                <w:color w:val="auto"/>
                <w:vertAlign w:val="superscript"/>
              </w:rPr>
              <w:t>(i)</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Foreign exchange loss </w:t>
            </w:r>
            <w:r>
              <w:rPr>
                <w:rFonts w:ascii="Times New Roman" w:cs="Times New Roman" w:eastAsia="Times New Roman" w:hAnsi="Times New Roman"/>
                <w:sz w:val="24"/>
                <w:szCs w:val="24"/>
                <w:color w:val="auto"/>
                <w:vertAlign w:val="superscript"/>
              </w:rPr>
              <w:t>(ii)</w:t>
            </w:r>
          </w:p>
        </w:tc>
        <w:tc>
          <w:tcPr>
            <w:tcW w:w="18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8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2025, includes a pension settlement charge of $82 million. See Note 11 — Retirement Benefits.</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offsetting effects of the Company's foreign currency hedging program. See Note 8 — Derivative Financial Instruments.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Accumulated Other Comprehensive Loss</w:t>
      </w:r>
    </w:p>
    <w:p>
      <w:pPr>
        <w:spacing w:after="0" w:line="17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Changes in accumulated other comprehensive loss, net of non-controlling interests, and net of tax are provided in the following table for the three months ended March 31, 2026 and 2025. This table excludes amounts attributable to non-controlling interests, which are not material for further disclosure.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4"/>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4"/>
          </w:tcPr>
          <w:p>
            <w:pPr>
              <w:jc w:val="center"/>
              <w:ind w:right="161"/>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center"/>
              <w:ind w:right="141"/>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28"/>
              <w:spacing w:after="0" w:line="175"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141"/>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2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3"/>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2C2C2C"/>
              </w:rPr>
              <w:t>2026</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2C2C2C"/>
              </w:rPr>
              <w:t>2025</w:t>
            </w:r>
          </w:p>
        </w:tc>
        <w:tc>
          <w:tcPr>
            <w:tcW w:w="0" w:type="dxa"/>
            <w:vAlign w:val="bottom"/>
          </w:tcPr>
          <w:p>
            <w:pPr>
              <w:spacing w:after="0"/>
              <w:rPr>
                <w:sz w:val="1"/>
                <w:szCs w:val="1"/>
                <w:color w:val="auto"/>
              </w:rPr>
            </w:pPr>
          </w:p>
        </w:tc>
      </w:tr>
      <w:tr>
        <w:trPr>
          <w:trHeight w:val="19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2C2C2C"/>
              </w:rPr>
              <w:t>Balance at December 31, 2025 and 2024, respectively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(608)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(1,020)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2C2C2C"/>
              </w:rPr>
              <w:t>10</w:t>
            </w:r>
          </w:p>
        </w:tc>
        <w:tc>
          <w:tcPr>
            <w:tcW w:w="64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2C2C2C"/>
              </w:rPr>
              <w:t>7</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(2,236)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(2,145)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(2,834)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(3,158)</w:t>
            </w: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2C2C2C"/>
              </w:rPr>
              <w:t>Other comprehensive (loss)/income before</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(62)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2C2C2C"/>
              </w:rPr>
              <w:t>109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2C2C2C"/>
              </w:rPr>
              <w:t>92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(61)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204</w:t>
            </w:r>
          </w:p>
        </w:tc>
        <w:tc>
          <w:tcPr>
            <w:tcW w:w="0" w:type="dxa"/>
            <w:vAlign w:val="bottom"/>
          </w:tcPr>
          <w:p>
            <w:pPr>
              <w:spacing w:after="0"/>
              <w:rPr>
                <w:sz w:val="1"/>
                <w:szCs w:val="1"/>
                <w:color w:val="auto"/>
              </w:rPr>
            </w:pPr>
          </w:p>
        </w:tc>
      </w:tr>
      <w:tr>
        <w:trPr>
          <w:trHeight w:val="171"/>
        </w:trPr>
        <w:tc>
          <w:tcPr>
            <w:tcW w:w="394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2C2C2C"/>
              </w:rPr>
              <w:t>(Gain)/loss reclassified from accumulated other</w:t>
            </w: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w:t>
            </w: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2C2C2C"/>
              </w:rPr>
              <w:t>26</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2C2C2C"/>
              </w:rPr>
              <w:t>19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2C2C2C"/>
              </w:rPr>
              <w:t>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19</w:t>
            </w:r>
          </w:p>
        </w:tc>
        <w:tc>
          <w:tcPr>
            <w:tcW w:w="0" w:type="dxa"/>
            <w:vAlign w:val="bottom"/>
          </w:tcPr>
          <w:p>
            <w:pPr>
              <w:spacing w:after="0"/>
              <w:rPr>
                <w:sz w:val="1"/>
                <w:szCs w:val="1"/>
                <w:color w:val="auto"/>
              </w:rPr>
            </w:pPr>
          </w:p>
        </w:tc>
      </w:tr>
      <w:tr>
        <w:trPr>
          <w:trHeight w:val="158"/>
        </w:trPr>
        <w:tc>
          <w:tcPr>
            <w:tcW w:w="3940" w:type="dxa"/>
            <w:vAlign w:val="bottom"/>
            <w:tcBorders>
              <w:bottom w:val="single" w:sz="8" w:color="CFF0FC"/>
            </w:tcBorders>
            <w:shd w:val="clear" w:color="auto" w:fill="CFF0FC"/>
          </w:tcPr>
          <w:p>
            <w:pPr>
              <w:ind w:left="120"/>
              <w:spacing w:after="0" w:line="158" w:lineRule="exact"/>
              <w:rPr>
                <w:sz w:val="20"/>
                <w:szCs w:val="20"/>
                <w:color w:val="auto"/>
              </w:rPr>
            </w:pPr>
            <w:r>
              <w:rPr>
                <w:rFonts w:ascii="Times New Roman" w:cs="Times New Roman" w:eastAsia="Times New Roman" w:hAnsi="Times New Roman"/>
                <w:sz w:val="14"/>
                <w:szCs w:val="14"/>
                <w:color w:val="2C2C2C"/>
              </w:rPr>
              <w:t>$8 and $6, respectively)</w:t>
            </w: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2C2C2C"/>
              </w:rPr>
              <w:t>Net other comprehensive (loss)/income</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(62)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2C2C2C"/>
              </w:rPr>
              <w:t>109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(2)</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2C2C2C"/>
              </w:rPr>
              <w:t>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2C2C2C"/>
              </w:rPr>
              <w:t>111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(36)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223</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2C2C2C"/>
              </w:rPr>
              <w:t>Balance at March 31, 2026 and 2025, respectively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(670)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(911)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2C2C2C"/>
              </w:rPr>
              <w:t>8</w:t>
            </w:r>
          </w:p>
        </w:tc>
        <w:tc>
          <w:tcPr>
            <w:tcW w:w="64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2C2C2C"/>
              </w:rPr>
              <w:t>10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(2,208)</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(2,034)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(2,870)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(2,935)</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-299720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-299720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-299720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-299720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-299720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-299720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-299720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line="242" w:lineRule="auto"/>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8 — Derivative Financial Instruments for additional details regarding the reclassification adjustments for the derivative settlements.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Share-based Compensation</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compensation cost that has been recognized for the Company’s share-based compensation plans for the three months ended March 31, 2026 and 2025 was $42 million and $37 million, respectively. Of these amounts, the portion recognized within transaction and integration expenses on the condensed consolidated statements of comprehensive income was $9 million for the three months ended March 31, 2026 and was not material for the three months ended March 31,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 total of 212,000 shares were issued:</w:t>
      </w:r>
    </w:p>
    <w:p>
      <w:pPr>
        <w:spacing w:after="0" w:line="11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199,000 shares related to our acquisition of Newfront;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13,000 shares issued under employee stock compensation plans representing:</w:t>
      </w:r>
    </w:p>
    <w:p>
      <w:pPr>
        <w:spacing w:after="0" w:line="117" w:lineRule="exact"/>
        <w:rPr>
          <w:sz w:val="20"/>
          <w:szCs w:val="20"/>
          <w:color w:val="auto"/>
        </w:rPr>
      </w:pPr>
    </w:p>
    <w:p>
      <w:pPr>
        <w:ind w:left="1540" w:hanging="514"/>
        <w:spacing w:after="0"/>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shares issued under non-qualified plans; and</w:t>
      </w:r>
    </w:p>
    <w:p>
      <w:pPr>
        <w:spacing w:after="0" w:line="117" w:lineRule="exact"/>
        <w:rPr>
          <w:rFonts w:ascii="Times New Roman" w:cs="Times New Roman" w:eastAsia="Times New Roman" w:hAnsi="Times New Roman"/>
          <w:sz w:val="18"/>
          <w:szCs w:val="18"/>
          <w:color w:val="auto"/>
        </w:rPr>
      </w:pPr>
    </w:p>
    <w:p>
      <w:pPr>
        <w:ind w:left="1540" w:right="120" w:hanging="514"/>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5,000 shares consisting of 73,000 vested RSUs of which 68,000 were not issued due to net settlements and retirement eligibility provisions.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as a result of the Newfront acquisition, 187,000 RSUs and 225,000 RSAs were granted, which includes the 199,000 shares referenced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 Acquisitions for more information.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Basic and diluted earnings per share are calculated by dividing net income attributable to WTW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March 31, 2026 and 2025, there were approximately 834,000 and 685,000 restricted performance-based stock units outstanding, respectively, and approximately 477,000 and 270,000 restricted time-based stock units outstanding, respectively. In addition, at March 31, 2026, there were approximately 225,000 restricted stock awards outstanding. The Company had no time-based share options or performance-based share options outstanding at March 31, 2026 and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7460" w:type="dxa"/>
            <w:vAlign w:val="bottom"/>
          </w:tcPr>
          <w:p>
            <w:pPr>
              <w:spacing w:after="0"/>
              <w:rPr>
                <w:sz w:val="12"/>
                <w:szCs w:val="12"/>
                <w:color w:val="auto"/>
              </w:rPr>
            </w:pPr>
          </w:p>
        </w:tc>
        <w:tc>
          <w:tcPr>
            <w:tcW w:w="114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r>
      <w:tr>
        <w:trPr>
          <w:trHeight w:val="24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140" w:type="dxa"/>
            <w:vAlign w:val="bottom"/>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c>
          <w:tcPr>
            <w:tcW w:w="13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235</w:t>
            </w:r>
          </w:p>
        </w:tc>
      </w:tr>
      <w:tr>
        <w:trPr>
          <w:trHeight w:val="197"/>
        </w:trPr>
        <w:tc>
          <w:tcPr>
            <w:tcW w:w="74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49"/>
        </w:trPr>
        <w:tc>
          <w:tcPr>
            <w:tcW w:w="7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1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r>
      <w:tr>
        <w:trPr>
          <w:trHeight w:val="197"/>
        </w:trPr>
        <w:tc>
          <w:tcPr>
            <w:tcW w:w="7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40" w:type="dxa"/>
            <w:vAlign w:val="bottom"/>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3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40" w:type="dxa"/>
            <w:vAlign w:val="bottom"/>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34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w:t>
            </w: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-1191260</wp:posOffset>
            </wp:positionV>
            <wp:extent cx="1200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-1174115</wp:posOffset>
            </wp:positionV>
            <wp:extent cx="12001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-608330</wp:posOffset>
            </wp:positionV>
            <wp:extent cx="1200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-591185</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1200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10" w:lineRule="exact"/>
        <w:rPr>
          <w:sz w:val="20"/>
          <w:szCs w:val="20"/>
          <w:color w:val="auto"/>
        </w:rPr>
      </w:pPr>
    </w:p>
    <w:p>
      <w:pPr>
        <w:ind w:right="2120"/>
        <w:spacing w:after="0" w:line="454" w:lineRule="auto"/>
        <w:rPr>
          <w:sz w:val="20"/>
          <w:szCs w:val="20"/>
          <w:color w:val="auto"/>
        </w:rPr>
      </w:pPr>
      <w:r>
        <w:rPr>
          <w:rFonts w:ascii="Times New Roman" w:cs="Times New Roman" w:eastAsia="Times New Roman" w:hAnsi="Times New Roman"/>
          <w:sz w:val="18"/>
          <w:szCs w:val="18"/>
          <w:color w:val="auto"/>
        </w:rPr>
        <w:t xml:space="preserve">There were no anti-dilutive restricted stock units or anti-dilutive options for the three months ended March 31, 2026 and 2025. </w:t>
      </w:r>
      <w:r>
        <w:rPr>
          <w:rFonts w:ascii="Times New Roman" w:cs="Times New Roman" w:eastAsia="Times New Roman" w:hAnsi="Times New Roman"/>
          <w:sz w:val="18"/>
          <w:szCs w:val="18"/>
          <w:b w:val="1"/>
          <w:bCs w:val="1"/>
          <w:color w:val="auto"/>
        </w:rPr>
        <w:t xml:space="preserve">Note 19 — Supplemental Disclosures of Cash Flow Information </w:t>
      </w:r>
      <w:r>
        <w:rPr>
          <w:rFonts w:ascii="Times New Roman" w:cs="Times New Roman" w:eastAsia="Times New Roman" w:hAnsi="Times New Roman"/>
          <w:sz w:val="18"/>
          <w:szCs w:val="18"/>
          <w:color w:val="auto"/>
        </w:rPr>
        <w:t>Supplemental disclosures regarding cash flow information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1,855</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3,550</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3,476</w:t>
            </w:r>
          </w:p>
        </w:tc>
      </w:tr>
      <w:tr>
        <w:trPr>
          <w:trHeight w:val="210"/>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5,405</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4,983</w:t>
            </w:r>
          </w:p>
        </w:tc>
      </w:tr>
      <w:tr>
        <w:trPr>
          <w:trHeight w:val="20"/>
        </w:trPr>
        <w:tc>
          <w:tcPr>
            <w:tcW w:w="5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Decrease in cash, cash equivalents and other restricted cash</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Increase in fiduciary funds</w:t>
            </w:r>
          </w:p>
        </w:tc>
        <w:tc>
          <w:tcPr>
            <w:tcW w:w="2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316</w:t>
            </w:r>
          </w:p>
        </w:tc>
      </w:tr>
      <w:tr>
        <w:trPr>
          <w:trHeight w:val="210"/>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5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34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95"/>
        </w:trPr>
        <w:tc>
          <w:tcPr>
            <w:tcW w:w="5340" w:type="dxa"/>
            <w:vAlign w:val="bottom"/>
            <w:shd w:val="clear" w:color="auto" w:fill="CFF0FC"/>
          </w:tcPr>
          <w:p>
            <w:pPr>
              <w:spacing w:after="0"/>
              <w:rPr>
                <w:sz w:val="8"/>
                <w:szCs w:val="8"/>
                <w:color w:val="auto"/>
              </w:rPr>
            </w:pPr>
          </w:p>
        </w:tc>
        <w:tc>
          <w:tcPr>
            <w:tcW w:w="27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of Newfront ordinary shares issued</w:t>
            </w:r>
          </w:p>
        </w:tc>
        <w:tc>
          <w:tcPr>
            <w:tcW w:w="3680" w:type="dxa"/>
            <w:vAlign w:val="bottom"/>
            <w:gridSpan w:val="3"/>
          </w:tcPr>
          <w:p>
            <w:pPr>
              <w:jc w:val="right"/>
              <w:ind w:right="6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2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Fair value of contingent consideration related to acquisition</w:t>
            </w:r>
          </w:p>
        </w:tc>
        <w:tc>
          <w:tcPr>
            <w:tcW w:w="2700" w:type="dxa"/>
            <w:vAlign w:val="bottom"/>
            <w:shd w:val="clear" w:color="auto" w:fill="CFF0FC"/>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FF0FC"/>
          </w:tcPr>
          <w:p>
            <w:pPr>
              <w:jc w:val="right"/>
              <w:ind w:right="6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608"/>
        </w:trPr>
        <w:tc>
          <w:tcPr>
            <w:tcW w:w="5340" w:type="dxa"/>
            <w:vAlign w:val="bottom"/>
          </w:tcPr>
          <w:p>
            <w:pPr>
              <w:spacing w:after="0"/>
              <w:rPr>
                <w:sz w:val="24"/>
                <w:szCs w:val="24"/>
                <w:color w:val="auto"/>
              </w:rPr>
            </w:pPr>
          </w:p>
        </w:tc>
        <w:tc>
          <w:tcPr>
            <w:tcW w:w="270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-2245360</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-1662430</wp:posOffset>
            </wp:positionV>
            <wp:extent cx="1111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320"/>
        <w:spacing w:after="0" w:line="315"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Market Conditions on Our Business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advisory services usually remains steady during times of uncertainty. We have some businesses, such as our health and benefits and administration businesses, which can be counter cyclical during the early period of a significant economic change.</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at the time of filing this Quarterly Report, we are seeing a softening market.</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Market conditions in the broking industry in which we operate are generally defined by factors such as the strength of the various geographical economies which we serve around the world, insurance rate movements, and insurance and reinsurance buying patterns of our clients.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markets for our advisory, technology and solutions, and marketplace services are affected by economic, regulatory and legislative changes, technological developments, and increased competition from established and new competitors. We believe that the primary factors in selecting a company with expertise in human resources or risk management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our current expectations.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role of health care coverage in recruiting/retaining employees and transitioning employees to retirement, the availability of price competitive individual insurance policies, the array of coverage choices available through the exchange provider and its ability to deliver measurable cost savings for corporate clients, and to both execute efficiently and deliver high quality service. Since the individual insurance market for Medicare policies is well-established and a significant portion of corporate employers have already implemented an exchange for their Medicare retirees, growth in this population segment will be derived from public employers and educational and other not-for-profit institutions. This growth may be more episodic in nature. Growth in other population segments is likely to remain low unless a more competitive individual insurance market emerges for these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U.S. and global markets are continuing to experience uncertainty, volatility and disruption as a result of uncertain macroeconomic conditions including tariff actions and uncertainties relating to global trade, fluctuations in currency exchange rates, volatility in debt and equity markets, uncertainty around interest rates, softening consumer confidence and labor markets, changes in U.S. policies across a broad range of areas and the speed with which such changes are or may be implemented, and the geopolitical conflicts and tensions in Russia, Ukraine and the Middle East. Although the length and impact of these situations are highly</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28" w:name="page29"/>
    <w:bookmarkEnd w:id="28"/>
    <w:p>
      <w:pPr>
        <w:ind w:right="100"/>
        <w:spacing w:after="0" w:line="254" w:lineRule="auto"/>
        <w:rPr>
          <w:sz w:val="20"/>
          <w:szCs w:val="20"/>
          <w:color w:val="auto"/>
        </w:rPr>
      </w:pPr>
      <w:r>
        <w:rPr>
          <w:rFonts w:ascii="Times New Roman" w:cs="Times New Roman" w:eastAsia="Times New Roman" w:hAnsi="Times New Roman"/>
          <w:sz w:val="18"/>
          <w:szCs w:val="18"/>
          <w:color w:val="auto"/>
        </w:rPr>
        <w:t>unpredictable, the ongoing uncertainty and volatility of the global economy and capital markets, which has resulted in persistent inflation and fluctuating interest rates in many of the markets in which we operate, could accelerate recessionary pressures and continue to lead to further market disruptions. Further, in addition to the direct impact of the continuing dynamic tariff environment on our business (which we do not expect to be significant, so long as retaliatory actions do not extend to services), the global tariff landscape continues to shift rapidly, creating uncertainty for the business. This uncertainty may be exacerbated by U.S. legislation and other U.S. federal government actions, including the recent decision of the U.S. Supreme Court striking down tariffs imposed under the International Emergency Economic Powers Act. Additionally, indirect impacts from changes in tariffs and other legislative or regulatory developments, such as changes in consumer sentiment, trade relations, economic activity, disruption of U.S. federal government operations, willingness to do business with U.S.-listed firms, inflationary pressures and employee distraction, among others, could also negatively affect our business, operations and financial condition.</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These general economic conditions, including inflation, stagflation, political volatility, supply chain disruptions, costs of labor, cost of capital, interest rates, bank stability, credit availability and tax rates, affect not only the cost of and access to liquidity, but also our costs to run and invest in our business, including our operating and general and administrative expenses, and we have no control or limited ability to control such factors. These general economic conditions impact revenue from customers, as well as income from funds we hold on behalf of customers and pension-related income. While parts of our business could benefit from uncertainty or regulatory change, we may see increased caution in spending on services we provide that are more discretionary in nature or where there are alternatives, such as self-insurance. Other parts of our business, such as M&amp;A-related services, may be adversely impacted when there is lower economic activity or transaction volumes.</w:t>
      </w:r>
    </w:p>
    <w:p>
      <w:pPr>
        <w:spacing w:after="0" w:line="135" w:lineRule="exact"/>
        <w:rPr>
          <w:sz w:val="20"/>
          <w:szCs w:val="20"/>
          <w:color w:val="auto"/>
        </w:rPr>
      </w:pPr>
    </w:p>
    <w:p>
      <w:pPr>
        <w:jc w:val="both"/>
        <w:ind w:right="480"/>
        <w:spacing w:after="0" w:line="282" w:lineRule="auto"/>
        <w:rPr>
          <w:sz w:val="20"/>
          <w:szCs w:val="20"/>
          <w:color w:val="auto"/>
        </w:rPr>
      </w:pPr>
      <w:r>
        <w:rPr>
          <w:rFonts w:ascii="Times New Roman" w:cs="Times New Roman" w:eastAsia="Times New Roman" w:hAnsi="Times New Roman"/>
          <w:sz w:val="18"/>
          <w:szCs w:val="18"/>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25, 2026, for a discussion of risks that may affect, among other things, our growth relative to expectation and our ability to achieve our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60" w:type="dxa"/>
            <w:vAlign w:val="bottom"/>
            <w:tcBorders>
              <w:bottom w:val="single" w:sz="8" w:color="auto"/>
            </w:tcBorders>
          </w:tcPr>
          <w:p>
            <w:pPr>
              <w:spacing w:after="0"/>
              <w:rPr>
                <w:sz w:val="15"/>
                <w:szCs w:val="15"/>
                <w:color w:val="auto"/>
              </w:rPr>
            </w:pPr>
          </w:p>
        </w:tc>
      </w:tr>
      <w:tr>
        <w:trPr>
          <w:trHeight w:val="142"/>
        </w:trPr>
        <w:tc>
          <w:tcPr>
            <w:tcW w:w="5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60" w:type="dxa"/>
            <w:vAlign w:val="bottom"/>
            <w:gridSpan w:val="6"/>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106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2,412</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5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0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1,434</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385</w:t>
            </w: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5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1,964</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1,791</w:t>
            </w:r>
          </w:p>
        </w:tc>
        <w:tc>
          <w:tcPr>
            <w:tcW w:w="1060" w:type="dxa"/>
            <w:vAlign w:val="bottom"/>
          </w:tcPr>
          <w:p>
            <w:pPr>
              <w:spacing w:after="0"/>
              <w:rPr>
                <w:sz w:val="18"/>
                <w:szCs w:val="18"/>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1"/>
        </w:trPr>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FROM OPERATIONS BEFORE INCOME TAXES AND</w:t>
            </w: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 EARNINGS OF ASSOCIATES</w:t>
            </w: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 earnings of associates, net of tax</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6"/>
        </w:trPr>
        <w:tc>
          <w:tcPr>
            <w:tcW w:w="52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86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060" w:type="dxa"/>
            <w:vAlign w:val="bottom"/>
            <w:shd w:val="clear" w:color="auto" w:fill="CFF0FC"/>
          </w:tcPr>
          <w:p>
            <w:pPr>
              <w:spacing w:after="0"/>
              <w:rPr>
                <w:sz w:val="20"/>
                <w:szCs w:val="20"/>
                <w:color w:val="auto"/>
              </w:rPr>
            </w:pPr>
          </w:p>
        </w:tc>
      </w:tr>
      <w:tr>
        <w:trPr>
          <w:trHeight w:val="588"/>
        </w:trPr>
        <w:tc>
          <w:tcPr>
            <w:tcW w:w="526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jc w:val="right"/>
              <w:ind w:right="97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-3308350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-3308350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-2476500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-1910715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-1910715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-1216660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-1216660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-908050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-890905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-908050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-890905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2026 was $2.4 billion, compared to $2.2 billion for the three months ended March 31, 2025, an increase of $189 million, or 8%, on an as-reported basis. Adjusting for the impacts of foreign currency and acquisitions and disposals, our organic revenue growth was 3% for the three months ended March 31, 2026. For additional information, please see the section entitled ‘Segment Revenue and Segment Operating Income’ elsewhere within Part I, Item 2 of this Quarterly Report on Form 10-Q.</w:t>
      </w:r>
    </w:p>
    <w:p>
      <w:pPr>
        <w:spacing w:after="0" w:line="12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March 31, 2026, currency translation increased our as-reported consolidated revenue by $100 million. The primary currencies driving this change were the Euro and Pound Sterling.</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three months ended March 31, 2026. These figures do not represent the currency of the related revenue, which is presented in the next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60" w:type="dxa"/>
            <w:vAlign w:val="bottom"/>
          </w:tcPr>
          <w:p>
            <w:pPr>
              <w:spacing w:after="0"/>
              <w:rPr>
                <w:sz w:val="15"/>
                <w:szCs w:val="15"/>
                <w:color w:val="auto"/>
              </w:rPr>
            </w:pPr>
          </w:p>
        </w:tc>
        <w:tc>
          <w:tcPr>
            <w:tcW w:w="21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0"/>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France</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Canada</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three months ended March 31, 2026.</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20" w:type="dxa"/>
            <w:vAlign w:val="bottom"/>
          </w:tcPr>
          <w:p>
            <w:pPr>
              <w:spacing w:after="0"/>
              <w:rPr>
                <w:sz w:val="18"/>
                <w:szCs w:val="18"/>
                <w:color w:val="auto"/>
              </w:rPr>
            </w:pPr>
          </w:p>
        </w:tc>
        <w:tc>
          <w:tcPr>
            <w:tcW w:w="17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8"/>
                <w:szCs w:val="18"/>
                <w:color w:val="auto"/>
              </w:rPr>
            </w:pPr>
          </w:p>
        </w:tc>
        <w:tc>
          <w:tcPr>
            <w:tcW w:w="17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r>
      <w:tr>
        <w:trPr>
          <w:trHeight w:val="20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dollars</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Pounds sterling</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currencies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280" w:right="80" w:hanging="272"/>
        <w:spacing w:after="0" w:line="261"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w:t>
      </w:r>
    </w:p>
    <w:p>
      <w:pPr>
        <w:spacing w:after="0" w:line="1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revenue for the three months ended March 31, 2026 and 2025, and the components of the change in total revenue for the three months ended March 31, 2026, as compared to the prior-year period. The components of the revenue change may not add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2,412</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2,223</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months ended March 31, 2026.</w:t>
      </w:r>
    </w:p>
    <w:p>
      <w:pPr>
        <w:spacing w:after="0" w:line="1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Part I, Item 2 of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 and Segment Operating Income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25, 2026.</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and (ii) certain transaction and integration expenses, and includes certain expense amounts which may be determined on both a direct and allocated basis. See Note 5 – Segment Information within Part I, Item 1 ‘Financial Statements’ of this Quarterly Report on Form 10-Q for more information about how our segment revenue and segment operating income are calculated and for a reconciliation to our GAAP results.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(‘BD&amp;O’), the segment is focused on addressing our clients’ people and risk needs to help them succeed in a global marketplace.</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March 31, 2026 and 2025, and the components of the change in revenue for the three months ended March 31, 2026 from the three months ended March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4"/>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1,257</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1,158</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1,265</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1,165</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-273685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-256540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-273685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-256540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-25400</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HWC segment revenue for the three months ended March 31, 2026 and 2025 was $1.3 billion and $1.2 billion, respectively. Health delivered organic revenue growth driven by strong performance across international markets driven by new business wins and renewals. Wealth generated organic revenue growth supported by higher levels of retirement work across all regions, alongside growth in the Investments business. Career organic revenue declined as clients deferred discretionary work amid geopolitical uncertainty in the Middle East. Career also saw clients delaying projects with a moderation in advisory-related demand in North America, partially offset by growth outside North America. BD&amp;O organic revenue declined modestly, as expanded projects and administration engagements in Outsourcing were offset by lower commissions in Individual Marketplace.</w:t>
      </w:r>
    </w:p>
    <w:p>
      <w:pPr>
        <w:spacing w:after="0" w:line="12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HWC segment operating income for the three months ended March 31, 2026 and 2025 was $346 million and $311 million, respectively. HWC segment operating income increased primarily due to improved operating leverage and expense discipline.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March 31, 2026 and 2025, and the components of the change in revenue for the three months ended March 31, 2026 from the three months ended March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4"/>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revenue excluding</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1,091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1,005</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1,116</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1,027</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196"/>
        </w:trPr>
        <w:tc>
          <w:tcPr>
            <w:tcW w:w="25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252</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25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80" w:type="dxa"/>
            <w:vAlign w:val="bottom"/>
            <w:tcBorders>
              <w:top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-1207770</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-1190625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-1207770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-1190625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-908050</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-890905</wp:posOffset>
            </wp:positionV>
            <wp:extent cx="768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-908050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-890905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ind w:right="60"/>
        <w:spacing w:after="0" w:line="266" w:lineRule="auto"/>
        <w:rPr>
          <w:sz w:val="20"/>
          <w:szCs w:val="20"/>
          <w:color w:val="auto"/>
        </w:rPr>
      </w:pPr>
      <w:r>
        <w:rPr>
          <w:rFonts w:ascii="Times New Roman" w:cs="Times New Roman" w:eastAsia="Times New Roman" w:hAnsi="Times New Roman"/>
          <w:sz w:val="18"/>
          <w:szCs w:val="18"/>
          <w:color w:val="auto"/>
        </w:rPr>
        <w:t>R&amp;B segment revenue for the three months ended March 31, 2026 and 2025 was $1.1 billion and $1.0 billion, respectively. Corporate Risk &amp; Broking had organic revenue growth driven by new business activity and strong client retention globally. Insurance Consulting and Technology delivered organic revenue growth primarily from strong software sales in the Technology practice.</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R&amp;B segment operating income for the three months ended March 31, 2026 and 2025 was $252 million and $226 million, respectively. R&amp;B segment operating income increased primarily due to expense discipline and the impact of foreign exchange.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March 31, 2026 were $2.0 billion, compared to $1.8 billion for the three months ended March 31, 2025, an increase of $173 million, or 10%. See the following discussion for further details.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Salaries and benefits for the three months ended March 31, 2026 were $1.4 billion, compared to $1.3 billion for the three months ended March 31, 2025, an increase of $110 million. The increase in the current year is primarily due to higher salary expense, driven by annual salary increases, and higher benefit costs, primarily increased medical expenses, for the current year.</w:t>
      </w:r>
    </w:p>
    <w:p>
      <w:pPr>
        <w:spacing w:after="0" w:line="122" w:lineRule="exact"/>
        <w:rPr>
          <w:sz w:val="20"/>
          <w:szCs w:val="20"/>
          <w:color w:val="auto"/>
        </w:rPr>
      </w:pPr>
    </w:p>
    <w:p>
      <w:pPr>
        <w:ind w:right="880"/>
        <w:spacing w:after="0" w:line="438" w:lineRule="auto"/>
        <w:rPr>
          <w:sz w:val="20"/>
          <w:szCs w:val="20"/>
          <w:color w:val="auto"/>
        </w:rPr>
      </w:pPr>
      <w:r>
        <w:rPr>
          <w:rFonts w:ascii="Times New Roman" w:cs="Times New Roman" w:eastAsia="Times New Roman" w:hAnsi="Times New Roman"/>
          <w:sz w:val="18"/>
          <w:szCs w:val="18"/>
          <w:color w:val="auto"/>
        </w:rPr>
        <w:t xml:space="preserve">Salaries and benefits, as a percentage of revenue, represented 59% and 60% for the three months ended March 31, 2026 and 2025, respectively. </w:t>
      </w:r>
      <w:r>
        <w:rPr>
          <w:rFonts w:ascii="Times New Roman" w:cs="Times New Roman" w:eastAsia="Times New Roman" w:hAnsi="Times New Roman"/>
          <w:sz w:val="18"/>
          <w:szCs w:val="18"/>
          <w:b w:val="1"/>
          <w:bCs w:val="1"/>
          <w:i w:val="1"/>
          <w:iCs w:val="1"/>
          <w:color w:val="auto"/>
        </w:rPr>
        <w:t>Other Operating Expenses</w:t>
      </w:r>
    </w:p>
    <w:p>
      <w:pPr>
        <w:spacing w:after="0" w:line="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Other operating expenses for the three months ended March 31, 2026 were $385 million, compared to $365 million for the three months ended March 31, 2025, an increase of $20 million. The increase was primarily due to higher professional services costs and increased local office expenses, partially offset by lower non-income-related tax expense for the current year as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Depreciation for the three months ended March 31, 2026 was $56 million, compared to $54 million for the three months ended March 31, 2025, an increase of $2 million. The year-over-year increase was due to a higher depreciable base of assets resulting from additional assets placed in service during 2026.</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Amortization for both the three months ended March 31, 2026 and 2025 was $48 million. Our intangible amortization is generally more heavily weighted to the initial years of the useful lives of the related intangibles, and therefore amortization related to intangible assets will begin to increase over time as a result of our recent and proposed acquisitions.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Expenses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Transaction and integration expenses for the three months ended March 31, 2026 were $41 million and primarily included transaction-related costs and incremental share-based compensation attributable to our Newfront acquisition completed during the first quarter of 2026. See Note 3 — Acquisitions and Note 17 — Share-based Compensation for more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Income from operations for the three months ended March 31, 2026 was $448 million, compared to $432 million for the three months ended March 31, 2025, an increase of $16 million. This increase resulted primarily from higher revenue in the current year, partially offset by increased salary expense and benefits costs, and higher transaction and integration expense in the current year, as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2026 was $77 million, compared to $65 million for the three months ended March 31, 2025, an increase of $12 million. This increase was primarily due to new senior notes issued by the Company during the fourth quarter of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Income/(Loss), Net</w:t>
      </w:r>
    </w:p>
    <w:p>
      <w:pPr>
        <w:spacing w:after="0" w:line="17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Other income/(loss), net for the three months ended March 31, 2026 was income of $5 million, compared to a loss of $64 million for the three months ended March 31, 2025, an increase of $69 million. The increase was due primarily to higher pension income, which resulted from the absence of a significant non-recurring pension settlement cost recognized in the prior year.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2026 was $70 million, compared to $65 million for the three months ended March 31, 2025, an increase of $5 million. The effective tax rate was 18.6% for the three months ended March 31, 2026, and 21.5% for the three months ended March 31, 2025. These effective tax rates are calculated using extended values from our condensed consolidated statements of comprehensive income and are therefore more precise tax rates than can be calculated from rounded values. The current-year effective tax rate is lower primarily due to a discrete tax benefit in the U.K. related to deferred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Net income attributable to WTW for the three months ended March 31, 2026 was $297 million, compared to $235 million for the three months ended March 31, 2025, an increase of $62 million. This increase resulted primarily from higher revenue in the current year and higher pension income, partially offset by increased salary expense and benefits costs, and higher transaction and integration expense in the current year as compared to the prior year.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amounts available under our revolving credit facility and delayed draw term loan and any new debt offerings.</w:t>
      </w:r>
    </w:p>
    <w:p>
      <w:pPr>
        <w:spacing w:after="0" w:line="10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the Company has access to sufficient liquidity to meet our cash needs for the next twelve months. Including our cash generated from operations, our liquidity also includes all of the borrowing capacity available to draw against our $1.5 billion revolving credit facility and $225 million available to draw against our recently-acquired $775 million delayed draw term loan (the ‘DDTL’). During the first quarter of 2026, we used the net proceeds from our December 2025 $1.0 billion senior notes offering, after deducting underwriter discounts and commissions and estimated offering expenses, to pay the consideration, and related fees, costs and expenses, for our acquisition of Newfront Insurance Holdings, Inc. (‘Newfront’), which was completed on January 27, 2026. In addition, we used borrowings against our DDTL, along with cash on hand, to repay in full the $550 million aggregate principal amount of the 4.400% senior notes due 2026 and related accrued interest (see Note 3 — Acquisitions and Note 9 — Debt within Part I, Item 1 ‘Financial Statements’ of this Quarterly Report on Form 10-Q).</w:t>
      </w:r>
    </w:p>
    <w:p>
      <w:pPr>
        <w:spacing w:after="0" w:line="13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our minority ownership interest in a joint venture with Bain Capital, in connection with which we re-entered the reinsurance broking space during the fourth quarter of 2024, we have an option to acquire a controlling interest in the joint venture in the future. Given the initial funding needs of a start-up venture, we expect to make certain capital contributions from time to time resulting in a reduction to earnings until such time as the joint venture generates sufficient revenue to be profitable.</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we repurchased $300 million of our outstanding shares and have authorization to repurchase an additional $992 million under our share repurchase program (as further described below under ‘Share Repurchase Program’). We consider many factors, including market and economic conditions, applicable legal requirements and other business considerations, when considering whether to repurchase shares. Our Share Repurchase Program has no termination date and may be suspended or discontinued at any time.</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tax or regulatory matters, or future pension funding during periods of severe downturn in the capital 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the Company has not provided for deferred taxes on outside basis differences in our investments, as these outside basis differences can either be repatriated in a nontaxable manner or are considered permanently reinvested. If future events, including material changes in estimates of cash, working capital, long-term investment requirements or additional legislation, necessitate that these earnings be distributed, an additional provision for income and foreign</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3" w:name="page34"/>
    <w:bookmarkEnd w:id="33"/>
    <w:p>
      <w:pPr>
        <w:ind w:right="500"/>
        <w:spacing w:after="0" w:line="282" w:lineRule="auto"/>
        <w:rPr>
          <w:sz w:val="20"/>
          <w:szCs w:val="20"/>
          <w:color w:val="auto"/>
        </w:rPr>
      </w:pPr>
      <w:r>
        <w:rPr>
          <w:rFonts w:ascii="Times New Roman" w:cs="Times New Roman" w:eastAsia="Times New Roman" w:hAnsi="Times New Roman"/>
          <w:sz w:val="18"/>
          <w:szCs w:val="18"/>
          <w:color w:val="auto"/>
        </w:rPr>
        <w:t>withholding taxes, net of credits, may be necessary. Other potential sources of cash may be through the settlement of intercompany loans or return of capital distributions in a tax-efficient manner.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cash and cash equivalents at March 31, 2026 totaled $1.9 billion, compared to $3.1 billion at December 31, 2025. The significant change in cash from December 31, 2025 to March 31, 2026 was primarily due to cash outflows of $792 million associated with our Newfront acquisition, $300 million of share repurchases and $88 million of dividend payments.</w:t>
      </w:r>
    </w:p>
    <w:p>
      <w:pPr>
        <w:spacing w:after="0" w:line="12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Additionally, at March 31, 2026 and December 31, 2025, we had all of the borrowing capacity available to draw against our $1.5 billion revolving credit facility and $225 million available to draw against our recently-acquired $775 million DDTL.</w:t>
      </w:r>
    </w:p>
    <w:p>
      <w:pPr>
        <w:spacing w:after="0" w:line="10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Included within cash and cash equivalents at March 31, 2026 and December 31, 2025 are amounts held for regulatory capital adequacy requirements, including $85 million and $105 million, respectively, within our regulated U.K. entities.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three months ended March 31,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4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r>
      <w:tr>
        <w:trPr>
          <w:trHeight w:val="142"/>
        </w:trPr>
        <w:tc>
          <w:tcPr>
            <w:tcW w:w="79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r>
      <w:tr>
        <w:trPr>
          <w:trHeight w:val="142"/>
        </w:trPr>
        <w:tc>
          <w:tcPr>
            <w:tcW w:w="7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2"/>
          </w:tcPr>
          <w:p>
            <w:pPr>
              <w:jc w:val="center"/>
              <w:ind w:right="668"/>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600" w:type="dxa"/>
            <w:vAlign w:val="bottom"/>
          </w:tcPr>
          <w:p>
            <w:pPr>
              <w:spacing w:after="0"/>
              <w:rPr>
                <w:sz w:val="12"/>
                <w:szCs w:val="12"/>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in)/from:</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171"/>
        </w:trPr>
        <w:tc>
          <w:tcPr>
            <w:tcW w:w="79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DECREASE IN CASH, CASH EQUIVALENTS AND RESTRICTED</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254"/>
        </w:trPr>
        <w:tc>
          <w:tcPr>
            <w:tcW w:w="7940" w:type="dxa"/>
            <w:vAlign w:val="bottom"/>
            <w:shd w:val="clear" w:color="auto" w:fill="CCEEFF"/>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94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6,487</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4,998</w:t>
            </w:r>
          </w:p>
        </w:tc>
      </w:tr>
      <w:tr>
        <w:trPr>
          <w:trHeight w:val="210"/>
        </w:trPr>
        <w:tc>
          <w:tcPr>
            <w:tcW w:w="794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5,405</w:t>
            </w:r>
          </w:p>
        </w:tc>
        <w:tc>
          <w:tcPr>
            <w:tcW w:w="1140" w:type="dxa"/>
            <w:vAlign w:val="bottom"/>
            <w:gridSpan w:val="2"/>
          </w:tcPr>
          <w:p>
            <w:pPr>
              <w:jc w:val="center"/>
              <w:ind w:right="6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4,983</w:t>
            </w:r>
          </w:p>
        </w:tc>
      </w:tr>
      <w:tr>
        <w:trPr>
          <w:trHeight w:val="20"/>
        </w:trPr>
        <w:tc>
          <w:tcPr>
            <w:tcW w:w="7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1028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jc w:val="both"/>
        <w:ind w:left="280" w:right="120" w:hanging="272"/>
        <w:spacing w:after="0" w:line="251"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1 ‘Financial Statements’ within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Cash flows used in operating activities were $10 million for the three months ended March 31, 2026, compared to cash flows used in operating activities of $35 million for the three months ended March 31, 2025. The $10 million of net cash used in operating activities for the three months ended March 31, 2026 included net income of $303 million and $157 million of favorable non-cash adjustments, partially offset by unfavorable changes in operating assets and liabilities of $470 million. The increase was primarily due to operating margin expansion and the abatement of remaining Transformation program cash outflows (this program was completed in December 2024), offset by increased transaction and integration expenses in the current year as compared to the prior year.</w:t>
      </w:r>
    </w:p>
    <w:p>
      <w:pPr>
        <w:spacing w:after="0" w:line="1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$35 million of net cash used in operating activities for the three months ended March 31, 2025 included net income of $239 million and $238 million of favorable non-cash adjustments, partially offset by unfavorable changes in operating assets and liabilities of $512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for the three months ended March 31, 2026 were $840 million as compared to $84 million for the three months ended March 31, 2025. The cash flows used in investing activities in the current year were primarily driven by the acquisition of Newfront, as well as capital expenditures, including software additions, partially offset by the sales of available-for-sale securities. The cash flows used in investing activities in the prior year consisted primarily of capital expenditures, including software additions, and purchases of available-for-sale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In)/From Financing Activities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for the three months ended March 31, 2026 were $203 million. The significant financing activities included repayments of debt of $551 million, share repurchases of $300 million and dividend payments of $88 million, partially offset by borrowings of other debt of $549 million and net proceeds from fiduciary funds held for clients of $192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ind w:right="80"/>
        <w:spacing w:after="0" w:line="313" w:lineRule="auto"/>
        <w:rPr>
          <w:sz w:val="20"/>
          <w:szCs w:val="20"/>
          <w:color w:val="auto"/>
        </w:rPr>
      </w:pPr>
      <w:r>
        <w:rPr>
          <w:rFonts w:ascii="Times New Roman" w:cs="Times New Roman" w:eastAsia="Times New Roman" w:hAnsi="Times New Roman"/>
          <w:sz w:val="18"/>
          <w:szCs w:val="18"/>
          <w:color w:val="auto"/>
        </w:rPr>
        <w:t>Cash flows from financing activities for the three months ended March 31, 2025 were $24 million. The significant financing activities included net proceeds from fiduciary funds held for clients of $315 million, partially offset by share repurchases of $200 million and dividend payments of $88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March 31, 2026 and December 31, 2025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0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1440" w:type="dxa"/>
            <w:vAlign w:val="bottom"/>
          </w:tcPr>
          <w:p>
            <w:pPr>
              <w:spacing w:after="0"/>
              <w:rPr>
                <w:sz w:val="12"/>
                <w:szCs w:val="12"/>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7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6,304</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5,756</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6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550</w:t>
            </w:r>
          </w:p>
        </w:tc>
      </w:tr>
      <w:tr>
        <w:trPr>
          <w:trHeight w:val="25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37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6,304</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6,306</w:t>
            </w:r>
          </w:p>
        </w:tc>
      </w:tr>
      <w:tr>
        <w:trPr>
          <w:trHeight w:val="197"/>
        </w:trPr>
        <w:tc>
          <w:tcPr>
            <w:tcW w:w="5000" w:type="dxa"/>
            <w:vAlign w:val="bottom"/>
            <w:tcBorders>
              <w:top w:val="single" w:sz="8" w:color="CFF0FC"/>
            </w:tcBorders>
          </w:tcPr>
          <w:p>
            <w:pPr>
              <w:spacing w:after="0"/>
              <w:rPr>
                <w:sz w:val="17"/>
                <w:szCs w:val="17"/>
                <w:color w:val="auto"/>
              </w:rPr>
            </w:pPr>
          </w:p>
        </w:tc>
        <w:tc>
          <w:tcPr>
            <w:tcW w:w="260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37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7,977</w:t>
            </w:r>
          </w:p>
        </w:tc>
        <w:tc>
          <w:tcPr>
            <w:tcW w:w="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7,976</w:t>
            </w:r>
          </w:p>
        </w:tc>
      </w:tr>
      <w:tr>
        <w:trPr>
          <w:trHeight w:val="197"/>
        </w:trPr>
        <w:tc>
          <w:tcPr>
            <w:tcW w:w="5000" w:type="dxa"/>
            <w:vAlign w:val="bottom"/>
            <w:tcBorders>
              <w:top w:val="single" w:sz="8" w:color="CFF0FC"/>
            </w:tcBorders>
          </w:tcPr>
          <w:p>
            <w:pPr>
              <w:spacing w:after="0"/>
              <w:rPr>
                <w:sz w:val="17"/>
                <w:szCs w:val="17"/>
                <w:color w:val="auto"/>
              </w:rPr>
            </w:pPr>
          </w:p>
        </w:tc>
        <w:tc>
          <w:tcPr>
            <w:tcW w:w="260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5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Capitalization ratio</w:t>
            </w:r>
          </w:p>
        </w:tc>
        <w:tc>
          <w:tcPr>
            <w:tcW w:w="26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-624840</wp:posOffset>
            </wp:positionV>
            <wp:extent cx="1111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-607695</wp:posOffset>
            </wp:positionV>
            <wp:extent cx="111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-325120</wp:posOffset>
            </wp:positionV>
            <wp:extent cx="111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-307975</wp:posOffset>
            </wp:positionV>
            <wp:extent cx="1111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1111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current and long-term debt, please see ‘Supplemental Guarantor Financial Information’ elsewhere within Part I, Item 2 of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and December 31, 2025, we had fiduciary funds of $4.0 billion and $3.8 billion,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September 16, 2025, the board of directors approved a $1.5 billion increase to the existing share repurchase program. This increase brought the total approved authorization, since the announcement of the program on April 20, 2016, to $11.7 billion.</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March 31, 2026, approximately $992 million remained on the current repurchase authority. The maximum number of shares that could be repurchased based on the closing price of our ordinary shares on March 31, 2026 of $290.70 was 3,411,739.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had the following share repurchase activity: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2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46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66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1,014,334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per share</w:t>
            </w:r>
          </w:p>
        </w:tc>
        <w:tc>
          <w:tcPr>
            <w:tcW w:w="66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$295.73</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4420" w:type="dxa"/>
            <w:vAlign w:val="bottom"/>
            <w:shd w:val="clear" w:color="auto" w:fill="CFF0FC"/>
          </w:tcPr>
          <w:p>
            <w:pPr>
              <w:spacing w:after="0"/>
              <w:rPr>
                <w:sz w:val="18"/>
                <w:szCs w:val="18"/>
                <w:color w:val="auto"/>
              </w:rPr>
            </w:pPr>
          </w:p>
        </w:tc>
        <w:tc>
          <w:tcPr>
            <w:tcW w:w="2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$300 million</w:t>
            </w:r>
          </w:p>
        </w:tc>
      </w:tr>
      <w:tr>
        <w:trPr>
          <w:trHeight w:val="769"/>
        </w:trPr>
        <w:tc>
          <w:tcPr>
            <w:tcW w:w="4620" w:type="dxa"/>
            <w:vAlign w:val="bottom"/>
          </w:tcPr>
          <w:p>
            <w:pPr>
              <w:spacing w:after="0"/>
              <w:rPr>
                <w:sz w:val="24"/>
                <w:szCs w:val="24"/>
                <w:color w:val="auto"/>
              </w:rPr>
            </w:pPr>
          </w:p>
        </w:tc>
        <w:tc>
          <w:tcPr>
            <w:tcW w:w="442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35</w:t>
            </w:r>
          </w:p>
        </w:tc>
        <w:tc>
          <w:tcPr>
            <w:tcW w:w="220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The Company’s capital expenditures for fixed assets and software were $55 million during the three months ended March 31, 2026. The Company estimates that there will be additional such expenditures in the range of $170 million to $195 million during the remainder of 2026. We currently expect cash from operations to adequately provide for these cash needs. There have been no material changes to our capital commitments since December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Total cash dividends of $88 million were paid during the three months ended March 31, 2026. In February 2026, the board of directors approved a quarterly cash dividend of $0.96 per share ($3.84 per share annualized rate), which was paid on April 15, 2026 to shareholders of record as of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WTW has issued the following debt securities (the ‘notes’):</w:t>
      </w:r>
    </w:p>
    <w:p>
      <w:pPr>
        <w:spacing w:after="0" w:line="117" w:lineRule="exact"/>
        <w:rPr>
          <w:sz w:val="20"/>
          <w:szCs w:val="20"/>
          <w:color w:val="auto"/>
        </w:rPr>
      </w:pPr>
    </w:p>
    <w:p>
      <w:pPr>
        <w:ind w:left="760" w:right="200" w:hanging="378"/>
        <w:spacing w:after="0" w:line="26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$5.5 billion senior notes outstanding, of which $1.0 billion were issued on September 10, 2018, $1.0 billion were issued on September 10, 2019, $275 million were issued on May 29, 2020, $750 million were issued on May 19, 2022, $750 million were issued on May 17, 2023, $750 million were issued on March 5, 2024 and $1.0 billion were issued on December 22, 2025, and has $550 million outstanding under a $775 million DDTL; and</w:t>
      </w:r>
    </w:p>
    <w:p>
      <w:pPr>
        <w:spacing w:after="0" w:line="71"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$275 million senior notes outstanding, which were issued on August 15, 2013, and a $1.5 billion revolving credit facility, on which no balance was outstanding at March 31, 2026.</w:t>
      </w:r>
    </w:p>
    <w:p>
      <w:pPr>
        <w:spacing w:after="0" w:line="10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March 31, 2026. These subsidiaries are all consolidated by Willis Towers Watson plc (the ‘parent company’) and together with the parent company comprise the ‘Obligor group’.</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73"/>
        </w:trPr>
        <w:tc>
          <w:tcPr>
            <w:tcW w:w="73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36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$1.5 billion revolving credit facility and any debt under the DDTL;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March 31, 2026 and December 31, 2025,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and related arrangements, intercompany dividends and intercompany interest. At March 31, 2026 and December 31, 2025, the intercompany balances of the Obligor group with non-guarantor subsidiaries were net receivables of $1.8 billion and $1.9 billion, respectively, and net payables of $17.1 billion and $16.3 billion,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42"/>
        </w:trPr>
        <w:tc>
          <w:tcPr>
            <w:tcW w:w="7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840" w:type="dxa"/>
            <w:vAlign w:val="bottom"/>
            <w:gridSpan w:val="3"/>
          </w:tcPr>
          <w:p>
            <w:pPr>
              <w:jc w:val="center"/>
              <w:ind w:right="1356"/>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1,931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8,085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7,733</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15,646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15,068</w:t>
            </w:r>
          </w:p>
        </w:tc>
      </w:tr>
      <w:tr>
        <w:trPr>
          <w:trHeight w:val="537"/>
        </w:trPr>
        <w:tc>
          <w:tcPr>
            <w:tcW w:w="7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42"/>
        </w:trPr>
        <w:tc>
          <w:tcPr>
            <w:tcW w:w="7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center"/>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7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Income from operations before income taxes and interest in earnings of associates </w:t>
            </w:r>
            <w:r>
              <w:rPr>
                <w:rFonts w:ascii="Times New Roman" w:cs="Times New Roman" w:eastAsia="Times New Roman" w:hAnsi="Times New Roman"/>
                <w:sz w:val="24"/>
                <w:szCs w:val="24"/>
                <w:color w:val="auto"/>
                <w:vertAlign w:val="superscript"/>
              </w:rPr>
              <w:t>(i)</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$129 million for the three months ended March 31,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 reported change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income/margin</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198"/>
        </w:trPr>
        <w:tc>
          <w:tcPr>
            <w:tcW w:w="4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 and</w:t>
            </w:r>
          </w:p>
        </w:tc>
        <w:tc>
          <w:tcPr>
            <w:tcW w:w="6620" w:type="dxa"/>
            <w:vAlign w:val="bottom"/>
            <w:shd w:val="clear" w:color="auto" w:fill="CFF0FC"/>
          </w:tcPr>
          <w:p>
            <w:pPr>
              <w:ind w:left="1120"/>
              <w:spacing w:after="0" w:line="198" w:lineRule="exact"/>
              <w:rPr>
                <w:sz w:val="20"/>
                <w:szCs w:val="20"/>
                <w:color w:val="auto"/>
              </w:rPr>
            </w:pPr>
            <w:r>
              <w:rPr>
                <w:rFonts w:ascii="Times New Roman" w:cs="Times New Roman" w:eastAsia="Times New Roman" w:hAnsi="Times New Roman"/>
                <w:sz w:val="18"/>
                <w:szCs w:val="18"/>
                <w:color w:val="auto"/>
              </w:rPr>
              <w:t>Adjusted income before taxes</w:t>
            </w:r>
          </w:p>
        </w:tc>
      </w:tr>
      <w:tr>
        <w:trPr>
          <w:trHeight w:val="234"/>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 earnings of associates</w:t>
            </w:r>
          </w:p>
        </w:tc>
        <w:tc>
          <w:tcPr>
            <w:tcW w:w="6620" w:type="dxa"/>
            <w:vAlign w:val="bottom"/>
            <w:shd w:val="clear" w:color="auto" w:fill="CFF0FC"/>
          </w:tcPr>
          <w:p>
            <w:pPr>
              <w:spacing w:after="0"/>
              <w:rPr>
                <w:sz w:val="20"/>
                <w:szCs w:val="20"/>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6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6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Free cash flow</w:t>
            </w:r>
          </w:p>
        </w:tc>
      </w:tr>
      <w:tr>
        <w:trPr>
          <w:trHeight w:val="607"/>
        </w:trPr>
        <w:tc>
          <w:tcPr>
            <w:tcW w:w="4620" w:type="dxa"/>
            <w:vAlign w:val="bottom"/>
          </w:tcPr>
          <w:p>
            <w:pPr>
              <w:spacing w:after="0"/>
              <w:rPr>
                <w:sz w:val="24"/>
                <w:szCs w:val="24"/>
                <w:color w:val="auto"/>
              </w:rPr>
            </w:pPr>
          </w:p>
        </w:tc>
        <w:tc>
          <w:tcPr>
            <w:tcW w:w="6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37</w:t>
            </w:r>
          </w:p>
        </w:tc>
      </w:tr>
      <w:tr>
        <w:trPr>
          <w:trHeight w:val="763"/>
        </w:trPr>
        <w:tc>
          <w:tcPr>
            <w:tcW w:w="46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ind w:right="80"/>
        <w:spacing w:after="0" w:line="313"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spacing w:after="0" w:line="72" w:lineRule="exact"/>
        <w:rPr>
          <w:sz w:val="20"/>
          <w:szCs w:val="20"/>
          <w:color w:val="auto"/>
        </w:rPr>
      </w:pPr>
    </w:p>
    <w:p>
      <w:pPr>
        <w:ind w:left="760" w:right="180" w:hanging="378"/>
        <w:spacing w:after="0" w:line="26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 Management believes it is appropriate to adjust for significant acquisition-related transaction and integration expenses including changes in significant estimated acquisition earnouts payable and acquisition-related compensation charges. We believe the adjustment is necessary to present how the Company is performing, both now and in the future when the incurrence of these costs will have concluded.</w:t>
      </w:r>
    </w:p>
    <w:p>
      <w:pPr>
        <w:spacing w:after="0" w:line="71"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periodic pension and postretirement benefits – Adjustment to remove the recognition of net periodic pension and postretirement benefits (including pension settlements), other than service costs. We have included this adjustment as applicable in our prior-period disclosures in order to conform to the current-period presentation.</w:t>
      </w:r>
    </w:p>
    <w:p>
      <w:pPr>
        <w:spacing w:after="0" w:line="12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52" w:lineRule="exact"/>
        <w:rPr>
          <w:sz w:val="20"/>
          <w:szCs w:val="20"/>
          <w:color w:val="auto"/>
        </w:rPr>
      </w:pPr>
    </w:p>
    <w:p>
      <w:pPr>
        <w:ind w:left="760" w:right="60" w:hanging="378"/>
        <w:spacing w:after="0" w:line="257"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4"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and Segment Operating Income’ section within this Form 10-Q.</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reconciliation of the as-reported change to the constant currency and organic changes for the three months ended March 31, 2026 from the three months ended March 31, 2025 is as follows. The components of revenue change may not add due to rounding.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2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3"/>
                <w:szCs w:val="13"/>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9"/>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1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 xml:space="preserve">Change </w:t>
            </w:r>
            <w:r>
              <w:rPr>
                <w:rFonts w:ascii="Times New Roman" w:cs="Times New Roman" w:eastAsia="Times New Roman" w:hAnsi="Times New Roman"/>
                <w:sz w:val="17"/>
                <w:szCs w:val="17"/>
                <w:b w:val="1"/>
                <w:bCs w:val="1"/>
                <w:color w:val="auto"/>
                <w:vertAlign w:val="superscript"/>
              </w:rPr>
              <w:t>(i)</w:t>
            </w:r>
          </w:p>
        </w:tc>
        <w:tc>
          <w:tcPr>
            <w:tcW w:w="0" w:type="dxa"/>
            <w:vAlign w:val="bottom"/>
          </w:tcPr>
          <w:p>
            <w:pPr>
              <w:spacing w:after="0"/>
              <w:rPr>
                <w:sz w:val="1"/>
                <w:szCs w:val="1"/>
                <w:color w:val="auto"/>
              </w:rPr>
            </w:pPr>
          </w:p>
        </w:tc>
      </w:tr>
      <w:tr>
        <w:trPr>
          <w:trHeight w:val="142"/>
        </w:trPr>
        <w:tc>
          <w:tcPr>
            <w:tcW w:w="1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76"/>
              </w:rPr>
              <w:t>millions)</w:t>
            </w: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2,412</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2,223</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3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126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-24765</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-8255</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Interest income did not contribute to organic change for the three months ended March 31, 2026.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our as-reported revenue increased by $189 million, or 8% and our organic revenue grew by 3%. For additional information, please see the section entitled ‘Segment Revenue and Segment Operating Income’ elsewhere within Part I, Item 2 of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amortization, transaction and integration expenses and non-recurring items that, in management’s judgment, significantly affect the period-over-period assessment of operating results. Adjusted operating income margin is calculated by dividing adjusted operating income by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months ended March 31, 2026 and 2025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0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40" w:type="dxa"/>
            <w:vAlign w:val="bottom"/>
            <w:gridSpan w:val="3"/>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448</w:t>
            </w:r>
          </w:p>
        </w:tc>
        <w:tc>
          <w:tcPr>
            <w:tcW w:w="1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537</w:t>
            </w:r>
          </w:p>
        </w:tc>
        <w:tc>
          <w:tcPr>
            <w:tcW w:w="1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480</w:t>
            </w:r>
          </w:p>
        </w:tc>
      </w:tr>
      <w:tr>
        <w:trPr>
          <w:trHeight w:val="197"/>
        </w:trPr>
        <w:tc>
          <w:tcPr>
            <w:tcW w:w="756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-448310</wp:posOffset>
            </wp:positionV>
            <wp:extent cx="1111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-431165</wp:posOffset>
            </wp:positionV>
            <wp:extent cx="1111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March 31, 2026 to $537 million, from $480 million for the three months ended March 31, 2025. This increase resulted primarily from higher revenue in the current year, partially offset by higher salary expense and benefits costs in the current year as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adjusted for provision for income taxes, interest expense, depreciation and amortization, transaction and integration expenses,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months ended March 31, 2026 and 2025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00" w:type="dxa"/>
            <w:vAlign w:val="bottom"/>
            <w:gridSpan w:val="3"/>
          </w:tcPr>
          <w:p>
            <w:pPr>
              <w:jc w:val="right"/>
              <w:ind w:right="80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2"/>
                <w:szCs w:val="12"/>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303</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1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19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0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589</w:t>
            </w:r>
          </w:p>
        </w:tc>
        <w:tc>
          <w:tcPr>
            <w:tcW w:w="12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532</w:t>
            </w:r>
          </w:p>
        </w:tc>
      </w:tr>
      <w:tr>
        <w:trPr>
          <w:trHeight w:val="196"/>
        </w:trPr>
        <w:tc>
          <w:tcPr>
            <w:tcW w:w="5620" w:type="dxa"/>
            <w:vAlign w:val="bottom"/>
            <w:tcBorders>
              <w:top w:val="single" w:sz="8" w:color="CFF0FC"/>
            </w:tcBorders>
          </w:tcPr>
          <w:p>
            <w:pPr>
              <w:spacing w:after="0"/>
              <w:rPr>
                <w:sz w:val="17"/>
                <w:szCs w:val="17"/>
                <w:color w:val="auto"/>
              </w:rPr>
            </w:pPr>
          </w:p>
        </w:tc>
        <w:tc>
          <w:tcPr>
            <w:tcW w:w="198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margin</w:t>
            </w:r>
          </w:p>
        </w:tc>
        <w:tc>
          <w:tcPr>
            <w:tcW w:w="19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-448310</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-431165</wp:posOffset>
            </wp:positionV>
            <wp:extent cx="1111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0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2026 was $589 million, compared to $532 million for the three months ended March 31, 2025. This increase resulted primarily from higher revenue in the current year, partially offset by higher salary expense and benefits costs in the current year as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amortization, transaction and integration expenses,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ind w:right="460"/>
        <w:spacing w:after="0" w:line="313"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months ended March 31, 2026 and 2025 are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r>
      <w:tr>
        <w:trPr>
          <w:trHeight w:val="142"/>
        </w:trPr>
        <w:tc>
          <w:tcPr>
            <w:tcW w:w="5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220" w:type="dxa"/>
            <w:vAlign w:val="bottom"/>
            <w:gridSpan w:val="2"/>
          </w:tcPr>
          <w:p>
            <w:pPr>
              <w:jc w:val="center"/>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620" w:type="dxa"/>
            <w:vAlign w:val="bottom"/>
          </w:tcPr>
          <w:p>
            <w:pPr>
              <w:spacing w:after="0"/>
              <w:rPr>
                <w:sz w:val="12"/>
                <w:szCs w:val="12"/>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308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c>
          <w:tcPr>
            <w:tcW w:w="1220" w:type="dxa"/>
            <w:vAlign w:val="bottom"/>
            <w:gridSpan w:val="2"/>
            <w:shd w:val="clear" w:color="auto" w:fill="CFF0FC"/>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2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700" w:type="dxa"/>
            <w:vAlign w:val="bottom"/>
            <w:tcBorders>
              <w:bottom w:val="single" w:sz="8" w:color="CFF0FC"/>
            </w:tcBorders>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20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08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c>
          <w:tcPr>
            <w:tcW w:w="1220" w:type="dxa"/>
            <w:vAlign w:val="bottom"/>
            <w:gridSpan w:val="2"/>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r>
      <w:tr>
        <w:trPr>
          <w:trHeight w:val="20"/>
        </w:trPr>
        <w:tc>
          <w:tcPr>
            <w:tcW w:w="5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7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80" w:type="dxa"/>
            <w:vAlign w:val="bottom"/>
            <w:gridSpan w:val="2"/>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5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 xml:space="preserve"> :</w:t>
            </w:r>
          </w:p>
        </w:tc>
        <w:tc>
          <w:tcPr>
            <w:tcW w:w="2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2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20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57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20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20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3.72</w:t>
            </w:r>
          </w:p>
        </w:tc>
        <w:tc>
          <w:tcPr>
            <w:tcW w:w="1220" w:type="dxa"/>
            <w:vAlign w:val="bottom"/>
            <w:gridSpan w:val="2"/>
            <w:shd w:val="clear" w:color="auto" w:fill="CFF0FC"/>
          </w:tcPr>
          <w:p>
            <w:pPr>
              <w:jc w:val="center"/>
              <w:ind w:right="70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-1713865</wp:posOffset>
            </wp:positionV>
            <wp:extent cx="1111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8"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adjusted diluted earnings per share increased for the three months ended March 31, 2026 as compared to the prior year due in part to a lower weighted-average outstanding share count due to our share repurchase activity over the last year, however primarily resulted from higher revenue in the current year, partially offset by higher salary expense and benefits costs in the current year as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and interest in earnings of associates adjusted for amortization, transaction and integration expenses,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amortization, transaction and integration expenses, gains and losses on disposals of operations, net periodic pension and postretirement benefits,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1" w:name="page42"/>
    <w:bookmarkEnd w:id="41"/>
    <w:p>
      <w:pPr>
        <w:ind w:right="380"/>
        <w:spacing w:after="0" w:line="282"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and interest in earnings of associates to adjusted income before taxes and provision for income taxes to adjusted income taxes for the three months ended March 31, 2026 and 2025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42"/>
        </w:trPr>
        <w:tc>
          <w:tcPr>
            <w:tcW w:w="6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240" w:type="dxa"/>
            <w:vAlign w:val="bottom"/>
            <w:gridSpan w:val="2"/>
          </w:tcPr>
          <w:p>
            <w:pPr>
              <w:jc w:val="center"/>
              <w:ind w:right="748"/>
              <w:spacing w:after="0" w:line="142" w:lineRule="exact"/>
              <w:rPr>
                <w:sz w:val="20"/>
                <w:szCs w:val="20"/>
                <w:color w:val="auto"/>
              </w:rPr>
            </w:pPr>
            <w:r>
              <w:rPr>
                <w:rFonts w:ascii="Times New Roman" w:cs="Times New Roman" w:eastAsia="Times New Roman" w:hAnsi="Times New Roman"/>
                <w:sz w:val="14"/>
                <w:szCs w:val="14"/>
                <w:b w:val="1"/>
                <w:bCs w:val="1"/>
                <w:color w:val="auto"/>
                <w:w w:val="80"/>
              </w:rPr>
              <w:t>millions)</w:t>
            </w:r>
          </w:p>
        </w:tc>
        <w:tc>
          <w:tcPr>
            <w:tcW w:w="660" w:type="dxa"/>
            <w:vAlign w:val="bottom"/>
          </w:tcPr>
          <w:p>
            <w:pPr>
              <w:spacing w:after="0"/>
              <w:rPr>
                <w:sz w:val="12"/>
                <w:szCs w:val="12"/>
                <w:color w:val="auto"/>
              </w:rPr>
            </w:pPr>
          </w:p>
        </w:tc>
      </w:tr>
      <w:tr>
        <w:trPr>
          <w:trHeight w:val="198"/>
        </w:trPr>
        <w:tc>
          <w:tcPr>
            <w:tcW w:w="6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INCOME FROM OPERATIONS BEFORE INCOME TAXES AND INTEREST IN</w:t>
            </w:r>
          </w:p>
        </w:tc>
        <w:tc>
          <w:tcPr>
            <w:tcW w:w="7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r>
      <w:tr>
        <w:trPr>
          <w:trHeight w:val="234"/>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 OF ASSOCIATES</w:t>
            </w:r>
          </w:p>
        </w:tc>
        <w:tc>
          <w:tcPr>
            <w:tcW w:w="18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376</w:t>
            </w:r>
          </w:p>
        </w:tc>
        <w:tc>
          <w:tcPr>
            <w:tcW w:w="1240" w:type="dxa"/>
            <w:vAlign w:val="bottom"/>
            <w:gridSpan w:val="2"/>
            <w:shd w:val="clear" w:color="auto" w:fill="CFF0FC"/>
          </w:tcPr>
          <w:p>
            <w:pPr>
              <w:jc w:val="center"/>
              <w:ind w:right="72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periodic pension and postretirement benefits</w:t>
            </w:r>
          </w:p>
        </w:tc>
        <w:tc>
          <w:tcPr>
            <w:tcW w:w="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8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459</w:t>
            </w:r>
          </w:p>
        </w:tc>
        <w:tc>
          <w:tcPr>
            <w:tcW w:w="1240" w:type="dxa"/>
            <w:vAlign w:val="bottom"/>
            <w:gridSpan w:val="2"/>
            <w:shd w:val="clear" w:color="auto" w:fill="CFF0FC"/>
          </w:tcPr>
          <w:p>
            <w:pPr>
              <w:jc w:val="center"/>
              <w:ind w:right="72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412</w:t>
            </w:r>
          </w:p>
        </w:tc>
      </w:tr>
      <w:tr>
        <w:trPr>
          <w:trHeight w:val="196"/>
        </w:trPr>
        <w:tc>
          <w:tcPr>
            <w:tcW w:w="686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gridSpan w:val="2"/>
            <w:shd w:val="clear" w:color="auto" w:fill="CFF0FC"/>
          </w:tcPr>
          <w:p>
            <w:pPr>
              <w:jc w:val="center"/>
              <w:ind w:right="72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r>
      <w:tr>
        <w:trPr>
          <w:trHeight w:val="24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income taxes</w:t>
            </w:r>
          </w:p>
        </w:tc>
        <w:tc>
          <w:tcPr>
            <w:tcW w:w="182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93</w:t>
            </w:r>
          </w:p>
        </w:tc>
        <w:tc>
          <w:tcPr>
            <w:tcW w:w="1240" w:type="dxa"/>
            <w:vAlign w:val="bottom"/>
            <w:gridSpan w:val="2"/>
            <w:shd w:val="clear" w:color="auto" w:fill="CFF0FC"/>
          </w:tcPr>
          <w:p>
            <w:pPr>
              <w:jc w:val="center"/>
              <w:ind w:right="72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r>
      <w:tr>
        <w:trPr>
          <w:trHeight w:val="197"/>
        </w:trPr>
        <w:tc>
          <w:tcPr>
            <w:tcW w:w="686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GAAP tax rate</w:t>
            </w:r>
          </w:p>
        </w:tc>
        <w:tc>
          <w:tcPr>
            <w:tcW w:w="7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income tax rate</w:t>
            </w: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-1031240</wp:posOffset>
            </wp:positionV>
            <wp:extent cx="1111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-1014095</wp:posOffset>
            </wp:positionV>
            <wp:extent cx="1111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-448310</wp:posOffset>
            </wp:positionV>
            <wp:extent cx="1111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-431165</wp:posOffset>
            </wp:positionV>
            <wp:extent cx="1111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U.S. GAAP tax rates were 18.6% and 21.5% for the three months ended March 31, 2026 and 2025, respectively, and our adjusted income tax rates were 20.3% and 22.7% for the three months ended March 31, 2026 and 2025, respectively. The current-year effective tax rates are lower primarily due to a discrete tax benefit in the U.K. related to deferred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Free cash flow is defined as cash flows from/(used in) operating activities less cash used to purchase fixed assets and software. Management believes that free cash flow presents the core operating performance and cash generating capabilities of our business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used in operating activities to free cash flow for the three months ended March 31, 2026 and 2025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2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2"/>
                <w:szCs w:val="12"/>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400" w:type="dxa"/>
            <w:vAlign w:val="bottom"/>
            <w:gridSpan w:val="2"/>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Additions to fixed assets and software</w:t>
            </w:r>
          </w:p>
        </w:tc>
        <w:tc>
          <w:tcPr>
            <w:tcW w:w="2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(65)</w:t>
            </w:r>
          </w:p>
        </w:tc>
        <w:tc>
          <w:tcPr>
            <w:tcW w:w="12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increase was primarily due to operating margin expansion and the abatement of remaining Transformation program cash outflows (this program was completed in December 2024), offset by increased transaction and integration expenses in the current year as compared to the prior year.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2025, filed with the SEC on February 25,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three months ended March 31, 2026 and have determined that there have been no material changes to our exposure to market risks from those described in the Company’s Annual Report on Form 10-K for the year ended December 31, 2025, filed with the SEC on February 25, 2026. However, we have provided the following information to supplement or update our disclosures on our Form 10-K.</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Fiduciary Funds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our Annual Report on Form 10-K, we are exposed to interest rate risk. Specifically, as a result of our operating activities, we receive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premiums and claims which we deposit in high-quality bank term deposit and money market funds, on which we earn interest, where permitted.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hold funds for clients of our benefits accounts businesses. For the benefit funds not invested, cash and cash equivalents are held, on which we earn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until the funds are directed by plan participants to either be invested in mutual funds or paid out on their behalf. This interest earned is included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financial statements as interest income. These funds are regulated in terms of access and the instruments in which they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invested, most of which are short-term in maturity. Short-term rates in most major currencies continued to decrease in 2025 from end-of-2024 levels,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central banks reducing rates throughout the period. Our interest income in 2025 reflected a combination of lower average interest rates over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course of 2025 offset with some increases in our invested cash balances. Through the first quarter of 2026, short-term rates have remained in line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expectations. Significant economic uncertainty prevails at this time, and the timing and magnitude of future central bank rate changes are uncertain. As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expected, interest income in the future will be a function of the short-term rates we are able to obtain by currency and the cash balances available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 Interest income was $40 million and $39 million for the three months ended March 31, 2026 and 2025, respectively. At March 31, 2026, we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billion of fiduciary funds invested in interest-bearing accounts. If short-term interest rates increased or decreased by 25 basis points, interest earned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invested fiduciary funds, and therefore our interest income recognized, would increase or decrease by approximately $7 million on an annualized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March 31, 2026,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March 31, 2026 that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reasonable assurance of achieving their stated objectives, and the CEO and CFO have concluded that the disclosure controls and procedures are effective at a reasonable assurance level.</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13 — Commitments and Contingencies - Legal Proceedings of the notes to the condensed consolidated financial statements in this Form 10-Q for the quarter ended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risk factors as previously disclosed in our Annual Report on Form 10-K, filed with the SEC on February 25, 2026. We urge you to read the risk factors contained therein.</w:t>
      </w:r>
    </w:p>
    <w:p>
      <w:pPr>
        <w:spacing w:after="0" w:line="104" w:lineRule="exact"/>
        <w:rPr>
          <w:sz w:val="20"/>
          <w:szCs w:val="20"/>
          <w:color w:val="auto"/>
        </w:rPr>
      </w:pPr>
    </w:p>
    <w:p>
      <w:pPr>
        <w:ind w:right="4140"/>
        <w:spacing w:after="0" w:line="440"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Unregistered Sales of Equity Securities</w:t>
      </w:r>
    </w:p>
    <w:p>
      <w:pPr>
        <w:spacing w:after="0" w:line="1"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On March 31, 2026, in connection with the acquisition of Newfront, the Company issued an aggregate of 199,028 ordinary shares, subject to vesting and transfer restrictions, to trusts established by certain key employees of Newfront. The securities were issued without registration in reliance on Section 4(a)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Securities Act as a sale by the Company not involving a public offering.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September 16, 2025, the board of directors approved a $1.5 billion increase to the existing share repurchase program. This increase brought the total approved authorization, since the announcement of the program on April 20, 2016, to $11.7 billion.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first quarter of 2026 and the Company’s remaining repurchase authority.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Total number of 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Average price</w:t>
            </w:r>
          </w:p>
        </w:tc>
        <w:tc>
          <w:tcPr>
            <w:tcW w:w="120" w:type="dxa"/>
            <w:vAlign w:val="bottom"/>
          </w:tcPr>
          <w:p>
            <w:pPr>
              <w:spacing w:after="0"/>
              <w:rPr>
                <w:sz w:val="13"/>
                <w:szCs w:val="13"/>
                <w:color w:val="auto"/>
              </w:rPr>
            </w:pPr>
          </w:p>
        </w:tc>
        <w:tc>
          <w:tcPr>
            <w:tcW w:w="202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Total number of shares</w:t>
            </w:r>
          </w:p>
        </w:tc>
        <w:tc>
          <w:tcPr>
            <w:tcW w:w="100" w:type="dxa"/>
            <w:vAlign w:val="bottom"/>
          </w:tcPr>
          <w:p>
            <w:pPr>
              <w:spacing w:after="0"/>
              <w:rPr>
                <w:sz w:val="13"/>
                <w:szCs w:val="13"/>
                <w:color w:val="auto"/>
              </w:rPr>
            </w:pPr>
          </w:p>
        </w:tc>
        <w:tc>
          <w:tcPr>
            <w:tcW w:w="198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Maximum number of shares</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color w:val="auto"/>
              </w:rPr>
              <w:t>purchased as part of publicly</w:t>
            </w:r>
          </w:p>
        </w:tc>
        <w:tc>
          <w:tcPr>
            <w:tcW w:w="100" w:type="dxa"/>
            <w:vAlign w:val="bottom"/>
          </w:tcPr>
          <w:p>
            <w:pPr>
              <w:spacing w:after="0"/>
              <w:rPr>
                <w:sz w:val="12"/>
                <w:szCs w:val="12"/>
                <w:color w:val="auto"/>
              </w:rPr>
            </w:pPr>
          </w:p>
        </w:tc>
        <w:tc>
          <w:tcPr>
            <w:tcW w:w="1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rPr>
              <w:t>paid per share</w:t>
            </w:r>
          </w:p>
        </w:tc>
        <w:tc>
          <w:tcPr>
            <w:tcW w:w="120" w:type="dxa"/>
            <w:vAlign w:val="bottom"/>
          </w:tcPr>
          <w:p>
            <w:pPr>
              <w:spacing w:after="0"/>
              <w:rPr>
                <w:sz w:val="14"/>
                <w:szCs w:val="14"/>
                <w:color w:val="auto"/>
              </w:rPr>
            </w:pPr>
          </w:p>
        </w:tc>
        <w:tc>
          <w:tcPr>
            <w:tcW w:w="20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100" w:type="dxa"/>
            <w:vAlign w:val="bottom"/>
          </w:tcPr>
          <w:p>
            <w:pPr>
              <w:spacing w:after="0"/>
              <w:rPr>
                <w:sz w:val="14"/>
                <w:szCs w:val="14"/>
                <w:color w:val="auto"/>
              </w:rPr>
            </w:pPr>
          </w:p>
        </w:tc>
        <w:tc>
          <w:tcPr>
            <w:tcW w:w="1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January 1, 2026 through January 31, 2026</w:t>
            </w: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24,885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325.39</w:t>
            </w:r>
          </w:p>
        </w:tc>
        <w:tc>
          <w:tcPr>
            <w:tcW w:w="21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24,885</w:t>
            </w:r>
          </w:p>
        </w:tc>
        <w:tc>
          <w:tcPr>
            <w:tcW w:w="20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4,401,188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February 1, 2026 through February 28, 2026</w:t>
            </w: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601,945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295.84</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601,945</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3,799,243</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1, 2026 through March 31, 2026</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387,504</w:t>
            </w:r>
          </w:p>
        </w:tc>
        <w:tc>
          <w:tcPr>
            <w:tcW w:w="3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293.64</w:t>
            </w:r>
          </w:p>
        </w:tc>
        <w:tc>
          <w:tcPr>
            <w:tcW w:w="120" w:type="dxa"/>
            <w:vAlign w:val="bottom"/>
            <w:tcBorders>
              <w:bottom w:val="single" w:sz="8" w:color="CFF0FC"/>
            </w:tcBorders>
            <w:shd w:val="clear" w:color="auto" w:fill="CFF0FC"/>
          </w:tcPr>
          <w:p>
            <w:pPr>
              <w:spacing w:after="0"/>
              <w:rPr>
                <w:sz w:val="18"/>
                <w:szCs w:val="18"/>
                <w:color w:val="auto"/>
              </w:rPr>
            </w:pPr>
          </w:p>
        </w:tc>
        <w:tc>
          <w:tcPr>
            <w:tcW w:w="20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387,504</w:t>
            </w:r>
          </w:p>
        </w:tc>
        <w:tc>
          <w:tcPr>
            <w:tcW w:w="20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3,411,739</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1,014,334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295.73</w:t>
            </w:r>
          </w:p>
        </w:tc>
        <w:tc>
          <w:tcPr>
            <w:tcW w:w="214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1,014,334</w:t>
            </w: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-170815</wp:posOffset>
            </wp:positionV>
            <wp:extent cx="939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At March 31, 2026 the maximum number of shares that may yet be purchased under the existing share repurchase plan is 3,411,739, with approximately $992 million remaining on the current open-ended repurchase authority granted by the board. An estimate of the maximum number of shares under the existing authorities was determined using the closing price of our ordinary shares on March 31, 2026 of $290.70.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80" w:type="dxa"/>
            <w:vAlign w:val="bottom"/>
            <w:gridSpan w:val="1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Schedul</w:t>
            </w:r>
          </w:p>
        </w:tc>
        <w:tc>
          <w:tcPr>
            <w:tcW w:w="10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w:t>
            </w:r>
          </w:p>
        </w:tc>
        <w:tc>
          <w:tcPr>
            <w:tcW w:w="100" w:type="dxa"/>
            <w:vAlign w:val="bottom"/>
          </w:tcPr>
          <w:p>
            <w:pPr>
              <w:spacing w:after="0"/>
              <w:rPr>
                <w:sz w:val="10"/>
                <w:szCs w:val="10"/>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680" w:type="dxa"/>
            <w:vAlign w:val="bottom"/>
            <w:gridSpan w:val="15"/>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2"/>
                <w:szCs w:val="2"/>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14"/>
                <w:szCs w:val="14"/>
                <w:color w:val="auto"/>
              </w:rPr>
            </w:pPr>
          </w:p>
        </w:tc>
        <w:tc>
          <w:tcPr>
            <w:tcW w:w="6480" w:type="dxa"/>
            <w:vAlign w:val="bottom"/>
            <w:tcBorders>
              <w:bottom w:val="single" w:sz="8" w:color="0000FF"/>
            </w:tcBorders>
            <w:gridSpan w:val="11"/>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rPr>
              <w:t>Willis Towers Watson Public Limited Company 2012 Equity Incentive Plan (as amended</w:t>
            </w:r>
          </w:p>
        </w:tc>
        <w:tc>
          <w:tcPr>
            <w:tcW w:w="360" w:type="dxa"/>
            <w:vAlign w:val="bottom"/>
            <w:tcBorders>
              <w:bottom w:val="single" w:sz="8" w:color="CFF0FC"/>
            </w:tcBorders>
            <w:gridSpan w:val="6"/>
            <w:shd w:val="clear" w:color="auto" w:fill="CFF0FC"/>
          </w:tcPr>
          <w:p>
            <w:pPr>
              <w:spacing w:after="0"/>
              <w:rPr>
                <w:sz w:val="14"/>
                <w:szCs w:val="14"/>
                <w:color w:val="auto"/>
              </w:rPr>
            </w:pPr>
          </w:p>
        </w:tc>
        <w:tc>
          <w:tcPr>
            <w:tcW w:w="5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jc w:val="center"/>
              <w:spacing w:after="0" w:line="16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160" w:type="dxa"/>
            <w:vAlign w:val="bottom"/>
            <w:tcBorders>
              <w:bottom w:val="single" w:sz="8" w:color="0000FF"/>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w w:val="99"/>
              </w:rPr>
              <w:t>and restated March 31, 2026).</w:t>
            </w:r>
          </w:p>
        </w:tc>
        <w:tc>
          <w:tcPr>
            <w:tcW w:w="4680" w:type="dxa"/>
            <w:vAlign w:val="bottom"/>
            <w:tcBorders>
              <w:bottom w:val="single" w:sz="8" w:color="CFF0FC"/>
            </w:tcBorders>
            <w:gridSpan w:val="15"/>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6580" w:type="dxa"/>
            <w:vAlign w:val="bottom"/>
            <w:tcBorders>
              <w:bottom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Form of 2026 Time-Based Restricted Share Unit Award Agreement for Executive Officers</w:t>
            </w:r>
          </w:p>
        </w:tc>
        <w:tc>
          <w:tcPr>
            <w:tcW w:w="26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under the Willis Towers Watson 2012 Equity Incentive Plan, as Amended and Restated.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FF0FC"/>
            </w:tcBorders>
            <w:shd w:val="clear" w:color="auto" w:fill="CFF0FC"/>
          </w:tcPr>
          <w:p>
            <w:pPr>
              <w:spacing w:after="0"/>
              <w:rPr>
                <w:sz w:val="15"/>
                <w:szCs w:val="15"/>
                <w:color w:val="auto"/>
              </w:rPr>
            </w:pPr>
          </w:p>
        </w:tc>
        <w:tc>
          <w:tcPr>
            <w:tcW w:w="6500" w:type="dxa"/>
            <w:vAlign w:val="bottom"/>
            <w:tcBorders>
              <w:bottom w:val="single" w:sz="8" w:color="0000FF"/>
            </w:tcBorders>
            <w:gridSpan w:val="1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Form of 2026 Performance-Based Restricted Share Unit Award Agreement for Executive</w:t>
            </w:r>
          </w:p>
        </w:tc>
        <w:tc>
          <w:tcPr>
            <w:tcW w:w="340" w:type="dxa"/>
            <w:vAlign w:val="bottom"/>
            <w:tcBorders>
              <w:bottom w:val="single" w:sz="8" w:color="CFF0FC"/>
            </w:tcBorders>
            <w:gridSpan w:val="5"/>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320" w:type="dxa"/>
            <w:vAlign w:val="bottom"/>
            <w:tcBorders>
              <w:bottom w:val="single" w:sz="8" w:color="0000FF"/>
            </w:tcBorders>
            <w:gridSpan w:val="7"/>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Officers under the Willis Towers Watson 2012 Equity Incentive Plan, as Amended and</w:t>
            </w:r>
          </w:p>
        </w:tc>
        <w:tc>
          <w:tcPr>
            <w:tcW w:w="520" w:type="dxa"/>
            <w:vAlign w:val="bottom"/>
            <w:tcBorders>
              <w:bottom w:val="single" w:sz="8" w:color="CFF0FC"/>
            </w:tcBorders>
            <w:gridSpan w:val="10"/>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40" w:type="dxa"/>
            <w:vAlign w:val="bottom"/>
            <w:gridSpan w:val="17"/>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Restated.</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0000FF"/>
            </w:tcBorders>
            <w:shd w:val="clear" w:color="auto" w:fill="CFF0FC"/>
          </w:tcPr>
          <w:p>
            <w:pPr>
              <w:spacing w:after="0" w:line="20" w:lineRule="exact"/>
              <w:rPr>
                <w:sz w:val="1"/>
                <w:szCs w:val="1"/>
                <w:color w:val="auto"/>
              </w:rPr>
            </w:pPr>
          </w:p>
        </w:tc>
        <w:tc>
          <w:tcPr>
            <w:tcW w:w="15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5"/>
                <w:szCs w:val="15"/>
                <w:color w:val="auto"/>
              </w:rPr>
            </w:pPr>
          </w:p>
        </w:tc>
        <w:tc>
          <w:tcPr>
            <w:tcW w:w="684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FF"/>
              </w:rPr>
              <w:t>List of Issuers and Guarantor Subsidiaries.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FF0FC"/>
            </w:tcBorders>
            <w:shd w:val="clear" w:color="auto" w:fill="CFF0FC"/>
          </w:tcPr>
          <w:p>
            <w:pPr>
              <w:spacing w:after="0"/>
              <w:rPr>
                <w:sz w:val="15"/>
                <w:szCs w:val="15"/>
                <w:color w:val="auto"/>
              </w:rPr>
            </w:pPr>
          </w:p>
        </w:tc>
        <w:tc>
          <w:tcPr>
            <w:tcW w:w="6720" w:type="dxa"/>
            <w:vAlign w:val="bottom"/>
            <w:tcBorders>
              <w:bottom w:val="single" w:sz="8" w:color="0000FF"/>
            </w:tcBorders>
            <w:gridSpan w:val="1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pursuant to Rule 13a-</w:t>
            </w:r>
          </w:p>
        </w:tc>
        <w:tc>
          <w:tcPr>
            <w:tcW w:w="120" w:type="dxa"/>
            <w:vAlign w:val="bottom"/>
            <w:tcBorders>
              <w:bottom w:val="single" w:sz="8" w:color="CFF0FC"/>
            </w:tcBorders>
            <w:gridSpan w:val="2"/>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100" w:type="dxa"/>
            <w:vAlign w:val="bottom"/>
            <w:tcBorders>
              <w:bottom w:val="single" w:sz="8" w:color="0000FF"/>
            </w:tcBorders>
            <w:gridSpan w:val="4"/>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w w:val="99"/>
              </w:rPr>
              <w:t>14 of the Securities Exchange Act of 1934.</w:t>
            </w:r>
          </w:p>
        </w:tc>
        <w:tc>
          <w:tcPr>
            <w:tcW w:w="3740" w:type="dxa"/>
            <w:vAlign w:val="bottom"/>
            <w:tcBorders>
              <w:bottom w:val="single" w:sz="8" w:color="CFF0FC"/>
            </w:tcBorders>
            <w:gridSpan w:val="13"/>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5"/>
                <w:szCs w:val="15"/>
                <w:color w:val="auto"/>
              </w:rPr>
            </w:pPr>
          </w:p>
        </w:tc>
        <w:tc>
          <w:tcPr>
            <w:tcW w:w="6400" w:type="dxa"/>
            <w:vAlign w:val="bottom"/>
            <w:tcBorders>
              <w:bottom w:val="single" w:sz="8" w:color="0000FF"/>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Financial Officer, Andrew J. Krasner, pursuant to</w:t>
            </w:r>
          </w:p>
        </w:tc>
        <w:tc>
          <w:tcPr>
            <w:tcW w:w="440" w:type="dxa"/>
            <w:vAlign w:val="bottom"/>
            <w:gridSpan w:val="7"/>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Rule 13a-14 of the Securities Exchange Act of 1934.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4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5"/>
                <w:szCs w:val="15"/>
                <w:color w:val="auto"/>
              </w:rPr>
            </w:pPr>
          </w:p>
        </w:tc>
        <w:tc>
          <w:tcPr>
            <w:tcW w:w="6620" w:type="dxa"/>
            <w:vAlign w:val="bottom"/>
            <w:tcBorders>
              <w:bottom w:val="single" w:sz="8" w:color="0000FF"/>
            </w:tcBorders>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and Chief Financial</w:t>
            </w:r>
          </w:p>
        </w:tc>
        <w:tc>
          <w:tcPr>
            <w:tcW w:w="220" w:type="dxa"/>
            <w:vAlign w:val="bottom"/>
            <w:tcBorders>
              <w:bottom w:val="single" w:sz="8" w:color="CFF0FC"/>
            </w:tcBorders>
            <w:gridSpan w:val="3"/>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360" w:type="dxa"/>
            <w:vAlign w:val="bottom"/>
            <w:tcBorders>
              <w:bottom w:val="single" w:sz="8" w:color="0000FF"/>
            </w:tcBorders>
            <w:gridSpan w:val="9"/>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rPr>
              <w:t>Officer, Andrew J. Krasner, pursuant to 18 U.S.C. Section 1350, as adopted pursuant to</w:t>
            </w:r>
          </w:p>
        </w:tc>
        <w:tc>
          <w:tcPr>
            <w:tcW w:w="480" w:type="dxa"/>
            <w:vAlign w:val="bottom"/>
            <w:tcBorders>
              <w:bottom w:val="single" w:sz="8" w:color="CFF0FC"/>
            </w:tcBorders>
            <w:gridSpan w:val="8"/>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60" w:type="dxa"/>
            <w:vAlign w:val="bottom"/>
            <w:tcBorders>
              <w:bottom w:val="single" w:sz="8" w:color="0000FF"/>
            </w:tcBorders>
            <w:gridSpan w:val="5"/>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380" w:type="dxa"/>
            <w:vAlign w:val="bottom"/>
            <w:tcBorders>
              <w:bottom w:val="single" w:sz="8" w:color="CFF0FC"/>
            </w:tcBorders>
            <w:gridSpan w:val="12"/>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7"/>
                <w:szCs w:val="17"/>
                <w:color w:val="auto"/>
              </w:rPr>
            </w:pPr>
          </w:p>
        </w:tc>
        <w:tc>
          <w:tcPr>
            <w:tcW w:w="684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101.SC</w:t>
            </w:r>
          </w:p>
        </w:tc>
        <w:tc>
          <w:tcPr>
            <w:tcW w:w="100" w:type="dxa"/>
            <w:vAlign w:val="bottom"/>
            <w:shd w:val="clear" w:color="auto" w:fill="CFF0FC"/>
          </w:tcPr>
          <w:p>
            <w:pPr>
              <w:spacing w:after="0"/>
              <w:rPr>
                <w:sz w:val="17"/>
                <w:szCs w:val="17"/>
                <w:color w:val="auto"/>
              </w:rPr>
            </w:pPr>
          </w:p>
        </w:tc>
        <w:tc>
          <w:tcPr>
            <w:tcW w:w="6840" w:type="dxa"/>
            <w:vAlign w:val="bottom"/>
            <w:gridSpan w:val="17"/>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5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68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512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0" w:lineRule="exact"/>
        <w:rPr>
          <w:sz w:val="20"/>
          <w:szCs w:val="20"/>
          <w:color w:val="auto"/>
        </w:rPr>
      </w:pPr>
    </w:p>
    <w:p>
      <w:pPr>
        <w:ind w:firstLine="8"/>
        <w:spacing w:after="0" w:line="254" w:lineRule="auto"/>
        <w:tabs>
          <w:tab w:leader="none" w:pos="2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Carl A. Hess</w:t>
            </w:r>
          </w:p>
        </w:tc>
        <w:tc>
          <w:tcPr>
            <w:tcW w:w="560" w:type="dxa"/>
            <w:vAlign w:val="bottom"/>
          </w:tcPr>
          <w:p>
            <w:pPr>
              <w:spacing w:after="0"/>
              <w:rPr>
                <w:sz w:val="18"/>
                <w:szCs w:val="18"/>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April 30, 2026</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Carl A. Hess</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Andrew J. Krasner</w:t>
            </w:r>
          </w:p>
        </w:tc>
        <w:tc>
          <w:tcPr>
            <w:tcW w:w="56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April 30, 2026</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Andrew J. Krasner</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Joseph S. Kurpis</w:t>
            </w:r>
          </w:p>
        </w:tc>
        <w:tc>
          <w:tcPr>
            <w:tcW w:w="560" w:type="dxa"/>
            <w:vAlign w:val="bottom"/>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April 30, 2026</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line="20" w:lineRule="exact"/>
              <w:rPr>
                <w:sz w:val="1"/>
                <w:szCs w:val="1"/>
                <w:color w:val="auto"/>
              </w:rPr>
            </w:pPr>
          </w:p>
        </w:tc>
      </w:tr>
      <w:tr>
        <w:trPr>
          <w:trHeight w:val="178"/>
        </w:trPr>
        <w:tc>
          <w:tcPr>
            <w:tcW w:w="7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80"/>
              <w:spacing w:after="0" w:line="178" w:lineRule="exact"/>
              <w:rPr>
                <w:sz w:val="20"/>
                <w:szCs w:val="20"/>
                <w:color w:val="auto"/>
              </w:rPr>
            </w:pPr>
            <w:r>
              <w:rPr>
                <w:rFonts w:ascii="Times New Roman" w:cs="Times New Roman" w:eastAsia="Times New Roman" w:hAnsi="Times New Roman"/>
                <w:sz w:val="18"/>
                <w:szCs w:val="18"/>
                <w:color w:val="auto"/>
              </w:rPr>
              <w:t>Joseph S. Kurpis</w:t>
            </w:r>
          </w:p>
        </w:tc>
        <w:tc>
          <w:tcPr>
            <w:tcW w:w="560" w:type="dxa"/>
            <w:vAlign w:val="bottom"/>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10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WILLIS TOWERS WATSON PUBLIC LIMITED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EQUITY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March 31, 2026)</w:t>
      </w:r>
    </w:p>
    <w:p>
      <w:pPr>
        <w:spacing w:after="0" w:line="216" w:lineRule="exact"/>
        <w:rPr>
          <w:sz w:val="20"/>
          <w:szCs w:val="20"/>
          <w:color w:val="auto"/>
        </w:rPr>
      </w:pPr>
    </w:p>
    <w:p>
      <w:pPr>
        <w:ind w:left="760" w:hanging="752"/>
        <w:spacing w:after="0"/>
        <w:tabs>
          <w:tab w:leader="none" w:pos="7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 OF PLAN</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purpose of the Willis Towers Watson plc 2012 Equity Incentive Plan, as amended and restated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is:</w:t>
      </w:r>
    </w:p>
    <w:p>
      <w:pPr>
        <w:spacing w:after="0" w:line="215"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promote the long-term financial interests and growth of the WTW Group and certain Designated Associate Companies (as defined below) by attracting and retaining personnel with the training, experience and ability to enable them to make a substantial contribution to the success of the Company’s business;</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motivate management personnel by means of growth-related incentives to achieve long range goals; and</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further align the interests of participants with those of the shareholders of the Company through opportunities for increased share or share-based ownership.</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2022 Approval Date</w:t>
      </w:r>
      <w:r>
        <w:rPr>
          <w:rFonts w:ascii="Times New Roman" w:cs="Times New Roman" w:eastAsia="Times New Roman" w:hAnsi="Times New Roman"/>
          <w:sz w:val="20"/>
          <w:szCs w:val="20"/>
          <w:color w:val="auto"/>
        </w:rPr>
        <w:t>” means June 8, 2022, the date that the shareholders approved the amendment and restatement of the Plan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2022.</w:t>
      </w:r>
    </w:p>
    <w:p>
      <w:pPr>
        <w:spacing w:after="0" w:line="194"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Companies Act 2014 of Ireland.</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means an award of a Dividend Equivalent Right, an Option, a SAR, Restricted Share, Restricted Share Unit, or any other right or benefit, including any other Share-Based Award under Section 7(e) granted to a Participant pursuant to the Plan.</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means an agreement between the Company and a Participant or other document, which may be in electronic form, that sets forth the terms, conditions and limitations applicable to an Award, including through electronic medium.</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 the acquisition of ownership, directly or indirectly, beneficially or of record, by any Person or group of Persons of the Ordinary Shares representing more than 50% of the aggregate voting power represented by the issued and outstanding Ordinary Shares; or (b) occupation of a majority of the Board (other than vacant seats) by Persons who were neither (i) nominated by the Board nor (ii) appointed by Directors so nominated; or (c) a sale or other disposition of all or substantially all of the Company’s assets in any single transaction or series of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8" w:name="page49"/>
    <w:bookmarkEnd w:id="48"/>
    <w:p>
      <w:pPr>
        <w:jc w:val="both"/>
        <w:spacing w:after="0" w:line="243" w:lineRule="auto"/>
        <w:rPr>
          <w:sz w:val="20"/>
          <w:szCs w:val="20"/>
          <w:color w:val="auto"/>
        </w:rPr>
      </w:pPr>
      <w:r>
        <w:rPr>
          <w:rFonts w:ascii="Times New Roman" w:cs="Times New Roman" w:eastAsia="Times New Roman" w:hAnsi="Times New Roman"/>
          <w:sz w:val="20"/>
          <w:szCs w:val="20"/>
          <w:color w:val="auto"/>
        </w:rPr>
        <w:t>For the avoidance of doubt, a transaction shall not constitute a Change of Control (i) if effected for the purpose of changing the place of incorporation or form of organization of the ultimate parent entity of the WTW Group (including where the Company is succeeded by an issuer incorporated under the laws of another state, country or foreign government for such purpose and whether or not the Company remains in existence following such transaction) and (ii) where all or substantially all of the Person(s) who are the beneficial owners of the outstanding voting securities of the Company immediately prior to such transaction will beneficially own, directly or indirectly, all or substantially all of the combined voting power of the outstanding voting securities entitled to vote generally in the election of directors of the ultimate parent entity resulting from such transaction in substantially the same proportions as their ownership, immediately prior to such transaction, of such outstanding securities of the Company.</w:t>
      </w:r>
    </w:p>
    <w:p>
      <w:pPr>
        <w:spacing w:after="0" w:line="189" w:lineRule="exact"/>
        <w:rPr>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 from time to time.</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means the Human Capital and Compensation Committee of the Board or any other committee comprised of members of the Board (or, if no such committee is appointed, the Board, provided that a majority of the Board members are “independent directors” for the purpose of the rules and regulations of the Nasdaq Stock Market, or such other principal securities exchange or market on which the Ordinary Shares are then listed or traded).</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WTW</w:t>
      </w:r>
      <w:r>
        <w:rPr>
          <w:rFonts w:ascii="Times New Roman" w:cs="Times New Roman" w:eastAsia="Times New Roman" w:hAnsi="Times New Roman"/>
          <w:sz w:val="20"/>
          <w:szCs w:val="20"/>
          <w:color w:val="auto"/>
        </w:rPr>
        <w:t>” means Willis Towers Watson Public Limited Company, a company incorporated in Ireland under registered number 475616, or any successor thereto.</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means any consultant or adviser if: (i) the consultant or adviser renders bona fide services to the Company or any Subsidiary or Designated Associate Company; (ii)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Associate Company</w:t>
      </w:r>
      <w:r>
        <w:rPr>
          <w:rFonts w:ascii="Times New Roman" w:cs="Times New Roman" w:eastAsia="Times New Roman" w:hAnsi="Times New Roman"/>
          <w:sz w:val="20"/>
          <w:szCs w:val="20"/>
          <w:color w:val="auto"/>
        </w:rPr>
        <w:t>” means any company in which a member of the WTW Group owns twenty percent or more of the voting share interest but less than fifty percent of the voting share interest and that has been designated by the Committee as being eligible for participation in the Plan.</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means any member of the Board.</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Dividend Equivalent Right</w:t>
      </w:r>
      <w:r>
        <w:rPr>
          <w:rFonts w:ascii="Times New Roman" w:cs="Times New Roman" w:eastAsia="Times New Roman" w:hAnsi="Times New Roman"/>
          <w:sz w:val="20"/>
          <w:szCs w:val="20"/>
          <w:color w:val="auto"/>
        </w:rPr>
        <w:t>” means a right granted pursuant to Section 7(f) to receive, in such form and on such terms as the Committee may determine, the equivalent value of a dividend or distribution paid by the Company on one of its Shares (in cash or in Shares) in accordance with its Articles of Association that would be payable on the number of Shares subject to a Full-Value Award.</w:t>
      </w:r>
    </w:p>
    <w:p>
      <w:pPr>
        <w:spacing w:after="0" w:line="174"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Individual</w:t>
      </w:r>
      <w:r>
        <w:rPr>
          <w:rFonts w:ascii="Times New Roman" w:cs="Times New Roman" w:eastAsia="Times New Roman" w:hAnsi="Times New Roman"/>
          <w:sz w:val="20"/>
          <w:szCs w:val="20"/>
          <w:color w:val="auto"/>
        </w:rPr>
        <w:t>” means any person who is an Employee, Consultant or a Director, as determined by the Committee.</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means a person, including Directors and officers, in the employment of any member of the WTW Group or a Designated Associate Company, who is treated as an employee in the personnel records of a member of the WTW Group or a Designated Associate Company for the relevant period. Neither services as a Director nor payment of a director’s fee by the Company, a Subsidiary or Designated Associate Company shall be sufficient to constitute “employment” by the Company, any Subsidiary or Designated Associate Company.</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March 31, 2026, the date that the Board approved the amendment and restatement of the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line="200" w:lineRule="exact"/>
        <w:rPr>
          <w:sz w:val="20"/>
          <w:szCs w:val="20"/>
          <w:color w:val="auto"/>
        </w:rPr>
      </w:pPr>
    </w:p>
    <w:p>
      <w:pPr>
        <w:spacing w:after="0" w:line="219"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U.S. Securities Exchange Act of 1934, as amended.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the price of a Share, as fixed by the Committee, which may be purchased under an Option or other Share-Based Award, if applicable, or with respect to which the amount of any payment pursuant to a SAR or other Share-Based Award, if applicable, is determined.</w:t>
      </w:r>
    </w:p>
    <w:p>
      <w:pPr>
        <w:spacing w:after="0" w:line="17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the per Share closing price of the Shares as reported on the Nasdaq Global Select Market on that date (or if there were no reported prices on such date, on the last preceding date on which the prices were reported) or, if the Company is not then listed on the Nasdaq Global Select Market, on such other principal securities exchange or market on which the Shares are traded, and if the Company is not listed on the Nasdaq Global Select Market or any other securities exchange or market, the Fair Market Value of Shares shall be determined by the Committee in its sole discretion using appropriate criteria which, with respect to Awards to U.S. Taxpayers, shall be determined, to the extent necessary, pursuant to a reasonable valuation method in accordance with Section 409A of the Code. Fair Market Value with respect to any property other than Shares, means the market value of such property determined by such methods or procedures as shall be established from time to time by the Committee.</w:t>
      </w:r>
    </w:p>
    <w:p>
      <w:pPr>
        <w:spacing w:after="0" w:line="18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Fractional Share Interest</w:t>
      </w:r>
      <w:r>
        <w:rPr>
          <w:rFonts w:ascii="Times New Roman" w:cs="Times New Roman" w:eastAsia="Times New Roman" w:hAnsi="Times New Roman"/>
          <w:sz w:val="20"/>
          <w:szCs w:val="20"/>
          <w:color w:val="auto"/>
        </w:rPr>
        <w:t>” means a notional or similar interest in a Share issuable pursuant to an Award, the credit of which interest shall be facilitated by the Company’s designated broker, providing for such rights with respect to a Share as shall be specified by the Committee at the time of grant or otherwise of an Award under which Fractional Share Interests may be issued, whether or not the Award also provides for the issuance of whole Shares, including circumstances where the issuance of Fractional Share Interests results from the withholding of less than a whole Share to satisfy Tax-Related Items pursuant to Section 15 hereof or payment of the exercise price of an Option pursuant to Section 7(a)(iii) hereof.</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Full-Value Award</w:t>
      </w:r>
      <w:r>
        <w:rPr>
          <w:rFonts w:ascii="Times New Roman" w:cs="Times New Roman" w:eastAsia="Times New Roman" w:hAnsi="Times New Roman"/>
          <w:sz w:val="20"/>
          <w:szCs w:val="20"/>
          <w:color w:val="auto"/>
        </w:rPr>
        <w:t>” means an Award of Restricted Shares, Restricted Share Units, or Share-Based Awards, provided that the purchase price (if any) to purchase the Shares underlying the Full-Value Award is less than Fair Market Value of the Shares, as determined as of the date of grant.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 Stock Option</w:t>
      </w:r>
      <w:r>
        <w:rPr>
          <w:rFonts w:ascii="Times New Roman" w:cs="Times New Roman" w:eastAsia="Times New Roman" w:hAnsi="Times New Roman"/>
          <w:sz w:val="20"/>
          <w:szCs w:val="20"/>
          <w:color w:val="auto"/>
        </w:rPr>
        <w:t>” or “ISO” means an Option that is intended to meet the requirements of Section 422 of the Code or any successor provision thereto.</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20"/>
          <w:szCs w:val="20"/>
          <w:u w:val="single" w:color="auto"/>
          <w:color w:val="auto"/>
        </w:rPr>
        <w:t>Newfront</w:t>
      </w:r>
      <w:r>
        <w:rPr>
          <w:rFonts w:ascii="Times New Roman" w:cs="Times New Roman" w:eastAsia="Times New Roman" w:hAnsi="Times New Roman"/>
          <w:sz w:val="20"/>
          <w:szCs w:val="20"/>
          <w:color w:val="auto"/>
        </w:rPr>
        <w:t>” means Newfront Insurance Holdings, which became a wholly-owned Subsidiary, effective January 27, 2026.</w:t>
      </w:r>
    </w:p>
    <w:p>
      <w:pPr>
        <w:spacing w:after="0" w:line="216" w:lineRule="exact"/>
        <w:rPr>
          <w:sz w:val="20"/>
          <w:szCs w:val="20"/>
          <w:color w:val="auto"/>
        </w:rPr>
      </w:pPr>
    </w:p>
    <w:p>
      <w:pPr>
        <w:ind w:left="1020" w:hanging="263"/>
        <w:spacing w:after="0"/>
        <w:tabs>
          <w:tab w:leader="none" w:pos="102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Newfront Plans</w:t>
      </w:r>
      <w:r>
        <w:rPr>
          <w:rFonts w:ascii="Times New Roman" w:cs="Times New Roman" w:eastAsia="Times New Roman" w:hAnsi="Times New Roman"/>
          <w:sz w:val="20"/>
          <w:szCs w:val="20"/>
          <w:color w:val="auto"/>
        </w:rPr>
        <w:t>” means the Abe Labs, Inc. 2017 Stock Incentive Plan and the Newfront 2021 Stock Plan.</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Pool</w:t>
      </w:r>
      <w:r>
        <w:rPr>
          <w:rFonts w:ascii="Times New Roman" w:cs="Times New Roman" w:eastAsia="Times New Roman" w:hAnsi="Times New Roman"/>
          <w:sz w:val="20"/>
          <w:szCs w:val="20"/>
          <w:color w:val="auto"/>
        </w:rPr>
        <w:t>” means the sum of (a) 2,000,000 Shares, which represents the number of Shares by which the share reserve was increased as of the 2022 Approval Date, plus (b) 243,823 Shares, which represents the net number of Shares by which the Share reserve was increased in connection with the Company’s assumption of the Newfront Plans and the assumption and conversion of the underlying share reserves of the Newfront Plans to Shares issuable under the Plan</w:t>
      </w:r>
      <w:r>
        <w:rPr>
          <w:rFonts w:ascii="Times New Roman" w:cs="Times New Roman" w:eastAsia="Times New Roman" w:hAnsi="Times New Roman"/>
          <w:sz w:val="13"/>
          <w:szCs w:val="13"/>
          <w:color w:val="auto"/>
        </w:rPr>
        <w:t>1</w:t>
      </w:r>
      <w:r>
        <w:rPr>
          <w:rFonts w:ascii="Times New Roman" w:cs="Times New Roman" w:eastAsia="Times New Roman" w:hAnsi="Times New Roman"/>
          <w:sz w:val="20"/>
          <w:szCs w:val="20"/>
          <w:color w:val="auto"/>
        </w:rPr>
        <w:t>, plus (c) the Shares that become reissuable pursuant to Section 5(a)(iii)(B) of the Plan in connection with new Awards granted under the Plan.</w:t>
      </w:r>
    </w:p>
    <w:p>
      <w:pPr>
        <w:spacing w:after="0" w:line="344" w:lineRule="exact"/>
        <w:rPr>
          <w:rFonts w:ascii="Times New Roman" w:cs="Times New Roman" w:eastAsia="Times New Roman" w:hAnsi="Times New Roman"/>
          <w:sz w:val="20"/>
          <w:szCs w:val="20"/>
          <w:color w:val="auto"/>
        </w:rPr>
      </w:pPr>
    </w:p>
    <w:p>
      <w:pPr>
        <w:ind w:left="380" w:right="60" w:hanging="374"/>
        <w:spacing w:after="0" w:line="23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Share reserve was increased on January 27, 2026 by 445,656 Shares in connection with the Company’s assumption of the Newfront Plans and the assumption and conversion of the underlying share reserves of the Newfront Plans to Shares issuable under the Plan and subsequently decreased by 201,833 Shares on March 31, 2026 to reflect the issuance of these Shares outside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-526415</wp:posOffset>
            </wp:positionV>
            <wp:extent cx="1688465" cy="508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ind w:left="760"/>
        <w:spacing w:after="0"/>
        <w:rPr>
          <w:sz w:val="20"/>
          <w:szCs w:val="20"/>
          <w:color w:val="auto"/>
        </w:rPr>
      </w:pPr>
      <w:r>
        <w:rPr>
          <w:rFonts w:ascii="Times New Roman" w:cs="Times New Roman" w:eastAsia="Times New Roman" w:hAnsi="Times New Roman"/>
          <w:sz w:val="20"/>
          <w:szCs w:val="20"/>
          <w:color w:val="auto"/>
        </w:rPr>
        <w:t>(z) “</w:t>
      </w:r>
      <w:r>
        <w:rPr>
          <w:rFonts w:ascii="Times New Roman" w:cs="Times New Roman" w:eastAsia="Times New Roman" w:hAnsi="Times New Roman"/>
          <w:sz w:val="20"/>
          <w:szCs w:val="20"/>
          <w:u w:val="single" w:color="auto"/>
          <w:color w:val="auto"/>
        </w:rPr>
        <w:t>Nominal Value</w:t>
      </w:r>
      <w:r>
        <w:rPr>
          <w:rFonts w:ascii="Times New Roman" w:cs="Times New Roman" w:eastAsia="Times New Roman" w:hAnsi="Times New Roman"/>
          <w:sz w:val="20"/>
          <w:szCs w:val="20"/>
          <w:color w:val="auto"/>
        </w:rPr>
        <w:t>” means $0.000304635, per Share.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(aa)“</w:t>
      </w: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means a Director of the Company who qualifies as a “Non-Employee Director” as defined in Rule 16b-3(b)(3) under the Exchange Act, or any successor rule.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(bb)“</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means a share option to purchase a specified number of Ordinary Shares at a specified Exercise Price during specified time periods, granted under Section 7(a) of the Plan.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(cc)“</w:t>
      </w:r>
      <w:r>
        <w:rPr>
          <w:rFonts w:ascii="Times New Roman" w:cs="Times New Roman" w:eastAsia="Times New Roman" w:hAnsi="Times New Roman"/>
          <w:sz w:val="20"/>
          <w:szCs w:val="20"/>
          <w:u w:val="single" w:color="auto"/>
          <w:color w:val="auto"/>
        </w:rPr>
        <w:t>Ordinary Shares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means the ordinary shares of the Company, Nominal Value.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(dd)“</w:t>
      </w:r>
      <w:r>
        <w:rPr>
          <w:rFonts w:ascii="Times New Roman" w:cs="Times New Roman" w:eastAsia="Times New Roman" w:hAnsi="Times New Roman"/>
          <w:sz w:val="20"/>
          <w:szCs w:val="20"/>
          <w:u w:val="single" w:color="auto"/>
          <w:color w:val="auto"/>
        </w:rPr>
        <w:t>Outstanding Qualified Performance-Based Compensation</w:t>
      </w:r>
      <w:r>
        <w:rPr>
          <w:rFonts w:ascii="Times New Roman" w:cs="Times New Roman" w:eastAsia="Times New Roman" w:hAnsi="Times New Roman"/>
          <w:sz w:val="20"/>
          <w:szCs w:val="20"/>
          <w:color w:val="auto"/>
        </w:rPr>
        <w:t>” means any compensation granted prior to November 3, 2017 and that was outstanding as of the 2022 Approval Date and is intended to qualify as “qualified performance-based compensation” as described in Section 162(m)(4)(C) of the Code. For the avoidance of doubt, all provisions of the Plan, governing Outstanding Qualified Performance-Based Compensation that were in effect prior to the 2022 Approval Date shall continue in effect with respect to the Outstanding Qualified Performance-Based Compensation, notwithstanding the elimination of such provisions from the Plan.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(ee)“</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means an Eligible Individual of any member of WTW Group or a Designated Associate Company, to whom one or more Awards have been granted, and such Awards have not all expired or been forfeited or terminated under the Plan.</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(ff)“</w:t>
      </w:r>
      <w:r>
        <w:rPr>
          <w:rFonts w:ascii="Times New Roman" w:cs="Times New Roman" w:eastAsia="Times New Roman" w:hAnsi="Times New Roman"/>
          <w:sz w:val="20"/>
          <w:szCs w:val="20"/>
          <w:u w:val="single" w:color="auto"/>
          <w:color w:val="auto"/>
        </w:rPr>
        <w:t>Performance Criteria</w:t>
      </w:r>
      <w:r>
        <w:rPr>
          <w:rFonts w:ascii="Times New Roman" w:cs="Times New Roman" w:eastAsia="Times New Roman" w:hAnsi="Times New Roman"/>
          <w:sz w:val="20"/>
          <w:szCs w:val="20"/>
          <w:color w:val="auto"/>
        </w:rPr>
        <w:t>” means the criteria that the Committee selects for purposes of establishing the Performance Goal or Performance Goals for a Participant for the relevant performance period, including but not limited to: net revenue; revenue growth or product revenue growth; operating income (before or after taxes); pre- or after-tax income (before or after allocation of corporate overhead and bonus); earnings per share; net income (before or after taxes); return on equity; total shareholder return; return on assets or net assets; appreciation in and/or maintenance of the price of the Shares or any other publicly-traded securities of the Company; market share; gross profits; earnings (including net earnings, earnings before taxes, earnings before interest and taxes or earnings before interest, taxes, depreciation, amortization, dividend ratio, net sales growth, return on sales, economic value added, return on operating revenue, operating ratio, and integration and/or penetration of the market); reductions in costs; cash flow or cash flow per Share (before or after dividends); return on capital (including return on total capital or return on invested capital); cash flow return on investment; improvement in or attainment of expense levels or working capital levels; adjusted operating margins, adjusted earnings per share, gross margins or cash margin; year-end cash; debt reductions; shareholder equity; regulatory achievements; and implementation, completion or attainment of measurable objectives with respect to research, development, products or projects, production volume levels, acquisitions and divestitures (or other corporate transactions); recruiting and maintaining personnel, promoting diversity and inclusion, fostering health and wellbeing, furthering climate-positive actions, and other environmental, social or governance objectives.</w:t>
      </w:r>
    </w:p>
    <w:p>
      <w:pPr>
        <w:spacing w:after="0" w:line="19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(gg)“</w:t>
      </w:r>
      <w:r>
        <w:rPr>
          <w:rFonts w:ascii="Times New Roman" w:cs="Times New Roman" w:eastAsia="Times New Roman" w:hAnsi="Times New Roman"/>
          <w:sz w:val="20"/>
          <w:szCs w:val="20"/>
          <w:u w:val="single" w:color="auto"/>
          <w:color w:val="auto"/>
        </w:rPr>
        <w:t>Performance Goals</w:t>
      </w:r>
      <w:r>
        <w:rPr>
          <w:rFonts w:ascii="Times New Roman" w:cs="Times New Roman" w:eastAsia="Times New Roman" w:hAnsi="Times New Roman"/>
          <w:sz w:val="20"/>
          <w:szCs w:val="20"/>
          <w:color w:val="auto"/>
        </w:rPr>
        <w:t>” means, for a performance period, the goals established in writing by the Committee for the performance period based upon the Performance Criteria that the Committee, in its discretion, selects. The Committee, in its discretion, may, provide for adjustments or modifications to the calculation of Performance Goals for such performance period.</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(hh)“</w:t>
      </w:r>
      <w:r>
        <w:rPr>
          <w:rFonts w:ascii="Times New Roman" w:cs="Times New Roman" w:eastAsia="Times New Roman" w:hAnsi="Times New Roman"/>
          <w:sz w:val="20"/>
          <w:szCs w:val="20"/>
          <w:u w:val="single" w:color="auto"/>
          <w:color w:val="auto"/>
        </w:rPr>
        <w:t>Permanent Disability</w:t>
      </w:r>
      <w:r>
        <w:rPr>
          <w:rFonts w:ascii="Times New Roman" w:cs="Times New Roman" w:eastAsia="Times New Roman" w:hAnsi="Times New Roman"/>
          <w:sz w:val="20"/>
          <w:szCs w:val="20"/>
          <w:color w:val="auto"/>
        </w:rPr>
        <w:t>” means, unless otherwise defined in the Award Agreement, that the Participant would qualify to receive long-term disability payments under the long-term disability policy, as it may be amended from time to time, of the Company or the Subsidiary or Designated Associate Company to which the Participant provides services regardless of whether the Participant is covered by such policy. If the Company or the Subsidiary or Designated Associate Company to which the Participant provides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42" w:lineRule="auto"/>
        <w:rPr>
          <w:sz w:val="20"/>
          <w:szCs w:val="20"/>
          <w:color w:val="auto"/>
        </w:rPr>
      </w:pPr>
      <w:r>
        <w:rPr>
          <w:rFonts w:ascii="Times New Roman" w:cs="Times New Roman" w:eastAsia="Times New Roman" w:hAnsi="Times New Roman"/>
          <w:sz w:val="20"/>
          <w:szCs w:val="20"/>
          <w:color w:val="auto"/>
        </w:rPr>
        <w:t>service does not have a long-term disability policy or plan in place, “Permanent Disability” means that a Participant is unable to carry out the responsibilities and functions of the position held by the Participant by reason of any medically determined physical or mental impairment, as determined by a physician acceptable to the Company, for a period of not less than 180 consecutive business days out of 270 business days. A Participant shall not be considered to have incurred a Permanent Disability unless he or she furnishes proof of such impairment sufficient to satisfy the Company in its discretion. Anything to the contrary in the foregoing notwithstanding, for purposes of (1) Incentive Stock Options, “Permanent Disability” shall mean a total and permanent disability as defined in Section 22(e)(3) of the Code and for purposes of an Award that is subject to Section 409A of the Code, shall mean a “Disability,” within the meaning of Section 409A of the Code to the extent necessary to comply with Section 409A of the Code; and (2) Restricted Share Units Granted under Sections L. 225-197-1 to L. 225-197-6 of the French Commercial Code, as amended, “Permanent Disability” shall mean disability as defined under categories 2° and 3° of Section L. 341-4 of the French Social Security Code, as amended.</w:t>
      </w:r>
    </w:p>
    <w:p>
      <w:pPr>
        <w:spacing w:after="0" w:line="192" w:lineRule="exact"/>
        <w:rPr>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“person” as such term is used in Sections 13(d) and 14(d) of the Exchange Act.</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this Willis Towers Watson Public Limited Company 2012 Equity Incentive Plan, as amended from time to time.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(kk)“</w:t>
      </w:r>
      <w:r>
        <w:rPr>
          <w:rFonts w:ascii="Times New Roman" w:cs="Times New Roman" w:eastAsia="Times New Roman" w:hAnsi="Times New Roman"/>
          <w:sz w:val="20"/>
          <w:szCs w:val="20"/>
          <w:u w:val="single" w:color="auto"/>
          <w:color w:val="auto"/>
        </w:rPr>
        <w:t>Prior Pool</w:t>
      </w:r>
      <w:r>
        <w:rPr>
          <w:rFonts w:ascii="Times New Roman" w:cs="Times New Roman" w:eastAsia="Times New Roman" w:hAnsi="Times New Roman"/>
          <w:sz w:val="20"/>
          <w:szCs w:val="20"/>
          <w:color w:val="auto"/>
        </w:rPr>
        <w:t>” means the sum of 19,432,521 Shares, which represents the number of Shares reserved for the grant of Awards under the Plan immediately prior to the 2022 Approval Date, plus the Shares that become reissuable pursuant to Section 5(a)(iii)(A) of the Plan in connection with new Awards granted under the Plan.</w:t>
      </w:r>
    </w:p>
    <w:p>
      <w:pPr>
        <w:spacing w:after="0" w:line="174" w:lineRule="exact"/>
        <w:rPr>
          <w:sz w:val="20"/>
          <w:szCs w:val="20"/>
          <w:color w:val="auto"/>
        </w:rPr>
      </w:pPr>
    </w:p>
    <w:p>
      <w:pPr>
        <w:ind w:firstLine="757"/>
        <w:spacing w:after="0" w:line="269"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means Shares awarded to a Participant pursuant to Section 7(b) of the Plan which may be subject to certain restrictions and to risk of forfeiture.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(mm)“</w:t>
      </w:r>
      <w:r>
        <w:rPr>
          <w:rFonts w:ascii="Times New Roman" w:cs="Times New Roman" w:eastAsia="Times New Roman" w:hAnsi="Times New Roman"/>
          <w:sz w:val="20"/>
          <w:szCs w:val="20"/>
          <w:u w:val="single" w:color="auto"/>
          <w:color w:val="auto"/>
        </w:rPr>
        <w:t>Restricted Share Unit</w:t>
      </w:r>
      <w:r>
        <w:rPr>
          <w:rFonts w:ascii="Times New Roman" w:cs="Times New Roman" w:eastAsia="Times New Roman" w:hAnsi="Times New Roman"/>
          <w:sz w:val="20"/>
          <w:szCs w:val="20"/>
          <w:color w:val="auto"/>
        </w:rPr>
        <w:t>” means an unfunded, unsecured right granted pursuant to Section 7(d) of the Plan that entitles a Participant to receive one Share or an amount in cash or other consideration determined on the applicable settlement date upon the satisfaction of certain time-based criteria and/or Performance Goals.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(nn)“</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(oo)“</w:t>
      </w:r>
      <w:r>
        <w:rPr>
          <w:rFonts w:ascii="Times New Roman" w:cs="Times New Roman" w:eastAsia="Times New Roman" w:hAnsi="Times New Roman"/>
          <w:sz w:val="20"/>
          <w:szCs w:val="20"/>
          <w:u w:val="single" w:color="auto"/>
          <w:color w:val="auto"/>
        </w:rPr>
        <w:t>Share-Based Award</w:t>
      </w:r>
      <w:r>
        <w:rPr>
          <w:rFonts w:ascii="Times New Roman" w:cs="Times New Roman" w:eastAsia="Times New Roman" w:hAnsi="Times New Roman"/>
          <w:sz w:val="20"/>
          <w:szCs w:val="20"/>
          <w:color w:val="auto"/>
        </w:rPr>
        <w:t>” means an Award granted under Section 7(e) of the Plan.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(pp)“</w:t>
      </w:r>
      <w:r>
        <w:rPr>
          <w:rFonts w:ascii="Times New Roman" w:cs="Times New Roman" w:eastAsia="Times New Roman" w:hAnsi="Times New Roman"/>
          <w:sz w:val="20"/>
          <w:szCs w:val="20"/>
          <w:u w:val="single" w:color="auto"/>
          <w:color w:val="auto"/>
        </w:rPr>
        <w:t>Share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SAR</w:t>
      </w:r>
      <w:r>
        <w:rPr>
          <w:rFonts w:ascii="Times New Roman" w:cs="Times New Roman" w:eastAsia="Times New Roman" w:hAnsi="Times New Roman"/>
          <w:sz w:val="20"/>
          <w:szCs w:val="20"/>
          <w:color w:val="auto"/>
        </w:rPr>
        <w:t>” means a right granted pursuant to Section 7(c) of the Plan to receive a payment in cash or Shares equal to the excess of the Fair Market Value of a specified number of Shares on the date the SAR is exercised over the Exercise Price on the date the SAR was granted as set forth in the applicable Award Agreement.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(qq)“</w:t>
      </w:r>
      <w:r>
        <w:rPr>
          <w:rFonts w:ascii="Times New Roman" w:cs="Times New Roman" w:eastAsia="Times New Roman" w:hAnsi="Times New Roman"/>
          <w:sz w:val="20"/>
          <w:szCs w:val="20"/>
          <w:u w:val="single" w:color="auto"/>
          <w:color w:val="auto"/>
        </w:rPr>
        <w:t>Share Award Committee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SAC</w:t>
      </w:r>
      <w:r>
        <w:rPr>
          <w:rFonts w:ascii="Times New Roman" w:cs="Times New Roman" w:eastAsia="Times New Roman" w:hAnsi="Times New Roman"/>
          <w:sz w:val="20"/>
          <w:szCs w:val="20"/>
          <w:color w:val="auto"/>
        </w:rPr>
        <w:t>” means the authorized delegate of the Committee under the Company’s Policy Regarding Share-Based Compensation Awards or such successor policy as may be adopted from time to time.</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(rr)“</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the Company, any subsidiary of the Company within the meaning of Section 155 of the Act. For purposes of granting an “Incentive Stock Option,” Subsidiary means any “subsidiary corporation” of the Company as defined in Section 424(f) of the Code and any regulations promulgated thereunder. For purposes of granting non-qualified share Options, SARs or other “stock rights,” within the meaning of Section 409A of the Code, to a U.S. Taxpayer, an entity may not be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9"/>
          <w:szCs w:val="19"/>
          <w:color w:val="auto"/>
        </w:rPr>
        <w:t>considered a Subsidiary if the Ordinary Shares will not be treated as “service recipient stock” of such entity under Section 409A of the Code.</w:t>
      </w:r>
    </w:p>
    <w:p>
      <w:pPr>
        <w:spacing w:after="0" w:line="22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(ss)“</w:t>
      </w:r>
      <w:r>
        <w:rPr>
          <w:rFonts w:ascii="Times New Roman" w:cs="Times New Roman" w:eastAsia="Times New Roman" w:hAnsi="Times New Roman"/>
          <w:sz w:val="20"/>
          <w:szCs w:val="20"/>
          <w:u w:val="single" w:color="auto"/>
          <w:color w:val="auto"/>
        </w:rPr>
        <w:t>Substitute Award</w:t>
      </w:r>
      <w:r>
        <w:rPr>
          <w:rFonts w:ascii="Times New Roman" w:cs="Times New Roman" w:eastAsia="Times New Roman" w:hAnsi="Times New Roman"/>
          <w:sz w:val="20"/>
          <w:szCs w:val="20"/>
          <w:color w:val="auto"/>
        </w:rPr>
        <w:t>” means an Award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4" w:lineRule="exact"/>
        <w:rPr>
          <w:sz w:val="20"/>
          <w:szCs w:val="20"/>
          <w:color w:val="auto"/>
        </w:rPr>
      </w:pPr>
    </w:p>
    <w:p>
      <w:pPr>
        <w:jc w:val="both"/>
        <w:ind w:firstLine="757"/>
        <w:spacing w:after="0" w:line="246"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means U.S. federal, state, and/or local taxes and Irish national and/or local taxes and/or taxes imposed by jurisdictions outside of Ireland and the U.S. (including, but not limited to, income tax, social insurance contributions (or similar contributions), payroll tax, fringe benefits tax, payment on account, employment tax obligations, stamp taxes, and any other taxes or tax-related item that may be due) required by law to be withheld, including any employer liability shifted to the Participant under the terms of the Award Agreement or otherwise.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(uu)“</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have the meaning set forth in Section 2(vv).</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(vv)“</w:t>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means, for purposes of the Plan and with respect to a Participant, that the Participant has for any reason ceased to provide services as an Employee, officer or Director to the WTW Group or a Designated Associate Company. The Committee will have sole discretion to determine whether and for what reason a Participant has ceased to provide services and the effective date on which the Participant ceased to provide services (the “Termination Date”), subject to compliance with Section 409A of the Code.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(ww)“</w:t>
      </w:r>
      <w:r>
        <w:rPr>
          <w:rFonts w:ascii="Times New Roman" w:cs="Times New Roman" w:eastAsia="Times New Roman" w:hAnsi="Times New Roman"/>
          <w:sz w:val="19"/>
          <w:szCs w:val="19"/>
          <w:u w:val="single" w:color="auto"/>
          <w:color w:val="auto"/>
        </w:rPr>
        <w:t>Unrestricted Pool</w:t>
      </w:r>
      <w:r>
        <w:rPr>
          <w:rFonts w:ascii="Times New Roman" w:cs="Times New Roman" w:eastAsia="Times New Roman" w:hAnsi="Times New Roman"/>
          <w:sz w:val="19"/>
          <w:szCs w:val="19"/>
          <w:color w:val="auto"/>
        </w:rPr>
        <w:t>” means a number of Shares equal to 5% of the total number of Shares reserved for issuance under the Plan.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(xx)“</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(yy)“</w:t>
      </w:r>
      <w:r>
        <w:rPr>
          <w:rFonts w:ascii="Times New Roman" w:cs="Times New Roman" w:eastAsia="Times New Roman" w:hAnsi="Times New Roman"/>
          <w:sz w:val="20"/>
          <w:szCs w:val="20"/>
          <w:u w:val="single" w:color="auto"/>
          <w:color w:val="auto"/>
        </w:rPr>
        <w:t>U.S. Taxpayer</w:t>
      </w:r>
      <w:r>
        <w:rPr>
          <w:rFonts w:ascii="Times New Roman" w:cs="Times New Roman" w:eastAsia="Times New Roman" w:hAnsi="Times New Roman"/>
          <w:sz w:val="20"/>
          <w:szCs w:val="20"/>
          <w:color w:val="auto"/>
        </w:rPr>
        <w:t>” means an Eligible Individual who is, or may be, subject to taxation under the laws of the U.S. or a political subdivision thereof.</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(zz)“</w:t>
      </w:r>
      <w:r>
        <w:rPr>
          <w:rFonts w:ascii="Times New Roman" w:cs="Times New Roman" w:eastAsia="Times New Roman" w:hAnsi="Times New Roman"/>
          <w:sz w:val="20"/>
          <w:szCs w:val="20"/>
          <w:u w:val="single" w:color="auto"/>
          <w:color w:val="auto"/>
        </w:rPr>
        <w:t>WTW Group</w:t>
      </w:r>
      <w:r>
        <w:rPr>
          <w:rFonts w:ascii="Times New Roman" w:cs="Times New Roman" w:eastAsia="Times New Roman" w:hAnsi="Times New Roman"/>
          <w:sz w:val="20"/>
          <w:szCs w:val="20"/>
          <w:color w:val="auto"/>
        </w:rPr>
        <w:t>” means the Company and its Subsidiaries.</w:t>
      </w:r>
    </w:p>
    <w:p>
      <w:pPr>
        <w:spacing w:after="0" w:line="212"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 OF PLAN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7" w:lineRule="auto"/>
        <w:tabs>
          <w:tab w:leader="none" w:pos="1018" w:val="left"/>
        </w:tabs>
        <w:numPr>
          <w:ilvl w:val="1"/>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Unless otherwise determined by the Board, the Plan shall be administered by the Committee which shall consist solely of two or more members of the Board each of whom is an “independent director” under the Nasdaq Stock Market rules (or other principal securities market on which Shares are traded); provided that the term “Committee” means (i) the Board acting at any time in lieu of the Committee; (ii) a committee consisting solely of two or more Directors of the Company, each of whom is an “outside director” within the meaning of Section 162(m) of the Code with respect to Outstanding Qualified Performance-Based Compensation; and (iii) with respect to an Award granted to a Director or officer of the Company subject to Section 16 of the Exchange Act, a committee consisting solely of two or more Non-Employee Directors as defined under Rule 16b-3 under the Exchange Act and provided further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w:t>
      </w:r>
    </w:p>
    <w:p>
      <w:pPr>
        <w:spacing w:after="0" w:line="175" w:lineRule="exact"/>
        <w:rPr>
          <w:rFonts w:ascii="Times New Roman" w:cs="Times New Roman" w:eastAsia="Times New Roman" w:hAnsi="Times New Roman"/>
          <w:sz w:val="19"/>
          <w:szCs w:val="19"/>
          <w:color w:val="auto"/>
        </w:rPr>
      </w:pPr>
    </w:p>
    <w:p>
      <w:pPr>
        <w:ind w:firstLine="757"/>
        <w:spacing w:after="0" w:line="269" w:lineRule="auto"/>
        <w:tabs>
          <w:tab w:leader="none" w:pos="1018"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of Committee</w:t>
      </w:r>
      <w:r>
        <w:rPr>
          <w:rFonts w:ascii="Times New Roman" w:cs="Times New Roman" w:eastAsia="Times New Roman" w:hAnsi="Times New Roman"/>
          <w:sz w:val="20"/>
          <w:szCs w:val="20"/>
          <w:color w:val="auto"/>
        </w:rPr>
        <w:t>. The Plan shall be administered by the Committee. The Committee may adopt its own rules of procedure, and the action of the Committee, taken at a meeting or taken without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color w:val="auto"/>
        </w:rPr>
        <w:t>a meeting by a unanimous signed writing, shall constitute action by the Committee. Subject to any specific designation in the Plan,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Committee has the exclusive power, authority and discretion to:</w:t>
      </w:r>
    </w:p>
    <w:p>
      <w:pPr>
        <w:spacing w:after="0" w:line="194" w:lineRule="exact"/>
        <w:rPr>
          <w:sz w:val="20"/>
          <w:szCs w:val="20"/>
          <w:color w:val="auto"/>
        </w:rPr>
      </w:pPr>
    </w:p>
    <w:p>
      <w:pPr>
        <w:ind w:left="2040" w:hanging="535"/>
        <w:spacing w:after="0"/>
        <w:tabs>
          <w:tab w:leader="none" w:pos="20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Participants to receive Awards;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type or types of Awards to be granted to each Participant;</w:t>
      </w:r>
    </w:p>
    <w:p>
      <w:pPr>
        <w:spacing w:after="0" w:line="215"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Awards to be granted and the number of Shares and/or Fractional Share Interests to which an Award will relate;</w:t>
      </w:r>
    </w:p>
    <w:p>
      <w:pPr>
        <w:spacing w:after="0" w:line="159" w:lineRule="exact"/>
        <w:rPr>
          <w:rFonts w:ascii="Times New Roman" w:cs="Times New Roman" w:eastAsia="Times New Roman" w:hAnsi="Times New Roman"/>
          <w:sz w:val="20"/>
          <w:szCs w:val="20"/>
          <w:color w:val="auto"/>
        </w:rPr>
      </w:pPr>
    </w:p>
    <w:p>
      <w:pPr>
        <w:jc w:val="both"/>
        <w:ind w:firstLine="1505"/>
        <w:spacing w:after="0" w:line="260" w:lineRule="auto"/>
        <w:tabs>
          <w:tab w:leader="none" w:pos="203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Determine the terms and conditions of any Award granted pursuant to the Plan, including, but not limited to, the Exercise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Committee shall not have the authority to accelerate the Performance Goal vesting requirement or waive the forfeiture of any Awards intended to constitute an Outstanding Qualified Performance-Based Compensation;</w:t>
      </w:r>
    </w:p>
    <w:p>
      <w:pPr>
        <w:spacing w:after="0" w:line="172" w:lineRule="exact"/>
        <w:rPr>
          <w:rFonts w:ascii="Times New Roman" w:cs="Times New Roman" w:eastAsia="Times New Roman" w:hAnsi="Times New Roman"/>
          <w:sz w:val="19"/>
          <w:szCs w:val="19"/>
          <w:color w:val="auto"/>
        </w:rPr>
      </w:pPr>
    </w:p>
    <w:p>
      <w:pPr>
        <w:jc w:val="both"/>
        <w:ind w:firstLine="1505"/>
        <w:spacing w:after="0" w:line="249"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13 of this Plan, determine whether, to what extent, and pursuant to what circumstances an Award may be settled in, or the Exercise Price of an Award may be paid in, cash, Shares, Fractional Share Interests, other Awards, or other property, or an Award may be amended (including acceleration of vesting or waivers of forfeiture restrictions or exercisability), canceled, forfeited, substituted, exchanged, replaced, bought out or surrendered;</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the form of each Award Agreement, which need not be identical for each Participant;</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other matters that must be determined in connection with an Award;</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interpret, or revise any rules and regulations including adopting sub-plans to the Plan and Award Agreements for the purposes of complying with securities, exchange control or tax laws outside of the U.S. or Ireland, and/or for the purposes of taking advantage of tax favorable treatment for Awards granted to Participants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terms of, and any matter arising pursuant to, the Plan, any sub-plan or Award Agreement; and</w:t>
      </w:r>
    </w:p>
    <w:p>
      <w:pPr>
        <w:spacing w:after="0" w:line="215"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decisions and determinations that may be required pursuant to the Plan, or any sub-plan or Award Agreement as the Committee deems necessary or advisable to administer the Plan, any sub-plan or Award Agreement.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Decisions Binding</w:t>
      </w:r>
      <w:r>
        <w:rPr>
          <w:rFonts w:ascii="Times New Roman" w:cs="Times New Roman" w:eastAsia="Times New Roman" w:hAnsi="Times New Roman"/>
          <w:sz w:val="20"/>
          <w:szCs w:val="20"/>
          <w:color w:val="auto"/>
        </w:rPr>
        <w:t>. The Committee’s interpretation of the Plan, any sub-plan, or any Awards granted pursuant to the Plan, any sub-plan and any Award Agreement and all decisions and determinations by the Committee with respect to the Plan, any sub-plan and any Award Agreement are final, binding, and conclusive on all parties.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jc w:val="both"/>
        <w:ind w:firstLine="757"/>
        <w:spacing w:after="0" w:line="242"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xml:space="preserve">. To the extent permitted by applicable Irish or U.S. law and subject to Section 13 of this Plan, the Committee may from time to time delegate to the Share Award Committee, the Chief Executive Officer and/or one or more senior officers of the Company the authority to grant, amend, substitute, exchange, replace, buyout, surrender, forfeit or cancel Awards to Participants;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Committee shall have the sole authority with respect to Awards granted to or held by (a) Participants who are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Section 16 of the Exchange Act or (b) officers of the Company to whom authority to grant or amend Awards has been delegated hereunder. For the avoidance of doubt, provided it meets the limitation in the preceding sentence, this delegation shall include the right to grant, amend, exchange, replace, buyout, surrender, forfeit or cancel Awards as necessary to accommodate changes in the laws or regulations, including in jurisdictions outside the U.S. and Ireland. Any delegation hereunder shall be subject to the restrictions and limits that the Committee specifies at the time of such delegation, and the Committee may at any time rescind the authority so delegated or appoint a new delegate, or at all times, the delegate appointed under this Section 3(d) shall serve in such capacity at the pleasure of the Committee.</w:t>
      </w:r>
    </w:p>
    <w:p>
      <w:pPr>
        <w:spacing w:after="0" w:line="192"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Liability to Participants</w:t>
      </w:r>
      <w:r>
        <w:rPr>
          <w:rFonts w:ascii="Times New Roman" w:cs="Times New Roman" w:eastAsia="Times New Roman" w:hAnsi="Times New Roman"/>
          <w:sz w:val="20"/>
          <w:szCs w:val="20"/>
          <w:color w:val="auto"/>
        </w:rPr>
        <w:t>. The Committee may employ attorneys, consultants, accountants, appraisers, brokers or other persons and the Committee, the WTW Group, and the officers and Directors of the WTW Group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3(d)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WTW Group, any Designated Associate Company or any of their respective Employees, Directors, officers, agents or representatives nor any member of the Committee or the Share Award Committee shall have liability to a Participant or otherwise, including, without limitation, with respect to the failure of the Plan, any sub-plan, any Award or Award Agreement to comply with Section 409A of the Code.</w:t>
      </w:r>
    </w:p>
    <w:p>
      <w:pPr>
        <w:spacing w:after="0" w:line="188"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 AND PARTICIPATION</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6" w:lineRule="auto"/>
        <w:tabs>
          <w:tab w:leader="none" w:pos="101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Subject to the provisions of the Plan, each Eligible Individual shall be eligible to be granted one or more Awards pursuant to the Plan in such form and having such terms, conditions and limitations as the Committee may determine; provided, however, that Eligible Individuals employed by a Designated Associate Company shall not be eligible to be granted an Option, SAR or other “stock right,” within the meaning of Section 409A of the Code, unless the Eligible Individual is not a U.S. Taxpayer or if the Committee determines that the stock right is exempt from, or may be granted in compliance with, Section 409A of the Code.</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w:t>
      </w:r>
      <w:r>
        <w:rPr>
          <w:rFonts w:ascii="Times New Roman" w:cs="Times New Roman" w:eastAsia="Times New Roman" w:hAnsi="Times New Roman"/>
          <w:sz w:val="20"/>
          <w:szCs w:val="20"/>
          <w:color w:val="auto"/>
        </w:rPr>
        <w:t xml:space="preserve">. Subject to the provisions of the Plan, the Committee may, from time to time, select from among all Eligible Individuals, those to whom Awards shall be granted and shall determine the nature and amount of each Award. No Eligible Individual shall have any right to be granted an Award pursuant to the Plan. Awards may be granted singly, in combination </w:t>
      </w:r>
      <w:r>
        <w:rPr>
          <w:rFonts w:ascii="Arial" w:cs="Arial" w:eastAsia="Arial" w:hAnsi="Arial"/>
          <w:sz w:val="17"/>
          <w:szCs w:val="17"/>
          <w:color w:val="auto"/>
        </w:rPr>
        <w:t>or in</w:t>
      </w:r>
      <w:r>
        <w:rPr>
          <w:rFonts w:ascii="Times New Roman" w:cs="Times New Roman" w:eastAsia="Times New Roman" w:hAnsi="Times New Roman"/>
          <w:sz w:val="20"/>
          <w:szCs w:val="20"/>
          <w:color w:val="auto"/>
        </w:rPr>
        <w:t xml:space="preserve"> tandem. The terms, conditions and limitations of each Award under the Plan shall be set forth in an Award Agreement, in a form approved by the Committee or an authorized delegatee under Section 3(d), as applicable, consistent, however, with the terms of the Plan and any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ind w:left="760" w:hanging="752"/>
        <w:spacing w:after="0"/>
        <w:tabs>
          <w:tab w:leader="none" w:pos="76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LIMITATIONS</w:t>
      </w:r>
    </w:p>
    <w:p>
      <w:pPr>
        <w:spacing w:after="0" w:line="219"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Separate Share Pools</w:t>
      </w:r>
      <w:r>
        <w:rPr>
          <w:rFonts w:ascii="Times New Roman" w:cs="Times New Roman" w:eastAsia="Times New Roman" w:hAnsi="Times New Roman"/>
          <w:sz w:val="20"/>
          <w:szCs w:val="20"/>
          <w:color w:val="auto"/>
        </w:rPr>
        <w:t>. Subject to Section 11 and Section 5(a)(iii) hereof, the aggregate number of Shares which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authorized for grants and may be issued or transferred pursuant to Awards under the Plan will be 21,676,344 Shares, which shall be comprised of the Prior Pool and the New Pool;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maximum aggregate number of Shares that may be issued pursuant to the exercise of Incentive Stock Options shall in no event exceed 21,432,521 Shares.</w:t>
      </w:r>
    </w:p>
    <w:p>
      <w:pPr>
        <w:spacing w:after="0" w:line="175" w:lineRule="exact"/>
        <w:rPr>
          <w:rFonts w:ascii="Times New Roman" w:cs="Times New Roman" w:eastAsia="Times New Roman" w:hAnsi="Times New Roman"/>
          <w:sz w:val="20"/>
          <w:szCs w:val="20"/>
          <w:color w:val="auto"/>
        </w:rPr>
      </w:pPr>
    </w:p>
    <w:p>
      <w:pPr>
        <w:ind w:firstLine="1505"/>
        <w:spacing w:after="0" w:line="273" w:lineRule="auto"/>
        <w:tabs>
          <w:tab w:leader="none" w:pos="2036"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Share Reserve Counting. </w:t>
      </w:r>
      <w:r>
        <w:rPr>
          <w:rFonts w:ascii="Times New Roman" w:cs="Times New Roman" w:eastAsia="Times New Roman" w:hAnsi="Times New Roman"/>
          <w:sz w:val="20"/>
          <w:szCs w:val="20"/>
          <w:color w:val="auto"/>
        </w:rPr>
        <w:t>Shares and/or Fractional Share Interests subject to Awards granted under the Plan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counted against Shares available for grant under the Plan in accordance with the provisions of this Section 5(a)(ii).</w:t>
      </w:r>
    </w:p>
    <w:p>
      <w:pPr>
        <w:spacing w:after="0" w:line="155" w:lineRule="exact"/>
        <w:rPr>
          <w:rFonts w:ascii="Times New Roman" w:cs="Times New Roman" w:eastAsia="Times New Roman" w:hAnsi="Times New Roman"/>
          <w:sz w:val="20"/>
          <w:szCs w:val="20"/>
          <w:color w:val="auto"/>
        </w:rPr>
      </w:pPr>
    </w:p>
    <w:p>
      <w:pPr>
        <w:ind w:firstLine="2254"/>
        <w:spacing w:after="0" w:line="269" w:lineRule="auto"/>
        <w:tabs>
          <w:tab w:leader="none" w:pos="2546"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Pool Share Counting</w:t>
      </w:r>
      <w:r>
        <w:rPr>
          <w:rFonts w:ascii="Times New Roman" w:cs="Times New Roman" w:eastAsia="Times New Roman" w:hAnsi="Times New Roman"/>
          <w:sz w:val="20"/>
          <w:szCs w:val="20"/>
          <w:color w:val="auto"/>
        </w:rPr>
        <w:t>. Any Shares and/or Fractional Share Interests that are subject to Awards granted under the Prior Pool will be counted against the maximum limit set forth in Section 5(a)(i) in accordance with the following:</w:t>
      </w:r>
    </w:p>
    <w:p>
      <w:pPr>
        <w:spacing w:after="0" w:line="159" w:lineRule="exact"/>
        <w:rPr>
          <w:rFonts w:ascii="Times New Roman" w:cs="Times New Roman" w:eastAsia="Times New Roman" w:hAnsi="Times New Roman"/>
          <w:sz w:val="20"/>
          <w:szCs w:val="20"/>
          <w:color w:val="auto"/>
        </w:rPr>
      </w:pPr>
    </w:p>
    <w:p>
      <w:pPr>
        <w:jc w:val="both"/>
        <w:ind w:firstLine="3003"/>
        <w:spacing w:after="0" w:line="249" w:lineRule="auto"/>
        <w:tabs>
          <w:tab w:leader="none" w:pos="3564" w:val="left"/>
        </w:tabs>
        <w:numPr>
          <w:ilvl w:val="4"/>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and/or Fractional Share Interests that are subject to Awards of Options or SARs or other Award that is not a Full-Value Award shall be counted against this limit as (i) one (1) Share for every one (1) Share granted or subject to grant for any such Award and (ii) the fractional portion of a Share corresponding to any Fractional Share Interest granted or subject to grant for any such Award; and</w:t>
      </w:r>
    </w:p>
    <w:p>
      <w:pPr>
        <w:spacing w:after="0" w:line="179" w:lineRule="exact"/>
        <w:rPr>
          <w:rFonts w:ascii="Times New Roman" w:cs="Times New Roman" w:eastAsia="Times New Roman" w:hAnsi="Times New Roman"/>
          <w:sz w:val="20"/>
          <w:szCs w:val="20"/>
          <w:color w:val="auto"/>
        </w:rPr>
      </w:pPr>
    </w:p>
    <w:p>
      <w:pPr>
        <w:jc w:val="both"/>
        <w:ind w:firstLine="3003"/>
        <w:spacing w:after="0" w:line="249" w:lineRule="auto"/>
        <w:tabs>
          <w:tab w:leader="none" w:pos="3564" w:val="left"/>
        </w:tabs>
        <w:numPr>
          <w:ilvl w:val="4"/>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Shares and/or Fractional Share Interests that are subject to a Full-Value Award (other than Options or SARs) shall be counted against this limit as (i) one (1) Share for every one (1) Share granted or subject to grant for any such Award and (ii) the fractional portion of a Share corresponding to any Fractional Share Interest granted or subject to grant for any such Award.</w:t>
      </w:r>
    </w:p>
    <w:p>
      <w:pPr>
        <w:spacing w:after="0" w:line="179" w:lineRule="exact"/>
        <w:rPr>
          <w:rFonts w:ascii="Times New Roman" w:cs="Times New Roman" w:eastAsia="Times New Roman" w:hAnsi="Times New Roman"/>
          <w:sz w:val="20"/>
          <w:szCs w:val="20"/>
          <w:color w:val="auto"/>
        </w:rPr>
      </w:pPr>
    </w:p>
    <w:p>
      <w:pPr>
        <w:jc w:val="both"/>
        <w:ind w:firstLine="2254"/>
        <w:spacing w:after="0" w:line="249" w:lineRule="auto"/>
        <w:tabs>
          <w:tab w:leader="none" w:pos="2546"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Pool Share Counting</w:t>
      </w:r>
      <w:r>
        <w:rPr>
          <w:rFonts w:ascii="Times New Roman" w:cs="Times New Roman" w:eastAsia="Times New Roman" w:hAnsi="Times New Roman"/>
          <w:sz w:val="20"/>
          <w:szCs w:val="20"/>
          <w:color w:val="auto"/>
        </w:rPr>
        <w:t>. Any Shares and/or Fractional Share Interests that are subject to Awards granted under the New Pool will be counted against the maximum limit set forth in Section 5(a)(i) as (i) one (1) Share for every one (1) Share subject to the granted Award and (ii) the fractional portion of a Share corresponding to any Fractional Share Interest granted or subject to grant for any such Award.</w:t>
      </w:r>
    </w:p>
    <w:p>
      <w:pPr>
        <w:spacing w:after="0" w:line="17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Shares Reissuable Under Plan</w:t>
      </w:r>
      <w:r>
        <w:rPr>
          <w:rFonts w:ascii="Times New Roman" w:cs="Times New Roman" w:eastAsia="Times New Roman" w:hAnsi="Times New Roman"/>
          <w:sz w:val="20"/>
          <w:szCs w:val="20"/>
          <w:color w:val="auto"/>
        </w:rPr>
        <w:t>. To the extent that an Award terminates, expires, lapses for any reason, or is settled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cash, any Shares and Fractional Share Interests subject to the Award shall again be available for the grant of an Award pursuant to the Plan. Any Shares and Fractional Share Interests that become available for the grant of Awards pursuant to this Section 5(a)(iii) shall be added back in accordance with the following:</w:t>
      </w:r>
    </w:p>
    <w:p>
      <w:pPr>
        <w:spacing w:after="0" w:line="179" w:lineRule="exact"/>
        <w:rPr>
          <w:rFonts w:ascii="Times New Roman" w:cs="Times New Roman" w:eastAsia="Times New Roman" w:hAnsi="Times New Roman"/>
          <w:sz w:val="20"/>
          <w:szCs w:val="20"/>
          <w:color w:val="auto"/>
        </w:rPr>
      </w:pPr>
    </w:p>
    <w:p>
      <w:pPr>
        <w:jc w:val="both"/>
        <w:ind w:firstLine="2254"/>
        <w:spacing w:after="0" w:line="245" w:lineRule="auto"/>
        <w:tabs>
          <w:tab w:leader="none" w:pos="2546"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Pool</w:t>
      </w:r>
      <w:r>
        <w:rPr>
          <w:rFonts w:ascii="Times New Roman" w:cs="Times New Roman" w:eastAsia="Times New Roman" w:hAnsi="Times New Roman"/>
          <w:sz w:val="20"/>
          <w:szCs w:val="20"/>
          <w:color w:val="auto"/>
        </w:rPr>
        <w:t>. For Awards granted under the Prior Pool prior to the 2022 Approval Date, the Shares and fractional portion of a Share will be added back to the Prior Pool as (i) one (1) Share and fractional portion of a Share, as applicable, if such Shares and fractional portion of a Share corresponding to the Fractional Share Interests were subject to Options or SARs and (ii) a number of Shares and fractional portion of a Share, as applicable, equal to the product of 3.28, multiplied by the number of Shares and, if applicable, fractional portion of a Share corresponding to the Fractional Share Interest if such Shares and, if applicable, Fractional Share Interests were subject to Full-Value Awards; and</w:t>
      </w:r>
    </w:p>
    <w:p>
      <w:pPr>
        <w:spacing w:after="0" w:line="184" w:lineRule="exact"/>
        <w:rPr>
          <w:rFonts w:ascii="Times New Roman" w:cs="Times New Roman" w:eastAsia="Times New Roman" w:hAnsi="Times New Roman"/>
          <w:sz w:val="20"/>
          <w:szCs w:val="20"/>
          <w:color w:val="auto"/>
        </w:rPr>
      </w:pPr>
    </w:p>
    <w:p>
      <w:pPr>
        <w:ind w:firstLine="2254"/>
        <w:spacing w:after="0" w:line="269" w:lineRule="auto"/>
        <w:tabs>
          <w:tab w:leader="none" w:pos="2546" w:val="left"/>
        </w:tabs>
        <w:numPr>
          <w:ilvl w:val="3"/>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Pool</w:t>
      </w:r>
      <w:r>
        <w:rPr>
          <w:rFonts w:ascii="Times New Roman" w:cs="Times New Roman" w:eastAsia="Times New Roman" w:hAnsi="Times New Roman"/>
          <w:sz w:val="20"/>
          <w:szCs w:val="20"/>
          <w:color w:val="auto"/>
        </w:rPr>
        <w:t>. For Awards granted under the New Pool, the Shares and/or Fractional Share Interests will be added back to the New Pool as (i) one (1) Share for each Share and (ii)</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color w:val="auto"/>
        </w:rPr>
        <w:t>the fractional portion of a Share corresponding to any Fractional Share Interest subject to each type of Award.</w:t>
      </w:r>
    </w:p>
    <w:p>
      <w:pPr>
        <w:spacing w:after="0" w:line="212" w:lineRule="exact"/>
        <w:rPr>
          <w:sz w:val="20"/>
          <w:szCs w:val="20"/>
          <w:color w:val="auto"/>
        </w:rPr>
      </w:pPr>
    </w:p>
    <w:p>
      <w:pPr>
        <w:jc w:val="both"/>
        <w:ind w:firstLine="1505"/>
        <w:spacing w:after="0" w:line="242" w:lineRule="auto"/>
        <w:tabs>
          <w:tab w:leader="none" w:pos="2036"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Shares and Fractional Share Interests Not Reissuable Under Plan</w:t>
      </w:r>
      <w:r>
        <w:rPr>
          <w:rFonts w:ascii="Times New Roman" w:cs="Times New Roman" w:eastAsia="Times New Roman" w:hAnsi="Times New Roman"/>
          <w:sz w:val="20"/>
          <w:szCs w:val="20"/>
          <w:color w:val="auto"/>
        </w:rPr>
        <w:t>. Notwithstanding anything to the contrary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contained herein, the following Shares and/or fractional portion of a Share corresponding to Fractional Share Interests shall not be added to the Shares authorized for grant under this Section 5(a): (1) Shares and/or Fractional Share Interests not issued or delivered as a result of the net settlement of an outstanding Option or SAR; (2) Shares, fractional portion of a Share and/or Fractional Share Interests tendered by the Participant or withheld by the Company in payment of the Exercise Price of a Option or a SAR; (3) Shares, fractional portion of a Share and/or Fractional Share Interests tendered by the Participant or withheld by the Company to satisfy any Tax-Related Items withholding obligation with respect to an Award; and (4) Shares repurchased by the Company on the open market with the proceeds of the Exercise Price from Options. The payment of Dividend Equivalent Rights in cash in conjunction with any outstanding Awards shall not be counted against the Shares available for issuance under the Plan. Notwithstanding the provisions of this Section 5, no Shares may again be optioned, granted or awarded if such action would cause an Incentive Stock Option to fail to qualify as an incentive stock option under Section 422 of the Code.</w:t>
      </w:r>
    </w:p>
    <w:p>
      <w:pPr>
        <w:spacing w:after="0" w:line="189"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2"/>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Shares Not Counted Against Share Pool Reserve</w:t>
      </w:r>
      <w:r>
        <w:rPr>
          <w:rFonts w:ascii="Times New Roman" w:cs="Times New Roman" w:eastAsia="Times New Roman" w:hAnsi="Times New Roman"/>
          <w:sz w:val="20"/>
          <w:szCs w:val="20"/>
          <w:color w:val="auto"/>
        </w:rPr>
        <w:t>. To the extent permitted by applicable securities law or any rule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securities exchange on which the Ordinary Shares are then listed or traded, Substitute Awards issued in assumption of, or in substitution for, any outstanding awards of any entity acquired in any form of combination by the Company or any Subsidiary shall not be counted against Shares available for grant pursuant to the Plan. Additionally, to the extent permitted by applicable securities law or any rule of the securities exchange on which the Ordinary Shares are then listed or traded, in the event that a company acquired by (or combined with) the Company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at the discretion of the Committee, be used for Substitute Awards under the Plan in lieu of awards under the applicable pre-existing plan of the other company and shall not reduce the Shares authorized for grant under the Plan; provided that Substitute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Subsidiary prior to such acquisition or combination.</w:t>
      </w:r>
    </w:p>
    <w:p>
      <w:pPr>
        <w:spacing w:after="0" w:line="186"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Distributed</w:t>
      </w:r>
      <w:r>
        <w:rPr>
          <w:rFonts w:ascii="Times New Roman" w:cs="Times New Roman" w:eastAsia="Times New Roman" w:hAnsi="Times New Roman"/>
          <w:sz w:val="20"/>
          <w:szCs w:val="20"/>
          <w:color w:val="auto"/>
        </w:rPr>
        <w:t>. Any Shares distributed pursuant to an Award may consist in whole or in part, of authorized and unissued Shares, treasury Shares or Shares purchased in the open market.</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AND CONDITIONS APPLICABLE TO AWARDS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Stand-Alone and Tandem Awards</w:t>
      </w:r>
      <w:r>
        <w:rPr>
          <w:rFonts w:ascii="Times New Roman" w:cs="Times New Roman" w:eastAsia="Times New Roman" w:hAnsi="Times New Roman"/>
          <w:sz w:val="20"/>
          <w:szCs w:val="20"/>
          <w:color w:val="auto"/>
        </w:rPr>
        <w:t>.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Agreement</w:t>
      </w:r>
      <w:r>
        <w:rPr>
          <w:rFonts w:ascii="Times New Roman" w:cs="Times New Roman" w:eastAsia="Times New Roman" w:hAnsi="Times New Roman"/>
          <w:sz w:val="20"/>
          <w:szCs w:val="20"/>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both"/>
        <w:ind w:firstLine="757"/>
        <w:spacing w:after="0" w:line="244"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 to Employment or Services</w:t>
      </w:r>
      <w:r>
        <w:rPr>
          <w:rFonts w:ascii="Times New Roman" w:cs="Times New Roman" w:eastAsia="Times New Roman" w:hAnsi="Times New Roman"/>
          <w:sz w:val="20"/>
          <w:szCs w:val="20"/>
          <w:color w:val="auto"/>
        </w:rPr>
        <w:t>. Nothing contained herein shall affect the right of WTW Group or, if applicable, a Designated Associate Company to terminate any Participant’s employment or service at any time or for any reason. The rights and obligations of any individual under the terms of his or her office or employment or service with any member of the WTW Group or, if applicable, a Designated Associate Company shall not be affected by his or her participation in the Plan or any right which he or she may have to participate in it, and an individual who participates in the Plan shall waive any and all rights to compensation or damages in consequence of the his or her Termination of Service for any reason whatsoever insofar as those rights arise or may arise from his or her ceasing to have rights under or be entitled to any Award as a result of such termination.</w:t>
      </w:r>
    </w:p>
    <w:p>
      <w:pPr>
        <w:spacing w:after="0" w:line="18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Deferral of Awards</w:t>
      </w:r>
      <w:r>
        <w:rPr>
          <w:rFonts w:ascii="Times New Roman" w:cs="Times New Roman" w:eastAsia="Times New Roman" w:hAnsi="Times New Roman"/>
          <w:sz w:val="20"/>
          <w:szCs w:val="20"/>
          <w:color w:val="auto"/>
        </w:rPr>
        <w:t>. Subject to complying with Section 409A of the Code in the case of Awards granted to a U.S. Taxpayer, the deferral of the settlement of an Award may be provided for, at the sole discretion of the Committee, in the Award Agreements.</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Limits on Transfer</w:t>
      </w:r>
      <w:r>
        <w:rPr>
          <w:rFonts w:ascii="Times New Roman" w:cs="Times New Roman" w:eastAsia="Times New Roman" w:hAnsi="Times New Roman"/>
          <w:sz w:val="20"/>
          <w:szCs w:val="20"/>
          <w:color w:val="auto"/>
        </w:rPr>
        <w:t>. No Award, right or benefit under the Plan may be transferred by a Participant other than by will or the laws of intestacy, and all Awards, rights and benefits under the Plan may be exercised during the Participant’s lifetime only by the Participant. No such benefit shall, prior to receipt thereof by the Participant, be in any manner liable for or subject to the debts, contracts, liabilities, engagements, or torts of the Participant.</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Shareholder Rights</w:t>
      </w:r>
      <w:r>
        <w:rPr>
          <w:rFonts w:ascii="Times New Roman" w:cs="Times New Roman" w:eastAsia="Times New Roman" w:hAnsi="Times New Roman"/>
          <w:sz w:val="20"/>
          <w:szCs w:val="20"/>
          <w:color w:val="auto"/>
        </w:rPr>
        <w:t>. Except as set forth in Section 7(b) or otherwise determined by the Committee, Participants shall not be, and shall not have any of the rights or privileges of, Company shareholders in respect of any Shares and/or Fractional Share Interests purchasable or issuable in connection with any Award unless such Shares and/or Fractional Share Interests have been issued by the Company to such Participants and in the case of Fractional Share Interests, only to the extent provided in the Award Agreement evidencing the grant of the Fractional Share Interests and permitted by applicable law.</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Absent express provisions to the contrary, any Award under the Plan shall not be deemed compensation for purposes of computing benefits or contributions under any retirement plan of any member of WTW Group or Designated Associate Company and shall not affect any benefits under any other benefit plan of any kind now or subsequently in effect under which the availability or amount of benefits is related to level of compensation. The Plan is not a “Pension Plan” or “Welfare Plan” under the U.S. Employee Retirement Income Security Act of 1974, as amended. Further, no payment pursuant to the Plan shall be taken into account in determining any benefits pursuant to any pension, retirement, savings, profit sharing, group insurance, termination programs and/or indemnities or severance payments, welfare or other benefit plan of any member of the WTW Group or any Designated Associate Company except to the extent otherwise expressly provided in writing in such other plan or an agreement thereunder.</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Status of Awards</w:t>
      </w:r>
      <w:r>
        <w:rPr>
          <w:rFonts w:ascii="Times New Roman" w:cs="Times New Roman" w:eastAsia="Times New Roman" w:hAnsi="Times New Roman"/>
          <w:sz w:val="20"/>
          <w:szCs w:val="20"/>
          <w:color w:val="auto"/>
        </w:rPr>
        <w:t>. Unless the Committee determines otherwise, no benefit or promise under the Plan shall be secured by any specific assets of any member of WTW Group, nor shall any assets of any member of WTW Group be designated as attributable or allocated to the satisfaction of the Company’s obligations under the Plan.</w:t>
      </w:r>
    </w:p>
    <w:p>
      <w:pPr>
        <w:spacing w:after="0" w:line="17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Certificates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Book Entry Procedures</w:t>
      </w:r>
      <w:r>
        <w:rPr>
          <w:rFonts w:ascii="Times New Roman" w:cs="Times New Roman" w:eastAsia="Times New Roman" w:hAnsi="Times New Roman"/>
          <w:sz w:val="20"/>
          <w:szCs w:val="20"/>
          <w:color w:val="auto"/>
        </w:rPr>
        <w:t>. Any certificates evidencing Shares delivered pursuant to the Plan are subject to any restrictions as the Committee deems necessary or advisable to comply with applicable securities laws, rules, and regulations of Ireland and the U.S. and jurisdictions outside of Ireland and the U.S., including the rules of any securities exchange or automated quotation system on which the Shares are listed, quoted, or traded. The Committee may place legends on any certificate evidencing Shares to reference restrictions applicable to the Shares. Notwithstanding any other provision of the Plan, unless otherwise determined by the Committee or required by applicable laws, rules or regulations, the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43" w:lineRule="auto"/>
        <w:rPr>
          <w:sz w:val="20"/>
          <w:szCs w:val="20"/>
          <w:color w:val="auto"/>
        </w:rPr>
      </w:pPr>
      <w:r>
        <w:rPr>
          <w:rFonts w:ascii="Times New Roman" w:cs="Times New Roman" w:eastAsia="Times New Roman" w:hAnsi="Times New Roman"/>
          <w:sz w:val="20"/>
          <w:szCs w:val="20"/>
          <w:color w:val="auto"/>
        </w:rPr>
        <w:t>Company shall not deliver to any Participant certificates evidencing Shares and/or Fractional Share Interests issued in connection with any Award and instead (i) any Shares that are issued pursuant to an Award shall be recorded in the books of the Company (or, as applicable, its transfer agent or stock plan administrator), but in no event shall a fractional Share be recorded in the books of the Company (or, as applicable, its transfer agent), and (ii) any Fractional Share Interests that are issued pursuant to an Award may be recorded in the books of the stock plan administrator for purposes of providing holders of Fractional Share Interests with such rights of shareholders with respect to Shares as may be specified in the Award Agreement. Where the Company’s stock plan administrator holds a Fractional Share Interest (through the Company’s custodial account) in excess of those allocated to Participants, the Fractional Shares Interest shall be held in the Company’s custodial account for the benefit of satisfying future obligations to issue Fractional Share Interests pursuant to Awards granted under the Plan.</w:t>
      </w:r>
    </w:p>
    <w:p>
      <w:pPr>
        <w:spacing w:after="0" w:line="186" w:lineRule="exact"/>
        <w:rPr>
          <w:sz w:val="20"/>
          <w:szCs w:val="20"/>
          <w:color w:val="auto"/>
        </w:rPr>
      </w:pPr>
    </w:p>
    <w:p>
      <w:pPr>
        <w:jc w:val="both"/>
        <w:ind w:firstLine="757"/>
        <w:spacing w:after="0" w:line="249"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Paperless Administration</w:t>
      </w:r>
      <w:r>
        <w:rPr>
          <w:rFonts w:ascii="Times New Roman" w:cs="Times New Roman" w:eastAsia="Times New Roman" w:hAnsi="Times New Roman"/>
          <w:sz w:val="20"/>
          <w:szCs w:val="20"/>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Vesting Conditions</w:t>
      </w:r>
      <w:r>
        <w:rPr>
          <w:rFonts w:ascii="Times New Roman" w:cs="Times New Roman" w:eastAsia="Times New Roman" w:hAnsi="Times New Roman"/>
          <w:sz w:val="20"/>
          <w:szCs w:val="20"/>
          <w:color w:val="auto"/>
        </w:rPr>
        <w:t xml:space="preserve">. Notwithstanding any other provision of the Plan, no portion of an Award may vest before the first anniversary of the date of grant;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minimum vesting periods set forth in this sentence shall not apply to (A) Awards relating to Shares and/or Fractional Share Interests issuable under the Unrestricted Pool, (B) Substitute Awards or (C) Awards, the vesting of which is accelerated in connection with a Participant’s Termination of Service resulting from death or a Permanent Disability.</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w:t>
      </w:r>
      <w:r>
        <w:rPr>
          <w:rFonts w:ascii="Times New Roman" w:cs="Times New Roman" w:eastAsia="Times New Roman" w:hAnsi="Times New Roman"/>
          <w:sz w:val="20"/>
          <w:szCs w:val="20"/>
          <w:color w:val="auto"/>
        </w:rPr>
        <w:t xml:space="preserve">. Any Award granted under the Plan shall only vest while the Participant is an Employee, Consultant or Director, as applicable;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Committee in its sole and absolute discretion may provide that any Award may become exercisable or vest because of the Participants Termination of Service, subject to the minimum vesting conditions of Section 6(k);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however, </w:t>
      </w:r>
      <w:r>
        <w:rPr>
          <w:rFonts w:ascii="Times New Roman" w:cs="Times New Roman" w:eastAsia="Times New Roman" w:hAnsi="Times New Roman"/>
          <w:sz w:val="20"/>
          <w:szCs w:val="20"/>
          <w:color w:val="auto"/>
        </w:rPr>
        <w:t>that no such action to accelerate the vesting or exercisability shall be given effect to the extent that such action would cause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Award to violate Section 409A of the Code.</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of the Sections in the Plan are for convenience of reference only and, in the event of any conflict, the text of the Plan, rather than such titles or headings, shall control.</w:t>
      </w:r>
    </w:p>
    <w:p>
      <w:pPr>
        <w:spacing w:after="0" w:line="159" w:lineRule="exact"/>
        <w:rPr>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 Fractional Share Interests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 6(n)(ii) hereof in connection with Fractional Share Interest transactions facilitated by the Company’s designated Plan broker, no fractional Shares shall be issued by the Company and in no event shall certificates representing fractional Shares be delivered to a Participant under any circumstances. Where the Committee has determined that Fractional Share Interests (as authorized under Section 6(n)(ii) hereof) will not be credited to a Participant’s stock account, the Committee shall determine, in its discretion, whether cash shall be paid in lieu of fractional Shares that vest or whether such fractional Shares shall be eliminated by rounding up or down as appropriate.</w:t>
      </w:r>
    </w:p>
    <w:p>
      <w:pPr>
        <w:spacing w:after="0" w:line="184"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over Fractional Share Interests may be granted and Fractional Share Interests may be credited to a Participant’s stock account through an arrangement facilitated by the Company’s designated Plan broker if and to the extent determined by the Committee. To the extent the Committee has determined that Fractional Share Interests may be granted and/or credited to a Participant’s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43" w:lineRule="auto"/>
        <w:rPr>
          <w:sz w:val="20"/>
          <w:szCs w:val="20"/>
          <w:color w:val="auto"/>
        </w:rPr>
      </w:pPr>
      <w:r>
        <w:rPr>
          <w:rFonts w:ascii="Times New Roman" w:cs="Times New Roman" w:eastAsia="Times New Roman" w:hAnsi="Times New Roman"/>
          <w:sz w:val="20"/>
          <w:szCs w:val="20"/>
          <w:color w:val="auto"/>
        </w:rPr>
        <w:t>stock account pursuant to this Section 6(n)(ii), the terms of the Award providing for the issuance of Fractional Share Interests shall be consistent with the general provisions applicable to an Award as set forth herein (including the provisions set forth in Section 7), and the Award Agreement evidencing such Award shall specify the rights the Participant shall have as a stockholder with respect to Shares underlying the Fractional Share Interests subject to the Award. Without limiting the foregoing and notwithstanding anything to the contrary in Section 7(a)(iii) or 15 hereof, the Committee may authorize the withholding of less than a whole Share or of a Fractional Share Interest or the sale of less than a whole Share or of a Fractional Share Interest subject to the Award to satisfy (1) any withholding obligations for Tax-Related Items pursuant to Section 15 and/or (2) the payment of the exercise price of an Option pursuant to Section 7(a)(iii) hereof, some of which of the foregoing transactions may result in the crediting of Fractional Share Interests to a Participant’s stock account.</w:t>
      </w:r>
    </w:p>
    <w:p>
      <w:pPr>
        <w:spacing w:after="0" w:line="189" w:lineRule="exact"/>
        <w:rPr>
          <w:sz w:val="20"/>
          <w:szCs w:val="20"/>
          <w:color w:val="auto"/>
        </w:rPr>
      </w:pPr>
    </w:p>
    <w:p>
      <w:pPr>
        <w:jc w:val="both"/>
        <w:ind w:firstLine="757"/>
        <w:spacing w:after="0" w:line="246"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under the Exchange Act) that are requirements for the application of such exemptive rule. The Plan and Awards granted or awarded hereunder shall be deemed amended to the extent necessary to conform to such applicable exemptive rule.</w:t>
      </w:r>
    </w:p>
    <w:p>
      <w:pPr>
        <w:spacing w:after="0" w:line="184" w:lineRule="exact"/>
        <w:rPr>
          <w:rFonts w:ascii="Times New Roman" w:cs="Times New Roman" w:eastAsia="Times New Roman" w:hAnsi="Times New Roman"/>
          <w:sz w:val="20"/>
          <w:szCs w:val="20"/>
          <w:color w:val="auto"/>
        </w:rPr>
      </w:pPr>
    </w:p>
    <w:p>
      <w:pPr>
        <w:jc w:val="both"/>
        <w:ind w:firstLine="757"/>
        <w:spacing w:after="0"/>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Government and Other Regulations</w:t>
      </w:r>
      <w:r>
        <w:rPr>
          <w:rFonts w:ascii="Times New Roman" w:cs="Times New Roman" w:eastAsia="Times New Roman" w:hAnsi="Times New Roman"/>
          <w:sz w:val="20"/>
          <w:szCs w:val="20"/>
          <w:color w:val="auto"/>
        </w:rPr>
        <w:t>. The obligation of the Company to make payment of Awards in Shares, Fractional Share Interests or otherwise shall be subject to all applicable securities and exchange control laws, rules, and regulations of Ireland and the U.S. and jurisdictions outside of Ireland and the U.S., and to such approvals by government agencies, including government agencies in jurisdictions outside of Ireland and the U.S., in each case as may be required or as the Company deems necessary or advisable. Without limiting the foregoing, the Company shall have no obligation to issue or deliver evidence of title for Shares or evidence of crediting of Fractional Share Interests subject to Awards granted hereunder prior to: (i) obtaining any approvals from governmental agencies that the Company determines are necessary or advisable, (ii) completion of any registration or other qualification with respect to the Shares under any applicable securities and exchange control law in Ireland or the U.S. or in a jurisdiction outside of Ireland or the U.S. or ruling of any governmental body that the Company determines to be necessary or advisable or at a time when any such registration or qualification is not current, has been suspended or otherwise has ceased to be effective, or (iii)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Participant make such reasonable covenants, agreements, and representations as the Committee, in its discretion, deems advisable to comply with applicable securities and exchange control laws, rules, and regulations of Ireland and the U.S. and jurisdictions outside of Ireland and the U.S.. The Committee shall have the right to require any Participant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spacing w:after="0" w:line="20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Representations or Covenants with Respect to Tax Qualification</w:t>
      </w:r>
      <w:r>
        <w:rPr>
          <w:rFonts w:ascii="Times New Roman" w:cs="Times New Roman" w:eastAsia="Times New Roman" w:hAnsi="Times New Roman"/>
          <w:sz w:val="20"/>
          <w:szCs w:val="20"/>
          <w:color w:val="auto"/>
        </w:rPr>
        <w:t>. Although the Company may endeavor to (1) qualify an Award for favorable tax treatment under the laws of Ireland, the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44" w:lineRule="auto"/>
        <w:rPr>
          <w:sz w:val="20"/>
          <w:szCs w:val="20"/>
          <w:color w:val="auto"/>
        </w:rPr>
      </w:pPr>
      <w:r>
        <w:rPr>
          <w:rFonts w:ascii="Times New Roman" w:cs="Times New Roman" w:eastAsia="Times New Roman" w:hAnsi="Times New Roman"/>
          <w:sz w:val="20"/>
          <w:szCs w:val="20"/>
          <w:color w:val="auto"/>
        </w:rPr>
        <w:t>U.S. or jurisdictions outside of the U.S. (e.g., Incentive Stock Options under Section 422 of the Code or tax-favored schemes in Ireland or the United Kingdom) or (2) avoid adverse tax treatment (e.g., under Section 409A of the Code), the Company makes no representation to that effect and expressly disavows any covenant to maintain favorable or avoid unfavorable tax treatment, anything to the contrary in the Plan, including Section 16, notwithstanding, and the Company will have no liability to a Participant or any other party if a payment under an Award that is intended to benefit from favorable tax treatment or avoid adverse tax treatment does not receive favorable tax treatment or is subject to adverse tax treatment or for any action taken by the Committee with respect to the Award. The Company shall be unconstrained in its corporate activities without regard to the potential negative tax impact on holders of Awards under the Plan.</w:t>
      </w:r>
    </w:p>
    <w:p>
      <w:pPr>
        <w:spacing w:after="0" w:line="182"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From time to time, the Committee will determine the forms and amounts of Awards for Participants. Such Awards may take the following forms in the Committee’s sole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no event shall the Exercise Price or purchase price of any Share and/or Fractional Share Interest to be acquired pursuant to an Award be less than the Nominal Value. For the avoidance of doubt, the Exercise Price or purchase price of any Fractional Share Interest acquired pursuant to an Award shall equal at least the Nominal Value of a whole Share.</w:t>
      </w:r>
    </w:p>
    <w:p>
      <w:pPr>
        <w:spacing w:after="0" w:line="185" w:lineRule="exact"/>
        <w:rPr>
          <w:sz w:val="20"/>
          <w:szCs w:val="20"/>
          <w:color w:val="auto"/>
        </w:rPr>
      </w:pPr>
    </w:p>
    <w:p>
      <w:pPr>
        <w:ind w:firstLine="757"/>
        <w:spacing w:after="0" w:line="269" w:lineRule="auto"/>
        <w:tabs>
          <w:tab w:leader="none" w:pos="101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Options</w:t>
      </w:r>
      <w:r>
        <w:rPr>
          <w:rFonts w:ascii="Times New Roman" w:cs="Times New Roman" w:eastAsia="Times New Roman" w:hAnsi="Times New Roman"/>
          <w:sz w:val="20"/>
          <w:szCs w:val="20"/>
          <w:color w:val="auto"/>
        </w:rPr>
        <w:t>. The Committee is authorized to grant Options to Eligible Individuals on the following terms and conditions and such additional terms and conditions as may be specified by the Committee:</w:t>
      </w:r>
    </w:p>
    <w:p>
      <w:pPr>
        <w:spacing w:after="0" w:line="155" w:lineRule="exact"/>
        <w:rPr>
          <w:rFonts w:ascii="Times New Roman" w:cs="Times New Roman" w:eastAsia="Times New Roman" w:hAnsi="Times New Roman"/>
          <w:sz w:val="20"/>
          <w:szCs w:val="20"/>
          <w:color w:val="auto"/>
        </w:rPr>
      </w:pPr>
    </w:p>
    <w:p>
      <w:pPr>
        <w:jc w:val="both"/>
        <w:ind w:firstLine="1505"/>
        <w:spacing w:after="0" w:line="261" w:lineRule="auto"/>
        <w:tabs>
          <w:tab w:leader="none" w:pos="2036"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Exercise Price</w:t>
      </w:r>
      <w:r>
        <w:rPr>
          <w:rFonts w:ascii="Times New Roman" w:cs="Times New Roman" w:eastAsia="Times New Roman" w:hAnsi="Times New Roman"/>
          <w:sz w:val="19"/>
          <w:szCs w:val="19"/>
          <w:color w:val="auto"/>
        </w:rPr>
        <w:t>. The Exercise Price per Share subject to an Option shall be determined by the Committee and 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forth in the Award Agreement but shall be no less than the higher of (A) 100% of the Fair Market Value per Share and (B) the Nominal Value of the Shares or such higher price as required by Irish law on the date of grant, and if the Option is intended to be an Incentive Stock Option, the Exercise Price shall comply with Section 7(a)(iv)(A);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if an Option is granted pursuant to a sub-plan adopted by the Committee to non-U.S. taxpayer employees outside of the U.S., the Committee may establish an exercise price that complies with the requirements of local tax law as long as such price is not less than Nominal Value of the Share or such higher price required by Irish law.</w:t>
      </w:r>
    </w:p>
    <w:p>
      <w:pPr>
        <w:spacing w:after="0" w:line="167" w:lineRule="exact"/>
        <w:rPr>
          <w:rFonts w:ascii="Times New Roman" w:cs="Times New Roman" w:eastAsia="Times New Roman" w:hAnsi="Times New Roman"/>
          <w:sz w:val="19"/>
          <w:szCs w:val="19"/>
          <w:color w:val="auto"/>
        </w:rPr>
      </w:pPr>
    </w:p>
    <w:p>
      <w:pPr>
        <w:jc w:val="both"/>
        <w:ind w:firstLine="1505"/>
        <w:spacing w:after="0" w:line="250"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and Conditions of Exercise</w:t>
      </w:r>
      <w:r>
        <w:rPr>
          <w:rFonts w:ascii="Times New Roman" w:cs="Times New Roman" w:eastAsia="Times New Roman" w:hAnsi="Times New Roman"/>
          <w:sz w:val="20"/>
          <w:szCs w:val="20"/>
          <w:color w:val="auto"/>
        </w:rPr>
        <w:t>. Subject to the minimum vesting conditions of Section 6(k), the Committee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determine the time or times at which an Option may be exercised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of any Option granted under the Plan shall not exceed ten years. The Committee shall also determine the performance or other conditions, if any, that must be satisfied before all or part of an Option may be exercised.</w:t>
      </w:r>
    </w:p>
    <w:p>
      <w:pPr>
        <w:spacing w:after="0" w:line="175"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of Exercise Price</w:t>
      </w:r>
      <w:r>
        <w:rPr>
          <w:rFonts w:ascii="Times New Roman" w:cs="Times New Roman" w:eastAsia="Times New Roman" w:hAnsi="Times New Roman"/>
          <w:sz w:val="20"/>
          <w:szCs w:val="20"/>
          <w:color w:val="auto"/>
        </w:rPr>
        <w:t>. The Committee shall determine the methods by which the Exercise Price of an Option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applicable withholding of Tax-Related Items (as further set forth in Section 15 hereof) may be paid and the form of payment, as shall be set forth in the Participant’s Award Agreement, including, without limitation (and as further modified by Section 6(n) hereof): (a) cash or check, (b) surrender of Shares or delivery of a properly executed form of attestation of ownership of Shares as the Committee may require (including withholding of Shares otherwise deliverable upon exercise or payment of the Award) which have a Fair Market Value on the date of surrender or attestation equal to the aggregate Exercise Price of the Shares as to which the Award shall be exercised, (c) promissory note bearing interest at no less than such rate as shall then preclude the imputation of interest under the Code), (d) other property acceptable to the Committee (including through the delivery of a notice that the Participant has placed a market sell order with a broker with respect to Shares then issuable upon exercise of the Option, and that the broker has been directed to pay a sufficient portion of the net proceeds of the sale of Shares to the Company in satisfaction of the Exercise Price and applicable withholding of Tax-Related Items;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payment of such proceeds is then made to the Company upon settlement of such sale), (e) by a “net exercise” arrangement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pursuant to which the number of Shares issuable upon exercise of the Option shall be reduced by the largest whole number of Shares having an aggregate Fair Market Value that does not exceed the aggregate Exercise Price (plus Tax-Related Items withholdings, if applicable) and any remaining balance of the aggregate Exercise Price (and/or applicable Tax-Related Items withholdings) not satisfied by such reduction in the number of whole Shares to be issued shall be paid by Participant in cash or other form of payment approved by the Committee. The Committee shall also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w:t>
      </w:r>
    </w:p>
    <w:p>
      <w:pPr>
        <w:spacing w:after="0" w:line="182" w:lineRule="exact"/>
        <w:rPr>
          <w:sz w:val="20"/>
          <w:szCs w:val="20"/>
          <w:color w:val="auto"/>
        </w:rPr>
      </w:pPr>
    </w:p>
    <w:p>
      <w:pPr>
        <w:jc w:val="both"/>
        <w:ind w:firstLine="1505"/>
        <w:spacing w:after="0" w:line="256" w:lineRule="auto"/>
        <w:tabs>
          <w:tab w:leader="none" w:pos="203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Incentive Stock Options</w:t>
      </w:r>
      <w:r>
        <w:rPr>
          <w:rFonts w:ascii="Times New Roman" w:cs="Times New Roman" w:eastAsia="Times New Roman" w:hAnsi="Times New Roman"/>
          <w:sz w:val="20"/>
          <w:szCs w:val="20"/>
          <w:color w:val="auto"/>
        </w:rPr>
        <w:t>. Incentive Stock Options shall be granted only to Employees of the Company or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Subsidiary and the terms of any ISOs granted pursuant to the Plan, in addition to the requirements of Section 7 hereof, must comply with the provisions of this Section 7(a)(iv).</w:t>
      </w:r>
    </w:p>
    <w:p>
      <w:pPr>
        <w:spacing w:after="0" w:line="172" w:lineRule="exact"/>
        <w:rPr>
          <w:rFonts w:ascii="Times New Roman" w:cs="Times New Roman" w:eastAsia="Times New Roman" w:hAnsi="Times New Roman"/>
          <w:sz w:val="20"/>
          <w:szCs w:val="20"/>
          <w:color w:val="auto"/>
        </w:rPr>
      </w:pPr>
    </w:p>
    <w:p>
      <w:pPr>
        <w:jc w:val="both"/>
        <w:ind w:firstLine="2254"/>
        <w:spacing w:after="0" w:line="246" w:lineRule="auto"/>
        <w:tabs>
          <w:tab w:leader="none" w:pos="254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An ISO shall be granted at an Exercise Price that is not less than 100% of Fair Market Value of a Share on the date of grant. An ISO may be granted to any Employee who, at the date of grant, owns shares possessing more than ten percent of the total combined voting power of all classes of shares of the Company only if such Option is granted at an Exercise Price that is not less than 110% of Fair Market Value of a Share on the date of grant and the Option is exercisable for no more than five years from the date of grant.</w:t>
      </w:r>
    </w:p>
    <w:p>
      <w:pPr>
        <w:spacing w:after="0" w:line="184" w:lineRule="exact"/>
        <w:rPr>
          <w:rFonts w:ascii="Times New Roman" w:cs="Times New Roman" w:eastAsia="Times New Roman" w:hAnsi="Times New Roman"/>
          <w:sz w:val="20"/>
          <w:szCs w:val="20"/>
          <w:color w:val="auto"/>
        </w:rPr>
      </w:pPr>
    </w:p>
    <w:p>
      <w:pPr>
        <w:ind w:firstLine="2254"/>
        <w:spacing w:after="0" w:line="269" w:lineRule="auto"/>
        <w:tabs>
          <w:tab w:leader="none" w:pos="254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w:t>
      </w:r>
      <w:r>
        <w:rPr>
          <w:rFonts w:ascii="Times New Roman" w:cs="Times New Roman" w:eastAsia="Times New Roman" w:hAnsi="Times New Roman"/>
          <w:sz w:val="20"/>
          <w:szCs w:val="20"/>
          <w:color w:val="auto"/>
        </w:rPr>
        <w:t>. Subject to Section 7(a)(iv)(A), an ISO shall expire and may not be exercised to any extent by anyone after the first to occur of the following events:</w:t>
      </w:r>
    </w:p>
    <w:p>
      <w:pPr>
        <w:spacing w:after="0" w:line="159"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 years from the date it is granted, unless an earlier time is set in the Award Agreement;</w:t>
      </w:r>
    </w:p>
    <w:p>
      <w:pPr>
        <w:spacing w:after="0" w:line="215" w:lineRule="exact"/>
        <w:rPr>
          <w:rFonts w:ascii="Times New Roman" w:cs="Times New Roman" w:eastAsia="Times New Roman" w:hAnsi="Times New Roman"/>
          <w:sz w:val="20"/>
          <w:szCs w:val="20"/>
          <w:color w:val="auto"/>
        </w:rPr>
      </w:pPr>
    </w:p>
    <w:p>
      <w:pPr>
        <w:ind w:left="3580" w:hanging="577"/>
        <w:spacing w:after="0"/>
        <w:tabs>
          <w:tab w:leader="none" w:pos="3580"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months after the Participant’s Termination of Service as an Employee; and</w:t>
      </w:r>
    </w:p>
    <w:p>
      <w:pPr>
        <w:spacing w:after="0" w:line="215" w:lineRule="exact"/>
        <w:rPr>
          <w:rFonts w:ascii="Times New Roman" w:cs="Times New Roman" w:eastAsia="Times New Roman" w:hAnsi="Times New Roman"/>
          <w:sz w:val="20"/>
          <w:szCs w:val="20"/>
          <w:color w:val="auto"/>
        </w:rPr>
      </w:pPr>
    </w:p>
    <w:p>
      <w:pPr>
        <w:jc w:val="both"/>
        <w:ind w:firstLine="3003"/>
        <w:spacing w:after="0" w:line="246" w:lineRule="auto"/>
        <w:tabs>
          <w:tab w:leader="none" w:pos="356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year after the date of the Participant’s Termination of Service on account of Permanent Disability or death. Upon the Participant’s Permanent Disability or death, any ISOs exercisable at the Participant’s Permanent Disability or death may be exercised by the Participant’s legal representative or representatives, by the person or persons entitled to do so pursuant to the Participant’s last will and testament, or, if the Participant fails to make testamentary disposition of such ISO or dies intestate, by the person or persons entitled to receive the ISO pursuant to the applicable laws of intestacy.</w:t>
      </w:r>
    </w:p>
    <w:p>
      <w:pPr>
        <w:spacing w:after="0" w:line="184" w:lineRule="exact"/>
        <w:rPr>
          <w:rFonts w:ascii="Times New Roman" w:cs="Times New Roman" w:eastAsia="Times New Roman" w:hAnsi="Times New Roman"/>
          <w:sz w:val="20"/>
          <w:szCs w:val="20"/>
          <w:color w:val="auto"/>
        </w:rPr>
      </w:pPr>
    </w:p>
    <w:p>
      <w:pPr>
        <w:jc w:val="both"/>
        <w:ind w:firstLine="2254"/>
        <w:spacing w:after="0" w:line="249" w:lineRule="auto"/>
        <w:tabs>
          <w:tab w:leader="none" w:pos="254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Dollar Limitation</w:t>
      </w:r>
      <w:r>
        <w:rPr>
          <w:rFonts w:ascii="Times New Roman" w:cs="Times New Roman" w:eastAsia="Times New Roman" w:hAnsi="Times New Roman"/>
          <w:sz w:val="20"/>
          <w:szCs w:val="20"/>
          <w:color w:val="auto"/>
        </w:rPr>
        <w:t>. The aggregate Fair Market Value (determined as of the time the Option is granted) of all Shares with respect to which ISOs are first exercisable by a Participant in any calendar year may not exceed (U.S.)$100,000 or such other limitation as imposed by Section 422(d) of the Code, or any successor provision. To the extent that ISOs are first exercisable by a Participant in excess of such limitation, the excess shall be considered a non-qualified share Option.</w:t>
      </w:r>
    </w:p>
    <w:p>
      <w:pPr>
        <w:spacing w:after="0" w:line="17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54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Disposition</w:t>
      </w:r>
      <w:r>
        <w:rPr>
          <w:rFonts w:ascii="Times New Roman" w:cs="Times New Roman" w:eastAsia="Times New Roman" w:hAnsi="Times New Roman"/>
          <w:sz w:val="20"/>
          <w:szCs w:val="20"/>
          <w:color w:val="auto"/>
        </w:rPr>
        <w:t>. The Participant shall give the Company prompt notice of any disposition of Shares acquired by exercise of an ISO within (i) two years from the date of grant of such ISO or (ii) one year after the issue or transfer of such Shares to the Participant.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2" w:name="page63"/>
    <w:bookmarkEnd w:id="62"/>
    <w:p>
      <w:pPr>
        <w:ind w:left="2560" w:hanging="306"/>
        <w:spacing w:after="0"/>
        <w:tabs>
          <w:tab w:leader="none" w:pos="256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Exercise</w:t>
      </w:r>
      <w:r>
        <w:rPr>
          <w:rFonts w:ascii="Times New Roman" w:cs="Times New Roman" w:eastAsia="Times New Roman" w:hAnsi="Times New Roman"/>
          <w:sz w:val="20"/>
          <w:szCs w:val="20"/>
          <w:color w:val="auto"/>
        </w:rPr>
        <w:t>. During a Participant’s lifetime, an ISO may be exercised only by the Participant.</w:t>
      </w:r>
    </w:p>
    <w:p>
      <w:pPr>
        <w:spacing w:after="0" w:line="215" w:lineRule="exact"/>
        <w:rPr>
          <w:rFonts w:ascii="Times New Roman" w:cs="Times New Roman" w:eastAsia="Times New Roman" w:hAnsi="Times New Roman"/>
          <w:sz w:val="20"/>
          <w:szCs w:val="20"/>
          <w:color w:val="auto"/>
        </w:rPr>
      </w:pPr>
    </w:p>
    <w:p>
      <w:pPr>
        <w:ind w:right="20" w:firstLine="2254"/>
        <w:spacing w:after="0" w:line="269" w:lineRule="auto"/>
        <w:tabs>
          <w:tab w:leader="none" w:pos="2546"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Meet Requirements</w:t>
      </w:r>
      <w:r>
        <w:rPr>
          <w:rFonts w:ascii="Times New Roman" w:cs="Times New Roman" w:eastAsia="Times New Roman" w:hAnsi="Times New Roman"/>
          <w:sz w:val="20"/>
          <w:szCs w:val="20"/>
          <w:color w:val="auto"/>
        </w:rPr>
        <w:t>. Any Option (or portion thereof) purported to be an ISO, which, for any reason, fails to meet the requirements of Section 422 of the Code shall be considered a non-qualified share Option.</w:t>
      </w:r>
    </w:p>
    <w:p>
      <w:pPr>
        <w:spacing w:after="0" w:line="15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Substitution of SARs</w:t>
      </w:r>
      <w:r>
        <w:rPr>
          <w:rFonts w:ascii="Times New Roman" w:cs="Times New Roman" w:eastAsia="Times New Roman" w:hAnsi="Times New Roman"/>
          <w:sz w:val="20"/>
          <w:szCs w:val="20"/>
          <w:color w:val="auto"/>
        </w:rPr>
        <w:t>. The Committee may provide in the Award Agreement evidencing the grant of an Option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Committee, in its sole discretion, shall have the right to substitute a SAR for such Option at any time prior to or upon exercise of such Option;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substitution complies with Section 13 of this Plan and that the SAR shall be exercisable with respect to the same number of Shares for which such substituted Option would have been exercisable.</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The Committee is authorized to make awards of Restricted Shares to any Eligible Individual selected by the Committee in such amounts and subject to such terms and conditions as determined by the Committee. Unless otherwise provided in the Award Agreement and Section 6(n) hereof, beginning on the date of grant of the Restricted Share Award and subject to execution of the Award Agreement, the Participant shall become a shareholder of the Company with respect to all Shares subject to the Restricted Share Awards and shall have all of the rights of a shareholder, including the right to vote such Shares and the right to receive distributions made with respect to such Shares.</w:t>
      </w:r>
    </w:p>
    <w:p>
      <w:pPr>
        <w:spacing w:after="0" w:line="180" w:lineRule="exact"/>
        <w:rPr>
          <w:rFonts w:ascii="Times New Roman" w:cs="Times New Roman" w:eastAsia="Times New Roman" w:hAnsi="Times New Roman"/>
          <w:sz w:val="20"/>
          <w:szCs w:val="20"/>
          <w:color w:val="auto"/>
        </w:rPr>
      </w:pPr>
    </w:p>
    <w:p>
      <w:pPr>
        <w:jc w:val="both"/>
        <w:ind w:firstLine="1505"/>
        <w:spacing w:after="0" w:line="261" w:lineRule="auto"/>
        <w:tabs>
          <w:tab w:leader="none" w:pos="2036"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Purchase Price</w:t>
      </w:r>
      <w:r>
        <w:rPr>
          <w:rFonts w:ascii="Times New Roman" w:cs="Times New Roman" w:eastAsia="Times New Roman" w:hAnsi="Times New Roman"/>
          <w:sz w:val="19"/>
          <w:szCs w:val="19"/>
          <w:color w:val="auto"/>
        </w:rPr>
        <w:t>. At the time of the grant of Restricted Shares, the Committee shall determine the price, if any,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paid by the Participant for each Share subject to the Restricted Shares Award. The price to be paid by the Participant for each Share subject to the Restricted Shares shall not be less than the Nominal Value of a Share (or such higher amount required by applicable Irish law). The purchase price of Shares acquired pursuant to Restricted Shares Award shall be paid by a non-Irish incorporated Subsidiary on behalf of the Participant designated by the Committee or by the Participant through one or more of the following methods (a) in cash or (b) in any other form of legal consideration that may be acceptable to the Committee in its sole discretion and in compliance with applicable Irish law.</w:t>
      </w:r>
    </w:p>
    <w:p>
      <w:pPr>
        <w:spacing w:after="0" w:line="167" w:lineRule="exact"/>
        <w:rPr>
          <w:rFonts w:ascii="Times New Roman" w:cs="Times New Roman" w:eastAsia="Times New Roman" w:hAnsi="Times New Roman"/>
          <w:sz w:val="19"/>
          <w:szCs w:val="19"/>
          <w:color w:val="auto"/>
        </w:rPr>
      </w:pPr>
    </w:p>
    <w:p>
      <w:pPr>
        <w:jc w:val="both"/>
        <w:ind w:firstLine="1505"/>
        <w:spacing w:after="0" w:line="246" w:lineRule="auto"/>
        <w:tabs>
          <w:tab w:leader="none" w:pos="20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Issuance, Vesting and Restrictions</w:t>
      </w:r>
      <w:r>
        <w:rPr>
          <w:rFonts w:ascii="Times New Roman" w:cs="Times New Roman" w:eastAsia="Times New Roman" w:hAnsi="Times New Roman"/>
          <w:sz w:val="20"/>
          <w:szCs w:val="20"/>
          <w:color w:val="auto"/>
        </w:rPr>
        <w:t>. Subject to the minimum vesting conditions of Section 6(k), the Committee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determine the vesting or other conditions, if any, and such other restrictions on transferability and other restrictions to which Restricted Shares may or may not be subject (including, without limitation, limitations on the right to vote Restricted Shares or the right to receive dividends on the Restricted Shares). To the extent Restricted Shares are subject to vesting, dividends shall be accumulated and subject to any restrictions and risk of forfeiture to which the underlying Restricted Shares are subject and the Participant shall not be entitled to the dividends until the vesting conditions of the Award have been met.</w:t>
      </w:r>
    </w:p>
    <w:p>
      <w:pPr>
        <w:spacing w:after="0" w:line="178"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Forfeiture</w:t>
      </w:r>
      <w:r>
        <w:rPr>
          <w:rFonts w:ascii="Times New Roman" w:cs="Times New Roman" w:eastAsia="Times New Roman" w:hAnsi="Times New Roman"/>
          <w:sz w:val="20"/>
          <w:szCs w:val="20"/>
          <w:color w:val="auto"/>
        </w:rPr>
        <w:t>. Except as otherwise determined by the Committee at the time of the grant of the Award or thereafter,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upon Termination of Service during the applicable restriction period, Restricted Shares that are at that time subject to restrictions shall be forfeited;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Committee may, subject to the minimum vesting conditions of Section 6(k), (a) provide in any Award Agreement that restrictions or forfeiture conditions relating to Restricted Shares will be waived in whole or in part in the event of Terminations of Service resulting from specified causes, and (b) in other cases waive in whole or in part restrictions or forfeiture conditions relating to Restricted Shares.</w:t>
      </w:r>
    </w:p>
    <w:p>
      <w:pPr>
        <w:spacing w:after="0" w:line="178"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Restrictive Legend</w:t>
      </w:r>
      <w:r>
        <w:rPr>
          <w:rFonts w:ascii="Times New Roman" w:cs="Times New Roman" w:eastAsia="Times New Roman" w:hAnsi="Times New Roman"/>
          <w:sz w:val="20"/>
          <w:szCs w:val="20"/>
          <w:color w:val="auto"/>
        </w:rPr>
        <w:t>. Restricted Shares granted pursuant to the Plan may be evidenced in such manner 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shall determine. If certificates representing shares of Restricted Shares are issued in the name of the Participant, certificates must bear an appropriate legend referring to</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ind w:right="20"/>
        <w:spacing w:after="0" w:line="269" w:lineRule="auto"/>
        <w:rPr>
          <w:sz w:val="20"/>
          <w:szCs w:val="20"/>
          <w:color w:val="auto"/>
        </w:rPr>
      </w:pPr>
      <w:r>
        <w:rPr>
          <w:rFonts w:ascii="Times New Roman" w:cs="Times New Roman" w:eastAsia="Times New Roman" w:hAnsi="Times New Roman"/>
          <w:sz w:val="20"/>
          <w:szCs w:val="20"/>
          <w:color w:val="auto"/>
        </w:rPr>
        <w:t>the terms, conditions, and restrictions applicable to such Restricted Shares, and the Company may, at its discretion, retain physical possession of the certificate until such time as all applicable restrictions lapse.</w:t>
      </w:r>
    </w:p>
    <w:p>
      <w:pPr>
        <w:spacing w:after="0" w:line="159" w:lineRule="exact"/>
        <w:rPr>
          <w:sz w:val="20"/>
          <w:szCs w:val="20"/>
          <w:color w:val="auto"/>
        </w:rPr>
      </w:pPr>
    </w:p>
    <w:p>
      <w:pPr>
        <w:ind w:firstLine="757"/>
        <w:spacing w:after="0" w:line="269"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Appreciation Rights</w:t>
      </w:r>
      <w:r>
        <w:rPr>
          <w:rFonts w:ascii="Times New Roman" w:cs="Times New Roman" w:eastAsia="Times New Roman" w:hAnsi="Times New Roman"/>
          <w:sz w:val="20"/>
          <w:szCs w:val="20"/>
          <w:color w:val="auto"/>
        </w:rPr>
        <w:t>. The Committee is authorized to grant Share Appreciation Rights, or SARs, to Eligible Individuals on the following terms and conditions and such additional terms and conditions as may be specified by the Committee:</w:t>
      </w:r>
    </w:p>
    <w:p>
      <w:pPr>
        <w:spacing w:after="0" w:line="155"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Exercise Price</w:t>
      </w:r>
      <w:r>
        <w:rPr>
          <w:rFonts w:ascii="Times New Roman" w:cs="Times New Roman" w:eastAsia="Times New Roman" w:hAnsi="Times New Roman"/>
          <w:sz w:val="20"/>
          <w:szCs w:val="20"/>
          <w:color w:val="auto"/>
        </w:rPr>
        <w:t>. The Exercise Price per Share subject to a SAR shall be determined by the Committee and set forth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Award Agreement but shall be no less than the higher of (A) 100% of the Fair Market Value per Share and (B) the Nominal Value of the Shares or such higher price as required by Irish law on the date of grant.</w:t>
      </w:r>
    </w:p>
    <w:p>
      <w:pPr>
        <w:spacing w:after="0" w:line="168"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Time and Conditions of Exercise</w:t>
      </w:r>
      <w:r>
        <w:rPr>
          <w:rFonts w:ascii="Times New Roman" w:cs="Times New Roman" w:eastAsia="Times New Roman" w:hAnsi="Times New Roman"/>
          <w:sz w:val="20"/>
          <w:szCs w:val="20"/>
          <w:color w:val="auto"/>
        </w:rPr>
        <w:t>. Subject to the minimum vesting conditions of Section 6(k), the Committee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determine the time or times at which a SAR may be exercised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of any SAR granted under the Plan shall not exceed ten years. The Committee shall also determine the performance or other conditions, if any, that must be satisfied before all or part of a SAR may be exercised.</w:t>
      </w:r>
    </w:p>
    <w:p>
      <w:pPr>
        <w:spacing w:after="0" w:line="17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and Limitations on Exercise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2254"/>
        <w:spacing w:after="0" w:line="246" w:lineRule="auto"/>
        <w:tabs>
          <w:tab w:leader="none" w:pos="2546"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SAR shall entitle the Participant (or other person entitled to exercise the SAR pursuant to the Plan) to exercise all or a specified portion of the SAR (to the extent then exercisable pursuant to its terms) and to receive from the Company an amount equal to the product of (i) the excess of (A) the Fair Market Value of the Shares on the date the SAR is exercised over (B) the Exercise Price of the SAR and (ii) the number of Shares with respect to which the SAR is exercised, less applicable withholding of Tax-Related Items (as further set forth in Section 15), subject to any limitations the Committee may impose.</w:t>
      </w:r>
    </w:p>
    <w:p>
      <w:pPr>
        <w:spacing w:after="0" w:line="184" w:lineRule="exact"/>
        <w:rPr>
          <w:rFonts w:ascii="Times New Roman" w:cs="Times New Roman" w:eastAsia="Times New Roman" w:hAnsi="Times New Roman"/>
          <w:sz w:val="20"/>
          <w:szCs w:val="20"/>
          <w:color w:val="auto"/>
        </w:rPr>
      </w:pPr>
    </w:p>
    <w:p>
      <w:pPr>
        <w:jc w:val="both"/>
        <w:ind w:right="20" w:firstLine="2254"/>
        <w:spacing w:after="0" w:line="254" w:lineRule="auto"/>
        <w:tabs>
          <w:tab w:leader="none" w:pos="2546"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amounts determined under Section 7(c)(iii) hereof shall be in cash, in Shares (based on the Fair Market Value of the Shares as of the date the SAR is exercised) or a combination of both, as determined by the Committee and set forth in the Award Agreement.</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Share Units</w:t>
      </w:r>
      <w:r>
        <w:rPr>
          <w:rFonts w:ascii="Times New Roman" w:cs="Times New Roman" w:eastAsia="Times New Roman" w:hAnsi="Times New Roman"/>
          <w:sz w:val="20"/>
          <w:szCs w:val="20"/>
          <w:color w:val="auto"/>
        </w:rPr>
        <w:t>. The Committee is authorized to award Restricted Share Units to any Eligible Individual selected by the Committee in such amounts and subject to such terms and conditions as determined by the Committee.</w:t>
      </w:r>
    </w:p>
    <w:p>
      <w:pPr>
        <w:spacing w:after="0" w:line="155"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 Conditions</w:t>
      </w:r>
      <w:r>
        <w:rPr>
          <w:rFonts w:ascii="Times New Roman" w:cs="Times New Roman" w:eastAsia="Times New Roman" w:hAnsi="Times New Roman"/>
          <w:sz w:val="20"/>
          <w:szCs w:val="20"/>
          <w:color w:val="auto"/>
        </w:rPr>
        <w:t>. A Participant receiving a Restricted Share Unit Award shall not possess the rights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shareholder of the Company with respect to such grant until the Restricted Share Units are settled and the Shares subject to the Restricted Share Units have been issued to the Participant. Subject to the minimum vesting conditions of Section 6(k), the Committee shall specify the date or dates on which the Restricted Share Units shall become fully vested and nonforfeitable, and may specify such conditions to vesting as it deems appropriate. The vesting conditions may be based on the passage of time and/or the attainment of Performance Goals.</w:t>
      </w:r>
    </w:p>
    <w:p>
      <w:pPr>
        <w:spacing w:after="0" w:line="180"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Purchase Price</w:t>
      </w:r>
      <w:r>
        <w:rPr>
          <w:rFonts w:ascii="Times New Roman" w:cs="Times New Roman" w:eastAsia="Times New Roman" w:hAnsi="Times New Roman"/>
          <w:sz w:val="20"/>
          <w:szCs w:val="20"/>
          <w:color w:val="auto"/>
        </w:rPr>
        <w:t>. At the time of the grant of Restricted Shares Units, the Committee shall determine the price, if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be paid by the Participant for each Share subject to the Restricted Shares Units. The price to be paid by the Participant for each Share subject to the Restricted Shares Units Awards shall not be less than the Nominal Value of a Share (or such higher amount required by applicable Irish law). The purchase price of Shares acquired pursuant to the Restricted Share Unit Award shall be paid by a non-Irish incorporated Subsidiary on behalf of the Participant as designated by the Committee or by the Participant through one or more of the following methods (a) in cash or (b) in any other form of legal</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consideration that may be acceptable to the Committee in its sole discretion and in compliance with applicable Irish law.</w:t>
      </w:r>
    </w:p>
    <w:p>
      <w:pPr>
        <w:spacing w:after="0" w:line="212" w:lineRule="exact"/>
        <w:rPr>
          <w:sz w:val="20"/>
          <w:szCs w:val="20"/>
          <w:color w:val="auto"/>
        </w:rPr>
      </w:pPr>
    </w:p>
    <w:p>
      <w:pPr>
        <w:jc w:val="both"/>
        <w:ind w:firstLine="1505"/>
        <w:spacing w:after="0" w:line="243" w:lineRule="auto"/>
        <w:tabs>
          <w:tab w:leader="none" w:pos="203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Form and Time of Settlement</w:t>
      </w:r>
      <w:r>
        <w:rPr>
          <w:rFonts w:ascii="Times New Roman" w:cs="Times New Roman" w:eastAsia="Times New Roman" w:hAnsi="Times New Roman"/>
          <w:sz w:val="20"/>
          <w:szCs w:val="20"/>
          <w:color w:val="auto"/>
        </w:rPr>
        <w:t>. The Committee shall specify the settlement date applicable to each grant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Restricted Share Units which shall be no earlier than the vesting date, or it may be deferred to any later date, subject to compliance with Section 409A of the Code in the case of Restricted Share Units granted to a U.S. Taxpayer, as applicable. On the settlement date, subject to satisfaction of applicable Tax-Related Items withholding (as further set forth in Section 15), the Company shall issue or transfer to the Participant one Share for each Restricted Share Unit scheduled to be paid out on such date and not previously forfeited. Alternatively, settlement of a Restricted Share Unit may be made in cash (in an amount reflecting the Fair Market Value of Shares that would have been issued) or any combination of cash and Shares, as determined by the Committee, in its sole discretion, in either case less applicable withholding of Tax-Related Items (as further set forth in Section 15). Until a Restricted Share Unit is settled, the number of Restricted Share Units shall be subject to adjustment pursuant to Section 11.</w:t>
      </w:r>
    </w:p>
    <w:p>
      <w:pPr>
        <w:spacing w:after="0" w:line="185"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Creditors</w:t>
      </w:r>
      <w:r>
        <w:rPr>
          <w:rFonts w:ascii="Times New Roman" w:cs="Times New Roman" w:eastAsia="Times New Roman" w:hAnsi="Times New Roman"/>
          <w:sz w:val="20"/>
          <w:szCs w:val="20"/>
          <w:color w:val="auto"/>
        </w:rPr>
        <w:t>. A Participant who has been granted Restricted Share Units shall have no rights other than those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 general unsecured creditor of the Company. Restricted Share Units represent an unfunded and unsecured obligation of the Company, subject to the terms and conditions of the applicable Award Agreement evidencing the grant of the Restricted Share Units.</w:t>
      </w:r>
    </w:p>
    <w:p>
      <w:pPr>
        <w:spacing w:after="0" w:line="172"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Share-Based Awards</w:t>
      </w:r>
      <w:r>
        <w:rPr>
          <w:rFonts w:ascii="Times New Roman" w:cs="Times New Roman" w:eastAsia="Times New Roman" w:hAnsi="Times New Roman"/>
          <w:sz w:val="19"/>
          <w:szCs w:val="19"/>
          <w:color w:val="auto"/>
        </w:rPr>
        <w:t>. The Committee may make other Awards under the Plan pursuant to which Ordinary Shares or other equity securities of the Company are or may in the future be acquired, or Awards denominated in Share units, including units valued using measures other than Fair Market Value. Share-Based Awards may be granted with or without consideration from the Participant, provided that the Award may not be granted with a purchase price less than the Nominal Value per Share subject to the Share-Based Award. Subject to the minimum vesting conditions of Section 6(k), Share-Based Awards may be subject to vesting conditions or may be granted free of vesting conditions, transfer restrictions and forfeiture conditions. Should Ordinary Shares be issued on the vesting of a Share-Based Award in circumstances where they are not otherwise fully paid up, the Committee may require the Participant to pay the aggregate Nominal Value of such Ordinary Shares on the basis that such Ordinary Shares shall then be allotted as fully paid to the Participant.</w:t>
      </w:r>
    </w:p>
    <w:p>
      <w:pPr>
        <w:spacing w:after="0" w:line="173" w:lineRule="exact"/>
        <w:rPr>
          <w:rFonts w:ascii="Times New Roman" w:cs="Times New Roman" w:eastAsia="Times New Roman" w:hAnsi="Times New Roman"/>
          <w:sz w:val="19"/>
          <w:szCs w:val="19"/>
          <w:color w:val="auto"/>
        </w:rPr>
      </w:pPr>
    </w:p>
    <w:p>
      <w:pPr>
        <w:jc w:val="both"/>
        <w:ind w:firstLine="757"/>
        <w:spacing w:after="0" w:line="241" w:lineRule="auto"/>
        <w:tabs>
          <w:tab w:leader="none" w:pos="101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Entitlement to Dividend Equivalent Rights</w:t>
      </w:r>
      <w:r>
        <w:rPr>
          <w:rFonts w:ascii="Times New Roman" w:cs="Times New Roman" w:eastAsia="Times New Roman" w:hAnsi="Times New Roman"/>
          <w:sz w:val="20"/>
          <w:szCs w:val="20"/>
          <w:color w:val="auto"/>
        </w:rPr>
        <w:t>. Subject to complying with Section 409A of the Code and the provisions of the Plan, including, without limitation Section 11, and any Award Agreement, the recipient of a Full-Value Award may, if so determined by the Committee, be entitled to receive, a Dividend Equivalent Right, cash, Shares, Fractional Share Interests or other property with respect to the number of Shares and/or Fractional Share Interests covered by the Award, as determined by the Committee, in its sole discretion. The right of U.S. Taxpayers to receive Dividend Equivalent Rights or other dividends or payments shall be treated as a separate Award and such Dividend Equivalent Rights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To the extent the Full-Value Award (other than Restricted Shares) is subject to vesting (based on the passage of time and/or the attainment of Performance Goals), any Dividend Equivalent Right shall be accumulated subject to restrictions and subject to a risk of forfeiture to the same extent as the underlying Full-Value Award (the Dividend Equivalent Right shall not become payable prior to the time that the underlying Full-Value Award vests). The Committee may provide that Dividend Equivalent Rights shall be deemed to have been reinvested in additional Shares and/or Fractional Share Interests or Full-Value Awards. For the avoidance of uncertainty, no dividends or Dividend Equivalent rights shall be granted or otherwise become payable with respect to Options or Share Appreciation Rights.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ind w:left="760" w:hanging="752"/>
        <w:spacing w:after="0"/>
        <w:tabs>
          <w:tab w:leader="none" w:pos="7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GRANTS TO NON-EMPLOYEE DIRECTORS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xml:space="preserve">. From time to time, the Committee will determine the forms and amounts of Awards for Non-Employee Directors. Such Awards may take the following forms: Options, SARs, Restricted Shares, Restricted Share Units, or any other right or benefit, including any other Share-Based Award pursuant to the Plan in the Committee’s sole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no event shall the Exercise Price or purchase price of any Award be less than the Nominal Value of the Shares. Awards subject to this Section 8 shall be granted only to Non-Employee Directors. In no event, however, may any Non-Employee Director be granted any Awards under this Section 8 if such Award is (a) prohibited, or (b) restricted (either absolutely or subject to various securities requirements, whether legal or administrative, being complied with), in the jurisdiction in which such Non-Employee Director is resident under the relevant securities laws of that jurisdiction.</w:t>
      </w:r>
    </w:p>
    <w:p>
      <w:pPr>
        <w:spacing w:after="0" w:line="18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Exercisability</w:t>
      </w:r>
      <w:r>
        <w:rPr>
          <w:rFonts w:ascii="Times New Roman" w:cs="Times New Roman" w:eastAsia="Times New Roman" w:hAnsi="Times New Roman"/>
          <w:sz w:val="20"/>
          <w:szCs w:val="20"/>
          <w:color w:val="auto"/>
        </w:rPr>
        <w:t>. Subject to the minimum vesting conditions of Section 6(k), each Award will vest and/or become exercisable according to the terms set forth by the Committee in the applicable Award Agreement.</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FORFEITURE OR CLAWBACK OF AWARDS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3"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an Award Agreement may provide that the Award shall be forfeited or canceled if the Participant, without the consent of the Company, while employed by any member of the WTW Group or, if applicable, a Designated Associate Company or after Termination of Service, establishes a relationship with a competitor of any member of the WTW Group or, if applicable, a Designated Associate Company or engages in activity that is in conflict with or adverse to the interest of any member of the WTW Group or, if applicable, a Designated Associate Company (including conduct contributing to financial restatements, material noncompliance in the financial reports requirements or irregularities), as determined by the Committee in its sole discretion. The Committee may provide in an Award Agreement that if within the time period specified in the Award Agreement the Participant establishes a relationship with a competitor or engages in an activity referred to in the preceding sentence, the Participant will forfeit any gain realized on the vesting or exercise of the Award and must repay such gain to the Company.</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9(a), any Award Agreement evidencing Awards to an Eligible Individual shall provide for repayment on forfeiture as the Committee deems necessary or desirable in order to facilitate compliance with the requirement of the U.S. Securities and Exchange Commission or any applicable securities law, including the requirements of the U.S. Dodd-Frank Wall Street Reform and Consumer Protection Act, or any securities exchange on which the Shares are listed or traded, as may be in effect from time to time, or any other similar policy adopted by the Board or the Committee. Further, to the extent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8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TRANSFERS AND LEAVES OF ABSENCE</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For purposes of the Plan, unless the Committee determines otherwise: (a) a transfer of a Participant’s employment without an intervening period of separation among a member of the WTW Group and any Subsidiary or any Designated Associate Company shall not be deemed a Termination of Service, subject to Section 409A of the Code in the case of an Award subject to Section 409A of the Code that is granted to a U.S. Taxpayer and (b) unless provided otherwise in an Award Agreement, a Participant who is granted in writing a leave of absence shall be deemed to have remained in the employ of any member 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6" w:name="page67"/>
    <w:bookmarkEnd w:id="66"/>
    <w:p>
      <w:pPr>
        <w:jc w:val="both"/>
        <w:spacing w:after="0" w:line="243" w:lineRule="auto"/>
        <w:rPr>
          <w:sz w:val="20"/>
          <w:szCs w:val="20"/>
          <w:color w:val="auto"/>
        </w:rPr>
      </w:pPr>
      <w:r>
        <w:rPr>
          <w:rFonts w:ascii="Times New Roman" w:cs="Times New Roman" w:eastAsia="Times New Roman" w:hAnsi="Times New Roman"/>
          <w:sz w:val="20"/>
          <w:szCs w:val="20"/>
          <w:color w:val="auto"/>
        </w:rPr>
        <w:t>the WTW Group or Designated Associate Company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or reduction of vesting of the Award while on leave from the employ of the WTW Group or a Designated Associate Company as it may deem appropriate, except that in no event may an Option be exercised after the expiration of the term set forth in the applicable Award Agreement. For purposes of Incentive Stock Options, no leave of absence may exceed three (3) months, unless reemployment upon expiration of such leave is guaranteed by statute or has been agreed to by contract or in a written policy of the Company which provides for a right of reemployment following the leave of absence.</w:t>
      </w:r>
    </w:p>
    <w:p>
      <w:pPr>
        <w:spacing w:after="0" w:line="182"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In the event of any increase, decrease or change in the number or characteristic of outstanding Ordinary Shares of the Company effected without receipt of consideration by the Company or by reason of a share split, spin-off, share or extraordinary cash dividend, share combination or reclassification, recapitalization or merger, Change of Control, or similar event, the Committee shall substitute or adjust proportionately, as the Committee in its sole discretion deems equitable, (a) the aggregate number and kind of shares that may be issued under the Plan (including, but not limited to, adjustments of the limitations in Section 5); (b) the number and kind of shares (or other securities or property) subject to outstanding Awards; (c) the terms and conditions of any outstanding Awards (including, without limitation, any applicable performance targets or criteria with respect thereto); and (d) the Exercise Price or purchase price per Share and/or Fractional Share Interest for any outstanding Awards under the Plan. Any adjustment affecting an Award that is subject to Section 409A of the Code shall be made consistent with the requirements of Section 409A. An adjustment under this provision may have the effect of reducing the price at which Ordinary Shares and/or Fractional Share Interests may be acquired to less than their Nominal Value (the “Shortfall”), but only if and to the extent that the Committee shall be authorized to capitalize from the reserves of the Company a sum equal to the Shortfall and to apply that sum in paying up that amount on the Ordinary Shares and/or Fractional Share Interests.</w:t>
      </w:r>
    </w:p>
    <w:p>
      <w:pPr>
        <w:spacing w:after="0" w:line="183" w:lineRule="exact"/>
        <w:rPr>
          <w:sz w:val="20"/>
          <w:szCs w:val="20"/>
          <w:color w:val="auto"/>
        </w:rPr>
      </w:pPr>
    </w:p>
    <w:p>
      <w:pPr>
        <w:ind w:left="760" w:hanging="752"/>
        <w:spacing w:after="0"/>
        <w:tabs>
          <w:tab w:leader="none" w:pos="7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OF CONTROL OR SIMILAR EVENT</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9" w:lineRule="auto"/>
        <w:tabs>
          <w:tab w:leader="none" w:pos="1018"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an Award Agreement, in the event of a Change of Control in which the successor company or an affiliate assumes, substitutes or otherwise replaces an Award (as further described in Section 12(a)(iii) below), if a Participant’s employment with such successor company (or an affiliate thereof) terminates on an involuntary basis within 24 months following such Change of Control, the following treatment shall apply:</w:t>
      </w:r>
    </w:p>
    <w:p>
      <w:pPr>
        <w:spacing w:after="0" w:line="179"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conditioned solely on the continued service with the Company, a Subsidiary or a Designated Associate Company: (A) Share Options or SARs outstanding as of the date of such Termination of Services will immediately vest, become fully exercisable, (B) restrictions and deferral limitations on Restricted Share Awards and Restricted Share Units Awards shall lapse and the Restricted Shares and Restricted Share Units shall become free of all restrictions and limitations and become fully vested, subject to compliance with Section 409A of the Code, and (C) the restrictions and other conditions applicable to any other Share-Based Awards or any other Awards shall lapse, and such other Share-Based Awards or such other Awards shall become free of all restrictions, limitations or conditions and become fully vested and transferable;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both"/>
        <w:ind w:firstLine="1505"/>
        <w:spacing w:after="0" w:line="254" w:lineRule="auto"/>
        <w:tabs>
          <w:tab w:leader="none" w:pos="203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based, in whole or in part, on the attainment of Performance Goals, the restrictions shall lapse and the Award shall become free of all restrictions and limitations and shall vest with respect the target number of Shares subject to the Award; and</w:t>
      </w:r>
    </w:p>
    <w:p>
      <w:pPr>
        <w:spacing w:after="0" w:line="174"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this Section 12, an Award shall be considered assumed, substituted for, or replaced if following the Change of Control the Award: (A) confers the right to purchase or receive, for each Share subject to the Award immediately prior to the Change of Control, the consideration (whether shares, cash or property) received in the transaction constituting a Change of Control by holders of Shares for each Share held on the effective date of such transaction (and if holders were offered a choice of consideration, the type of consideration chosen by the holders of a majority of the outstanding shares);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such consideration received in the transaction constituting a Change of Control is not solely ordinary shares or common stock of the successor company, the Committee may, with the consent of the successor company, provide that the consideration to be received upon the exercise or vesting of an Award for each Share and/or Fractional Share Interest subject thereto, will be solely ordinary shares or common stock of the successor company substantially equal in Fair Market Value to the per Share consideration received by holders of Shares in the transaction constituting a Change of Control; </w:t>
      </w:r>
      <w:r>
        <w:rPr>
          <w:rFonts w:ascii="Times New Roman" w:cs="Times New Roman" w:eastAsia="Times New Roman" w:hAnsi="Times New Roman"/>
          <w:sz w:val="20"/>
          <w:szCs w:val="20"/>
          <w:i w:val="1"/>
          <w:iCs w:val="1"/>
          <w:color w:val="auto"/>
        </w:rPr>
        <w:t>provided further, however</w:t>
      </w:r>
      <w:r>
        <w:rPr>
          <w:rFonts w:ascii="Times New Roman" w:cs="Times New Roman" w:eastAsia="Times New Roman" w:hAnsi="Times New Roman"/>
          <w:sz w:val="20"/>
          <w:szCs w:val="20"/>
          <w:color w:val="auto"/>
        </w:rPr>
        <w:t>, that the assumed, substituted or replaced Award may provide for the right to receive, for each Fractional Share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Interest subject to the Award, a payment in cash based on the Fair Market Value of the Shares underlying the Fractional Share Interest without regard to the form of consideration received in the transaction constituting a Change of Control by holders of Shares; and (B) provides for terms and conditions, including vesting conditions, similar to those that applied to the Award immediately prior to the Change of Control. For the avoidance of doubt, clause (B) in the foregoing sentence means that Awards that are assumed, substituted or replaced shall continue to vest on similar terms and conditions as applied to the Awards immediately prior to the Change of Control if a Participant’s employment with such successor company (or an affiliate thereof) continues without interruption following the Change of Control. The determination of such substantial equality of value of consideration and similarity of terms and conditions shall be made by the Committee in its sole discretion and its determination shall be conclusive and binding.</w:t>
      </w:r>
    </w:p>
    <w:p>
      <w:pPr>
        <w:spacing w:after="0" w:line="190"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an Award Agreement, in the event of a Change of Control in which the successor company or an affiliate does not assume, substitute or otherwise replace an Award the following treatment shall apply:</w:t>
      </w:r>
    </w:p>
    <w:p>
      <w:pPr>
        <w:spacing w:after="0" w:line="15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conditioned solely on the continued service with the Company, a Subsidiary or a Designated Associate Company: (A) those Share Options or SARs outstanding as of the date of the Change of Control shall immediately vest and become fully exercisable immediately prior to the Change of Control, (B) restrictions on Restricted Shares and Restricted Shares Units shall lapse and the Restricted Shares and Restricted Shares Units shall become free of all restrictions and limitations and become fully vested immediately prior to the Change of Control, subject to compliance with Section 409A of the Code, and (C) the restrictions and other conditions applicable to any other Share-Based Awards or any other Awards shall lapse, and such other Share-Based Awards or such other Awards, shall become free of all restrictions, limitations or conditions and become fully vested and transferable, subject to compliance with Section 409A of the Code; and</w:t>
      </w:r>
    </w:p>
    <w:p>
      <w:pPr>
        <w:spacing w:after="0" w:line="18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Awards, the vesting of which is based, in whole or in part, on the attainment of Performance Goals, the restrictions shall lapse and the Award shall become free of all restrictions and limitations and, immediately prior to the Change of Control, shall vest with respect the target number of Shares and/or Fractional Share Interests subject to the Award.</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its absolute discretion, and on such terms and conditions as it deems appropriate coincident with or after the grant of an Award, the Committee may provide that, upon the occurrence of a</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44" w:lineRule="auto"/>
        <w:rPr>
          <w:sz w:val="20"/>
          <w:szCs w:val="20"/>
          <w:color w:val="auto"/>
        </w:rPr>
      </w:pPr>
      <w:r>
        <w:rPr>
          <w:rFonts w:ascii="Times New Roman" w:cs="Times New Roman" w:eastAsia="Times New Roman" w:hAnsi="Times New Roman"/>
          <w:sz w:val="20"/>
          <w:szCs w:val="20"/>
          <w:color w:val="auto"/>
        </w:rPr>
        <w:t>Change of Control, each vested Option or SAR outstanding shall terminate within a specified number of days after notice to the Participant, and/or that each Participant shall receive, with respect to each Share and/or Fractional Share Interest subject to such vested Option or SAR an amount equal to the excess of the Fair Market Value of such Share and/or Fractional Share Interest immediately prior to the occurrence of such Change of Control over the Exercise Price per Share and/or Fractional Share Interest of such Option or SAR; such amount to be payable in cash, in one or more kinds of shares or property (including the shares or property, if any, payable in the transaction) or in a combination thereof, as the Committee, in its discretion, shall determine, subject to any notice period set forth in any sub-plan to the Plan to comply with local law.</w:t>
      </w:r>
    </w:p>
    <w:p>
      <w:pPr>
        <w:spacing w:after="0" w:line="182" w:lineRule="exact"/>
        <w:rPr>
          <w:sz w:val="20"/>
          <w:szCs w:val="20"/>
          <w:color w:val="auto"/>
        </w:rPr>
      </w:pPr>
    </w:p>
    <w:p>
      <w:pPr>
        <w:ind w:left="760" w:hanging="752"/>
        <w:spacing w:after="0"/>
        <w:tabs>
          <w:tab w:leader="none" w:pos="7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 AND TERMINATION</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The Committee shall have the authority to amend or modify the terms and conditions of, or suspend or cancel, any outstanding Award consistent with the Plan. The Board or Committee may amend, suspend or terminate the Plan at any time,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Committee shall not, without the approval of the shareholders of the Company, amend the Plan in any manner that requires such shareholder approval under the Nasdaq Stock Market or other securities exchange listing requirements then applicable to the Company including, except in connection with an adjustment or Change of Control as set forth in Sections 11 and 12, amending an Option or SAR to reduce the Exercise Price to below the Fair Market Value of the Shares on the original date of grant or canceling, substituting, exchanging, replacing, buying out or surrendering Options or SARs at a time when the Fair Market Value of the Shares is less than the exercise Price of such Option or SARs in exchange for cash, or the grant of other Awards or for Options or SARs with an Exercise Price below the Fair Market Value of the Shares on the original date of grant. Notwithstanding anything to the contrary, the Committee shall not take any action to cause any Outstanding Qualified Performance-Based Award to lose its “grandfathered” status or to otherwise lose its qualified status under Section 162(m) of the Code.</w:t>
      </w:r>
    </w:p>
    <w:p>
      <w:pPr>
        <w:spacing w:after="0" w:line="186" w:lineRule="exact"/>
        <w:rPr>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FOREIGN AWARDS AND RIGHTS</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 provision of the Plan to the contrary, in order to comply with the laws in countries in which the WTW Group and its Designated Associate Companies operate or have Eligible Individuals, the Committee, in its sole discretion, shall have the power and authority to (i) modify the terms and conditions of any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Designated Associate Companies or Participants residing in particular locations;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such sub-plans and/or modifications shall increase the share limitations contained in Section 5 hereof or otherwise require shareholder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the Plan or on Termination of Service, available methods of exercise or settlement of an Award, payment of Tax-Related Items, the shifting of employer tax liability to the Participant, the withholding procedures and handling of any Share certificates or other indicia of ownership which may vary with local requirements. The Committee may also adopt sub-plans to the Plan intended to allow the Company to grant tax-qualified Awards in a particular jurisdiction and, as part of such sub-plan, may restrict the sale of Shares and/or modify the Change of Control and Adjustments provisions of the Plan to the extent necessary to comply the tax requirements of the jurisdiction. Notwithstanding the foregoing, the Committee may not take any actions hereunder, and no Awards shall be granted, that would violate the Securities Act, Exchange Act, the Code, any securities law.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ind w:left="760" w:hanging="752"/>
        <w:spacing w:after="0"/>
        <w:tabs>
          <w:tab w:leader="none" w:pos="76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WITHHOLDING TAXES</w:t>
      </w:r>
    </w:p>
    <w:p>
      <w:pPr>
        <w:spacing w:after="0" w:line="22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Any member of the WTW Group or a Designated Associate Company shall have the authority and right to deduct or withhold or require a Participant to remit to the Company, any member of the WTW Group or a Designated Associate Company, an amount sufficient to satisfy Tax-Related Items with respect to any taxable event concerning a Participant arising as a result of the Plan or to take such other action as may be necessary in the opinion of the Company, a Subsidiary or a Designated Associate Company, as appropriate, to satisfy withholding obligations for the payment of Tax-Related Items, including but not limited to (and as further modified pursuant to Section 6(n) hereof) (i) having the Participant pay an amount in cash (by check or wire transfer; (ii) the delivery of Shares (which are not subject to any pledge or other security interest) that have been both held by the Participant and vested for at least six (6) months (or such other period as established from time to time by the Committee to avoid adverse accounting treatment under applicable accounting standards); (iii) withholding from the Participant’s wages or other cash compensation; (iv) withholding from the proceeds for the sale of Shares underlying the Award either through a voluntary sale or a mandatory sale arranged by the Company on the Participant’s behalf; (v) in the Committee’s sole discretion and in satisfaction of the foregoing requirement withhold Shares otherwise issuable under an Award (or allow the return of Shares); (vi) any other method of withholding determined by the Committee that is permissible under applicable laws. No Shares shall be delivered hereunder to any Participant or other person until the Participant or such other person has made arrangements acceptable to the Company for the satisfaction of the Tax-Related Items withholdings obligations with respect to any taxable event concerning the Participant or such other person arising as a result of the Plan.</w:t>
      </w:r>
    </w:p>
    <w:p>
      <w:pPr>
        <w:spacing w:after="0" w:line="190"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SECTION 409A OF THE CODE FOR U.S. TAXPAYERS</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45" w:lineRule="auto"/>
        <w:tabs>
          <w:tab w:leader="none" w:pos="101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w:t>
      </w:r>
    </w:p>
    <w:p>
      <w:pPr>
        <w:spacing w:after="0" w:line="184"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Plan to the contrary notwithstanding, if an Award constitutes an item of deferred compensation under Section 409A of the Code and becomes payable upon, or by a date that is by reference to, a Participant’s Termination of Service, it shall not be made to the Participant unless the Participant’s Termination of Service constitutes a “separation from service” (within the meaning of Section 409A of the Code and any the regulations or other guidance thereunder). In addition, no such payment or distribution shall be made to the Participant prior to the earlier of (a) the expiration of the six-month period measured from the date of the Participant’s separation from service or (b) the date of the Participant’s death, if the Participant is deemed at the time of such separation from service to be a “specified employee” (within the meaning of Section 409A of the Code and any the regulations or other guidance thereunder) and to the extent such delayed commencement is otherwise required in order to avoid a prohibited distribution under Section 409A of the Code and any the regulations or other guidance thereunder. Except as provided in an Award Agreement, all payments which had been delayed pursuant to the immediately preceding sentence shall be paid to the Participant in a lump sum upon expiration of such six-month period (or, if earlier, upon the Participant’s death).</w:t>
      </w:r>
    </w:p>
    <w:p>
      <w:pPr>
        <w:spacing w:after="0" w:line="18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w:t>
      </w:r>
    </w:p>
    <w:p>
      <w:pPr>
        <w:spacing w:after="0" w:line="219" w:lineRule="exact"/>
        <w:rPr>
          <w:rFonts w:ascii="Times New Roman" w:cs="Times New Roman" w:eastAsia="Times New Roman" w:hAnsi="Times New Roman"/>
          <w:sz w:val="20"/>
          <w:szCs w:val="20"/>
          <w:b w:val="1"/>
          <w:bCs w:val="1"/>
          <w:color w:val="auto"/>
        </w:rPr>
      </w:pPr>
    </w:p>
    <w:p>
      <w:pPr>
        <w:ind w:left="7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shall be governed by the laws of Ireland, without regard to its conflicts of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0" w:name="page71"/>
    <w:bookmarkEnd w:id="70"/>
    <w:p>
      <w:pPr>
        <w:ind w:left="760" w:hanging="752"/>
        <w:spacing w:after="0"/>
        <w:tabs>
          <w:tab w:leader="none" w:pos="76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PLAN HISTORY AND EXPIRATION DATE</w:t>
      </w:r>
    </w:p>
    <w:p>
      <w:pPr>
        <w:spacing w:after="0" w:line="219" w:lineRule="exact"/>
        <w:rPr>
          <w:rFonts w:ascii="Times New Roman" w:cs="Times New Roman" w:eastAsia="Times New Roman" w:hAnsi="Times New Roman"/>
          <w:sz w:val="20"/>
          <w:szCs w:val="20"/>
          <w:b w:val="1"/>
          <w:bCs w:val="1"/>
          <w:color w:val="auto"/>
        </w:rPr>
      </w:pPr>
    </w:p>
    <w:p>
      <w:pPr>
        <w:jc w:val="both"/>
        <w:ind w:firstLine="757"/>
        <w:spacing w:after="0" w:line="254"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History</w:t>
      </w:r>
      <w:r>
        <w:rPr>
          <w:rFonts w:ascii="Times New Roman" w:cs="Times New Roman" w:eastAsia="Times New Roman" w:hAnsi="Times New Roman"/>
          <w:sz w:val="20"/>
          <w:szCs w:val="20"/>
          <w:color w:val="auto"/>
        </w:rPr>
        <w:t>. The Plan became effective as of the date of the original approval of the Plan by a majority of the shareholders of the Company (April 25, 2012). The Plan was subsequently amended and restated on July 23, 2014, June 10, 2016, June 8, 2022, February 25, 2025, January 27,2026 and again on the Effective Date.</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The Plan shall continue in effect until terminated by the Board or the Committee pursuant to Section 13. No Awards shall be granted under the Plan after expiration of the Plan. Awards that are outstanding as of the expiration of the Plan shall remain in force according to the terms of the Plan and the applicable Award Agreement, except that no Incentive Stock Option may be granted under the Plan after February 23, 2032.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16" w:lineRule="exact"/>
        <w:rPr>
          <w:sz w:val="20"/>
          <w:szCs w:val="20"/>
          <w:color w:val="auto"/>
        </w:rPr>
      </w:pPr>
    </w:p>
    <w:p>
      <w:pPr>
        <w:ind w:left="2600" w:right="2640" w:firstLine="335"/>
        <w:spacing w:after="0" w:line="300" w:lineRule="auto"/>
        <w:rPr>
          <w:sz w:val="20"/>
          <w:szCs w:val="20"/>
          <w:color w:val="auto"/>
        </w:rPr>
      </w:pPr>
      <w:r>
        <w:rPr>
          <w:rFonts w:ascii="Times New Roman" w:cs="Times New Roman" w:eastAsia="Times New Roman" w:hAnsi="Times New Roman"/>
          <w:sz w:val="19"/>
          <w:szCs w:val="19"/>
          <w:b w:val="1"/>
          <w:bCs w:val="1"/>
          <w:color w:val="auto"/>
        </w:rPr>
        <w:t>WILLIS TOWERS WATSON PUBLIC LIMITED COMPANY 2012 EQUITY INCENTIVE PLAN, AS AMENDED AND RESTATED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RESTRICTED SHARE UNIT GRANT NOTICE</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Willis Towers Watson Public Limited Company, a corporation organized under the laws of Ireland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individual listed below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an award of Restricted Share Units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as described in this Time-Based Restricted Share Unit Grant Notice (this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subject to the terms and conditions of the Plan and the Restricted Share Unit Award Agreement attached hereto, including any additional terms and conditions set forth in any appendix applicable in the Colleague’s country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both of which are incorporated into this Grant Notice by reference. Capitalized terms not specifically defined in this Grant Notice or the Agreement have the meanings given to them in the Plan.</w:t>
      </w:r>
    </w:p>
    <w:p>
      <w:pPr>
        <w:spacing w:after="0" w:line="213"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Colleague:</w:t>
            </w:r>
          </w:p>
        </w:tc>
        <w:tc>
          <w:tcPr>
            <w:tcW w:w="744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&lt;first_name&gt; &lt;last_name&gt;</w:t>
            </w:r>
          </w:p>
        </w:tc>
      </w:tr>
      <w:tr>
        <w:trPr>
          <w:trHeight w:val="44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744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&lt;Grant Date&gt;</w:t>
            </w:r>
          </w:p>
        </w:tc>
      </w:tr>
      <w:tr>
        <w:trPr>
          <w:trHeight w:val="446"/>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Acceptance Due Date:</w:t>
            </w:r>
          </w:p>
        </w:tc>
        <w:tc>
          <w:tcPr>
            <w:tcW w:w="744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&lt;Accept by Date&gt;</w:t>
            </w:r>
          </w:p>
        </w:tc>
      </w:tr>
      <w:tr>
        <w:trPr>
          <w:trHeight w:val="445"/>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744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&lt;RSUs_awarded&gt;</w:t>
            </w:r>
          </w:p>
        </w:tc>
      </w:tr>
      <w:tr>
        <w:trPr>
          <w:trHeight w:val="417"/>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744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The RSUs shall vest in three (3) substantially equal annual installments on</w:t>
            </w:r>
          </w:p>
        </w:tc>
      </w:tr>
      <w:tr>
        <w:trPr>
          <w:trHeight w:val="229"/>
        </w:trPr>
        <w:tc>
          <w:tcPr>
            <w:tcW w:w="2880" w:type="dxa"/>
            <w:vAlign w:val="bottom"/>
          </w:tcPr>
          <w:p>
            <w:pPr>
              <w:spacing w:after="0"/>
              <w:rPr>
                <w:sz w:val="19"/>
                <w:szCs w:val="19"/>
                <w:color w:val="auto"/>
              </w:rPr>
            </w:pPr>
          </w:p>
        </w:tc>
        <w:tc>
          <w:tcPr>
            <w:tcW w:w="7440" w:type="dxa"/>
            <w:vAlign w:val="bottom"/>
            <w:gridSpan w:val="3"/>
          </w:tcPr>
          <w:p>
            <w:pPr>
              <w:ind w:left="1160"/>
              <w:spacing w:after="0"/>
              <w:rPr>
                <w:sz w:val="20"/>
                <w:szCs w:val="20"/>
                <w:color w:val="auto"/>
              </w:rPr>
            </w:pPr>
            <w:r>
              <w:rPr>
                <w:rFonts w:ascii="Times New Roman" w:cs="Times New Roman" w:eastAsia="Times New Roman" w:hAnsi="Times New Roman"/>
                <w:sz w:val="20"/>
                <w:szCs w:val="20"/>
                <w:color w:val="auto"/>
              </w:rPr>
              <w:t>each of the first three (3) anniversaries of the Grant Date (each such date, a</w:t>
            </w:r>
          </w:p>
        </w:tc>
      </w:tr>
      <w:tr>
        <w:trPr>
          <w:trHeight w:val="212"/>
        </w:trPr>
        <w:tc>
          <w:tcPr>
            <w:tcW w:w="2880" w:type="dxa"/>
            <w:vAlign w:val="bottom"/>
          </w:tcPr>
          <w:p>
            <w:pPr>
              <w:spacing w:after="0"/>
              <w:rPr>
                <w:sz w:val="18"/>
                <w:szCs w:val="18"/>
                <w:color w:val="auto"/>
              </w:rPr>
            </w:pPr>
          </w:p>
        </w:tc>
        <w:tc>
          <w:tcPr>
            <w:tcW w:w="7440" w:type="dxa"/>
            <w:vAlign w:val="bottom"/>
            <w:gridSpan w:val="3"/>
          </w:tcPr>
          <w:p>
            <w:pPr>
              <w:ind w:left="1160"/>
              <w:spacing w:after="0" w:line="212" w:lineRule="exact"/>
              <w:rPr>
                <w:sz w:val="20"/>
                <w:szCs w:val="20"/>
                <w:color w:val="auto"/>
              </w:rPr>
            </w:pPr>
            <w:r>
              <w:rPr>
                <w:rFonts w:ascii="Times New Roman" w:cs="Times New Roman" w:eastAsia="Times New Roman" w:hAnsi="Times New Roman"/>
                <w:sz w:val="20"/>
                <w:szCs w:val="20"/>
                <w:color w:val="auto"/>
              </w:rPr>
              <w:t>“Vesting Date”).</w:t>
            </w:r>
          </w:p>
        </w:tc>
      </w:tr>
      <w:tr>
        <w:trPr>
          <w:trHeight w:val="20"/>
        </w:trPr>
        <w:tc>
          <w:tcPr>
            <w:tcW w:w="2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By accepting (whether in writing, electronically or otherwise in the manner specified in the Colleague’s online account with the Company’s designated broker/stock plan administrator) the RSUs, the Colleague agrees to be bound by the terms of this Grant Notice, the Plan, and the Agreement (collectively, the “</w:t>
      </w:r>
      <w:r>
        <w:rPr>
          <w:rFonts w:ascii="Times New Roman" w:cs="Times New Roman" w:eastAsia="Times New Roman" w:hAnsi="Times New Roman"/>
          <w:sz w:val="20"/>
          <w:szCs w:val="20"/>
          <w:u w:val="single" w:color="auto"/>
          <w:color w:val="auto"/>
        </w:rPr>
        <w:t>Grant Documents</w:t>
      </w:r>
      <w:r>
        <w:rPr>
          <w:rFonts w:ascii="Times New Roman" w:cs="Times New Roman" w:eastAsia="Times New Roman" w:hAnsi="Times New Roman"/>
          <w:sz w:val="20"/>
          <w:szCs w:val="20"/>
          <w:color w:val="auto"/>
        </w:rPr>
        <w:t>”). The Colleague acknowledges that the Colleague (i) has reviewed the Grant Documents in their entirety, (ii) has had an opportunity to obtain the advice of counsel prior to executing this Grant Notice, and (iii) fully understands all provisions of the Grant Documents.</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Colleague further agrees to execute and deliver or electronically accept this Grant Notice and the RCA (as defined in Section 1.14 of the Agreement) within 60 days of the Grant Date. Except as may otherwise be provided by the Committee, in its sole discretion, the RSUs shall be forfeited automatically on the last date of the acceptance period set forth in the foregoing sentence if the Colleague fails to execute and deliver or electronically accept the Grant Notice or the RCA by such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512999183-v12\NA_DMS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72" w:name="page73"/>
    <w:bookmarkEnd w:id="72"/>
    <w:p>
      <w:pPr>
        <w:ind w:left="760"/>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Grant Notice as of the last date written below.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10795</wp:posOffset>
            </wp:positionV>
            <wp:extent cx="66262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tabs>
          <w:tab w:leader="none" w:pos="780" w:val="left"/>
          <w:tab w:leader="none" w:pos="6080" w:val="left"/>
        </w:tabs>
        <w:rPr>
          <w:sz w:val="20"/>
          <w:szCs w:val="20"/>
          <w:color w:val="auto"/>
        </w:rPr>
      </w:pPr>
      <w:r>
        <w:rPr>
          <w:rFonts w:ascii="Times New Roman" w:cs="Times New Roman" w:eastAsia="Times New Roman" w:hAnsi="Times New Roman"/>
          <w:sz w:val="22"/>
          <w:szCs w:val="22"/>
          <w:color w:val="auto"/>
        </w:rPr>
        <w:t>Name:</w:t>
        <w:tab/>
        <w:t>Kristy Banas</w:t>
      </w:r>
      <w:r>
        <w:rPr>
          <w:sz w:val="20"/>
          <w:szCs w:val="20"/>
          <w:color w:val="auto"/>
        </w:rPr>
        <w:tab/>
      </w:r>
      <w:r>
        <w:rPr>
          <w:rFonts w:ascii="Times New Roman" w:cs="Times New Roman" w:eastAsia="Times New Roman" w:hAnsi="Times New Roman"/>
          <w:sz w:val="21"/>
          <w:szCs w:val="21"/>
          <w:color w:val="auto"/>
        </w:rPr>
        <w:t>Date</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Title:</w:t>
        <w:tab/>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22"/>
          <w:szCs w:val="22"/>
          <w:color w:val="auto"/>
        </w:rPr>
        <w:t>&lt;first_name&gt; &lt;last_name&gt;</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4" w:right="1440"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2012 EQUITY INCENTIVE PLAN, AS AMENDED AND RESTATED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OFFICERS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Unless otherwise defined in Article I of this Time-Based Restricted Share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any capitalized terms used herein will have the same meanings ascribed to them in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or the Time-Based Restricted Share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and collectively with the Plan and the Agreement, the “</w:t>
      </w:r>
      <w:r>
        <w:rPr>
          <w:rFonts w:ascii="Times New Roman" w:cs="Times New Roman" w:eastAsia="Times New Roman" w:hAnsi="Times New Roman"/>
          <w:sz w:val="20"/>
          <w:szCs w:val="20"/>
          <w:u w:val="single" w:color="auto"/>
          <w:color w:val="auto"/>
        </w:rPr>
        <w:t>Grant Documents</w:t>
      </w:r>
      <w:r>
        <w:rPr>
          <w:rFonts w:ascii="Times New Roman" w:cs="Times New Roman" w:eastAsia="Times New Roman" w:hAnsi="Times New Roman"/>
          <w:sz w:val="20"/>
          <w:szCs w:val="20"/>
          <w:color w:val="auto"/>
        </w:rPr>
        <w:t>”) to which this Agreement is attached. Further, for purposes of this Agreement, the plural pronoun shall include the singular, where the context so indicates.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409A CIC Event</w:t>
      </w:r>
      <w:r>
        <w:rPr>
          <w:rFonts w:ascii="Times New Roman" w:cs="Times New Roman" w:eastAsia="Times New Roman" w:hAnsi="Times New Roman"/>
          <w:sz w:val="20"/>
          <w:szCs w:val="20"/>
          <w:color w:val="auto"/>
        </w:rPr>
        <w:t>” shall have the meaning ascribed to such term in Section 2.6(b) hereof.</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have the meaning ascribed to such term or similar term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Good Caus</w:t>
      </w:r>
      <w:r>
        <w:rPr>
          <w:rFonts w:ascii="Times New Roman" w:cs="Times New Roman" w:eastAsia="Times New Roman" w:hAnsi="Times New Roman"/>
          <w:sz w:val="20"/>
          <w:szCs w:val="20"/>
          <w:color w:val="auto"/>
        </w:rPr>
        <w:t>e”) in the Colleague’s employment, retention or similar agreement, if any, with the Company, a Subsidiary or a Designated Associate Company, and, in the absence of an employment, retention or similar agreement or such definition in the employment, retention or similar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retention or similar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or any other form of harassment, having been provided reasonable notice of such a violation (notice required only if curable as determined by the Board) and ten (10) days after the Colleague’s receipt of such notice to cure or correct such violation.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Dividend Equivalent Amount</w:t>
      </w:r>
      <w:r>
        <w:rPr>
          <w:rFonts w:ascii="Times New Roman" w:cs="Times New Roman" w:eastAsia="Times New Roman" w:hAnsi="Times New Roman"/>
          <w:sz w:val="20"/>
          <w:szCs w:val="20"/>
          <w:color w:val="auto"/>
        </w:rPr>
        <w:t>” shall have the meaning ascribed to such term in Section 2.3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Dividend Equivalent Units</w:t>
      </w:r>
      <w:r>
        <w:rPr>
          <w:rFonts w:ascii="Times New Roman" w:cs="Times New Roman" w:eastAsia="Times New Roman" w:hAnsi="Times New Roman"/>
          <w:sz w:val="20"/>
          <w:szCs w:val="20"/>
          <w:color w:val="auto"/>
        </w:rPr>
        <w:t>” shall have the meaning ascribed to such term in Section 2.3 hereof.</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shall mean the Company, or if different, the Subsidiary or Designated Associate Company that employs the Colleague.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Section 1.6</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have the meaning ascribed to such term or similar term in the employment, retention or similar agreement, if any, with the Company, a Subsidiary or a Designated Associate Company; in the absence of an employment, retention or similar agreement or such term in the employment, retention or similar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material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Colleague actually terminates employment within 90 days following the expiration of the Employer’s 30-day cure period described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shall have the meaning ascribed to such term in the Grant Notice.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Group Termination Event</w:t>
      </w:r>
      <w:r>
        <w:rPr>
          <w:rFonts w:ascii="Times New Roman" w:cs="Times New Roman" w:eastAsia="Times New Roman" w:hAnsi="Times New Roman"/>
          <w:sz w:val="20"/>
          <w:szCs w:val="20"/>
          <w:color w:val="auto"/>
        </w:rPr>
        <w:t>” shall mean an involuntary termination of Service that is part of a group termination of employment, including, but not limited to, terminations resulting from the sale of a business or division, outsourcing of an entire function, reduction in workforce or closing of an office.</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 “J</w:t>
      </w:r>
      <w:r>
        <w:rPr>
          <w:rFonts w:ascii="Times New Roman" w:cs="Times New Roman" w:eastAsia="Times New Roman" w:hAnsi="Times New Roman"/>
          <w:sz w:val="20"/>
          <w:szCs w:val="20"/>
          <w:u w:val="single" w:color="auto"/>
          <w:color w:val="auto"/>
        </w:rPr>
        <w:t>ob Elimination</w:t>
      </w:r>
      <w:r>
        <w:rPr>
          <w:rFonts w:ascii="Times New Roman" w:cs="Times New Roman" w:eastAsia="Times New Roman" w:hAnsi="Times New Roman"/>
          <w:sz w:val="20"/>
          <w:szCs w:val="20"/>
          <w:color w:val="auto"/>
        </w:rPr>
        <w:t>” shall mean an involuntary termination of employment by reason of job elimination, substantial change in the nature of Colleague’s position, or job relocation.</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Legacy Company</w:t>
      </w:r>
      <w:r>
        <w:rPr>
          <w:rFonts w:ascii="Times New Roman" w:cs="Times New Roman" w:eastAsia="Times New Roman" w:hAnsi="Times New Roman"/>
          <w:sz w:val="20"/>
          <w:szCs w:val="20"/>
          <w:color w:val="auto"/>
        </w:rPr>
        <w:t>” shall mean Towers Watson &amp; Co. or Willis Group Holdings Public Limited Company and any predecessor companies or affiliates of any of the foregoing.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Nominal Value</w:t>
      </w:r>
      <w:r>
        <w:rPr>
          <w:rFonts w:ascii="Times New Roman" w:cs="Times New Roman" w:eastAsia="Times New Roman" w:hAnsi="Times New Roman"/>
          <w:sz w:val="20"/>
          <w:szCs w:val="20"/>
          <w:color w:val="auto"/>
        </w:rPr>
        <w:t>” shall mean $0.000304635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Qualifying Retiree</w:t>
      </w:r>
      <w:r>
        <w:rPr>
          <w:rFonts w:ascii="Times New Roman" w:cs="Times New Roman" w:eastAsia="Times New Roman" w:hAnsi="Times New Roman"/>
          <w:sz w:val="20"/>
          <w:szCs w:val="20"/>
          <w:color w:val="auto"/>
        </w:rPr>
        <w:t>” shall have the meaning ascribed to such term in Section 3.2 hereof.</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Qualifying Retirement</w:t>
      </w:r>
      <w:r>
        <w:rPr>
          <w:rFonts w:ascii="Times New Roman" w:cs="Times New Roman" w:eastAsia="Times New Roman" w:hAnsi="Times New Roman"/>
          <w:sz w:val="20"/>
          <w:szCs w:val="20"/>
          <w:color w:val="auto"/>
        </w:rPr>
        <w:t>” shall mean either (i) a voluntary termination of the Colleague’s Service by the Colleague, or (ii) a Job Elimination, Group Termination Event or other involuntary termination of the Colleague’s Service by the Employer arising under similar circumstances, as determined in the sole discretion of the Committee, in each case, after the Colleague’s attainment of either (a) the age of 55 and the Colleague’s completion of 10 Years of Service, or (b) the age of 65 and the Colleague’s completion of 5 Years of Service, provided that the Committee has not determined, in its sole discretion, that a basis exists for the Colleague’s termination of Service for Cause or a basis other than a Job Elimination or a Group Termination Event at the time of such termination of Service.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RCA</w:t>
      </w:r>
      <w:r>
        <w:rPr>
          <w:rFonts w:ascii="Times New Roman" w:cs="Times New Roman" w:eastAsia="Times New Roman" w:hAnsi="Times New Roman"/>
          <w:sz w:val="20"/>
          <w:szCs w:val="20"/>
          <w:color w:val="auto"/>
        </w:rPr>
        <w:t>” shall mean the Agreement of Restrictive Covenants and Other Obligations for Employees in the United States, or Outside the United States, as applicable, which is made available to the Colleague via the Colleague’s online account with the Company’s designated broker/stock plan administrator.</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Restricted Share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shall mean a conditional right to receive Shares, including Fractional Share Interests, pursuant to the terms of the Grant Documents.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Retirement Compliance Officers</w:t>
      </w:r>
      <w:r>
        <w:rPr>
          <w:rFonts w:ascii="Times New Roman" w:cs="Times New Roman" w:eastAsia="Times New Roman" w:hAnsi="Times New Roman"/>
          <w:sz w:val="20"/>
          <w:szCs w:val="20"/>
          <w:color w:val="auto"/>
        </w:rPr>
        <w:t>” shall have the meaning ascribed to such term in Section 3.2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Retirement Disclosure</w:t>
      </w:r>
      <w:r>
        <w:rPr>
          <w:rFonts w:ascii="Times New Roman" w:cs="Times New Roman" w:eastAsia="Times New Roman" w:hAnsi="Times New Roman"/>
          <w:sz w:val="20"/>
          <w:szCs w:val="20"/>
          <w:color w:val="auto"/>
        </w:rPr>
        <w:t>” shall have the meaning ascribed to such term in Section 3.2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Retirement Noncompliance Event</w:t>
      </w:r>
      <w:r>
        <w:rPr>
          <w:rFonts w:ascii="Times New Roman" w:cs="Times New Roman" w:eastAsia="Times New Roman" w:hAnsi="Times New Roman"/>
          <w:sz w:val="20"/>
          <w:szCs w:val="20"/>
          <w:color w:val="auto"/>
        </w:rPr>
        <w:t>” shall have the meaning ascribed to such term in Section 3.2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shall have the meaning ascribed to such term in Section 2.6(b) hereof.</w:t>
      </w:r>
    </w:p>
    <w:p>
      <w:pPr>
        <w:spacing w:after="0" w:line="216"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1.20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Service</w:t>
      </w:r>
      <w:r>
        <w:rPr>
          <w:rFonts w:ascii="Times New Roman" w:cs="Times New Roman" w:eastAsia="Times New Roman" w:hAnsi="Times New Roman"/>
          <w:sz w:val="20"/>
          <w:szCs w:val="20"/>
          <w:color w:val="auto"/>
        </w:rPr>
        <w:t>” shall mean service as an Employee with (or, subject to approval by the Committee, as a Consultant to) the Company, or a Subsidiary or Designated Associate Company thereof.</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shall mean Ordinary Shares of the Company, Nominal Value per Share, which may be authorized but unissued. References in this Agreement to Shares shall also mean and include Fractional Share Interests when used in the context of references to Shares underlying the RSUs or issuable pursuant to RSUs unless the Agreement expressly provides otherwise or the context clearly suggests otherwise.</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unless otherwise determined by the Committee, in its sole discretion, the later of (i) the last day of the Colleague’s active Service or (ii) the last day of any notice period or garden leave, as provided for under the Colleague’s employment, retention or similar agreement, if any, or local law; provided, however, that in the case of United States taxpayers, the Termination Date shall mean a date that will allow the RSUs to comply with Section 409A of the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shall have the meaning ascribed to such term in the Grant Notice.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5" w:name="page76"/>
    <w:bookmarkEnd w:id="75"/>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Years of Service</w:t>
      </w:r>
      <w:r>
        <w:rPr>
          <w:rFonts w:ascii="Times New Roman" w:cs="Times New Roman" w:eastAsia="Times New Roman" w:hAnsi="Times New Roman"/>
          <w:sz w:val="20"/>
          <w:szCs w:val="20"/>
          <w:color w:val="auto"/>
        </w:rPr>
        <w:t>” shall mean the total number of full years in which the Colleague has been in Service with the Company, a Subsidiary or Designated Associate Company thereof, and a Legacy Company, including all years of Service provided prior to a termination of prior Service where the break in Service did not exceed five (5) years. For purposes of this definition, a Year of Service shall mean a 365-day period (or 366-day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GRANT OF TIME-BASED RESTRICTED SHARE UNITS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Grant of the Time-Based Restricted Share Units</w:t>
      </w:r>
      <w:r>
        <w:rPr>
          <w:rFonts w:ascii="Times New Roman" w:cs="Times New Roman" w:eastAsia="Times New Roman" w:hAnsi="Times New Roman"/>
          <w:sz w:val="20"/>
          <w:szCs w:val="20"/>
          <w:color w:val="auto"/>
        </w:rPr>
        <w:t>. The Company has awarded the Colleague the number of RSUs specified in the Grant Notice subject to the terms and conditions of the Grant Notice, the Plan, and the additional terms and conditions set forth in this Agreement and the restrictive covenants set forth in the RCA. The Colleague agrees that the grant of RSUs is sufficient consideration for the Colleague entering into the RCA.</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RSU Payment</w:t>
      </w:r>
      <w:r>
        <w:rPr>
          <w:rFonts w:ascii="Times New Roman" w:cs="Times New Roman" w:eastAsia="Times New Roman" w:hAnsi="Times New Roman"/>
          <w:sz w:val="20"/>
          <w:szCs w:val="20"/>
          <w:color w:val="auto"/>
        </w:rPr>
        <w:t>. In accordance with Section 7(d)(ii) of the Plan, the Shares to be issued upon vesting and settlement of the RSUs must be fully paid up prior to issuance of such Shares (including, in the interest of clarity, each issuance of Fractional Share Interests)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On each date that a cash dividend is paid to holders of Shares from the Grant Date through the date immediately prior to the date the RSUs are settled, an amount (the “</w:t>
      </w:r>
      <w:r>
        <w:rPr>
          <w:rFonts w:ascii="Times New Roman" w:cs="Times New Roman" w:eastAsia="Times New Roman" w:hAnsi="Times New Roman"/>
          <w:sz w:val="20"/>
          <w:szCs w:val="20"/>
          <w:u w:val="single" w:color="auto"/>
          <w:color w:val="auto"/>
        </w:rPr>
        <w:t>Dividend Equivalent Amount</w:t>
      </w:r>
      <w:r>
        <w:rPr>
          <w:rFonts w:ascii="Times New Roman" w:cs="Times New Roman" w:eastAsia="Times New Roman" w:hAnsi="Times New Roman"/>
          <w:sz w:val="20"/>
          <w:szCs w:val="20"/>
          <w:color w:val="auto"/>
        </w:rPr>
        <w:t>”) equal to the cash dividend that is paid on each Share, multiplied by the total number of RSUs and any Dividend Equivalent Units (as defined below) that remain unvested and outstanding as of the dividend payment record date, will be credited to the Colleague, and such credited amount will be converted into an additional number of RSUs determined by dividing the Dividend Equivalent Amount by the Fair Market Value of a Share on the date of the dividend payment (“</w:t>
      </w:r>
      <w:r>
        <w:rPr>
          <w:rFonts w:ascii="Times New Roman" w:cs="Times New Roman" w:eastAsia="Times New Roman" w:hAnsi="Times New Roman"/>
          <w:sz w:val="20"/>
          <w:szCs w:val="20"/>
          <w:u w:val="single" w:color="auto"/>
          <w:color w:val="auto"/>
        </w:rPr>
        <w:t>Dividend Equivalent Units</w:t>
      </w:r>
      <w:r>
        <w:rPr>
          <w:rFonts w:ascii="Times New Roman" w:cs="Times New Roman" w:eastAsia="Times New Roman" w:hAnsi="Times New Roman"/>
          <w:sz w:val="20"/>
          <w:szCs w:val="20"/>
          <w:color w:val="auto"/>
        </w:rPr>
        <w:t>”). Dividend Equivalent Units will be subject to the same conditions as the underlying RSUs with respect to which Dividend Equivalent Units 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2.3.</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The RSUs shall vest pursuant to the vesting schedule set forth in the Grant Notice, subject to the Colleague’s continued Service through the applicable Vesting Date, except as otherwise provided in Section 2.5 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Employment Termination; Change in Control</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57"/>
        <w:spacing w:after="0" w:line="256" w:lineRule="auto"/>
        <w:tabs>
          <w:tab w:leader="none" w:pos="101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Forfeiture upon Termination</w:t>
      </w:r>
      <w:r>
        <w:rPr>
          <w:rFonts w:ascii="Times New Roman" w:cs="Times New Roman" w:eastAsia="Times New Roman" w:hAnsi="Times New Roman"/>
          <w:sz w:val="20"/>
          <w:szCs w:val="20"/>
          <w:color w:val="auto"/>
        </w:rPr>
        <w:t>. Except as otherwise provided in this Section 2.5 or the terms of the Colleague’s employment,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retention or similar agreement, in the event of the Colleague’s termination of Service prior to a Vesting Date, any RSUs that are unvested as of the Termination Date shall be forfeited immediately as of the Termination Date by the Colleague.</w:t>
      </w:r>
    </w:p>
    <w:p>
      <w:pPr>
        <w:spacing w:after="0" w:line="168"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Qualifying Retirement</w:t>
      </w:r>
      <w:r>
        <w:rPr>
          <w:rFonts w:ascii="Times New Roman" w:cs="Times New Roman" w:eastAsia="Times New Roman" w:hAnsi="Times New Roman"/>
          <w:sz w:val="19"/>
          <w:szCs w:val="19"/>
          <w:color w:val="auto"/>
        </w:rPr>
        <w:t>. In the event of the Colleague’s termination of Service after the first anniversary of the Grant Date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prior to a Vesting Date due to a Qualifying Retirement, any RSUs that are unvested as of the Termination Date shall continue to vest on the original Vesting Dates that occur following the Termination Date, subject to the Colleague’s compliance with the restrictive covenants legally applicable to the Colleague and other obligations contemplated under Sections 3.1 and 3.2 hereof, as determined in the sole discretion of the Committee. If the Committee determines in its sole discretion that the Colleague has violated the restrictive covenants and other obligations under Sections 3.1 and 3.2 hereof, any RSUs that are unvested as of the date of the Committee’s determination shall be forfeited immediately. For the avoidance of any doubt, the provisions of this Section 2.5(b) shall prevail over the provisions of Section 2.5(d) hereof.</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6" w:name="page77"/>
    <w:bookmarkEnd w:id="76"/>
    <w:p>
      <w:pPr>
        <w:jc w:val="both"/>
        <w:ind w:firstLine="757"/>
        <w:spacing w:after="0" w:line="250"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 Involuntary Termination</w:t>
      </w:r>
      <w:r>
        <w:rPr>
          <w:rFonts w:ascii="Times New Roman" w:cs="Times New Roman" w:eastAsia="Times New Roman" w:hAnsi="Times New Roman"/>
          <w:sz w:val="20"/>
          <w:szCs w:val="20"/>
          <w:color w:val="auto"/>
        </w:rPr>
        <w:t>. In the event the RSUs are assumed or otherwise substituted or replaced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successor corporation or an affiliate thereof in connection with a Change of Control and the Colleague’s Service is terminated (i) by the successor corporation or an affiliate employing the Colleague without Cause or (ii) by the Colleague for Good Reason, in each case, within the 24-month period commencing on the effective date of a Change of Control, all unvested RSUs shall vest as of the Termination Date.</w:t>
      </w:r>
    </w:p>
    <w:p>
      <w:pPr>
        <w:spacing w:after="0" w:line="17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Non-Change in Control Involuntary Termination</w:t>
      </w:r>
      <w:r>
        <w:rPr>
          <w:rFonts w:ascii="Times New Roman" w:cs="Times New Roman" w:eastAsia="Times New Roman" w:hAnsi="Times New Roman"/>
          <w:sz w:val="20"/>
          <w:szCs w:val="20"/>
          <w:color w:val="auto"/>
        </w:rPr>
        <w:t>. In the event of the Colleague’s (i) termination of Service without Cause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Employer or (ii) termination of Service by the Colleague for Good Reason, in each case, after the first anniversary of the Grant Date and prior to the effective date of a Change of Control or after the 24-month period commencing on the effective date of a Change of Control, any RSUs that are unvested as of the Termination Date shall be forfeited automatically by the Colleague unless the Committee, in its sole discretion, approves the continued vesting on the original Vesting Dates that occur following the Termination Date of some or all of the unvested RSUs. The continued vesting benefit provided under this Section 2.5(d) shall be subject to the Colleague’s compliance with the restrictive covenants legally applicable to the Colleague and other obligations contemplated under Section 3.1 hereof, as determined in the sole discretion of the Committee. If no determination is made by the Committee as of the Termination Date, then the RSUs shall, to the extent not then vested, be immediately forfeited by the Colleague.</w:t>
      </w:r>
    </w:p>
    <w:p>
      <w:pPr>
        <w:spacing w:after="0" w:line="18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Death/Disability</w:t>
      </w:r>
      <w:r>
        <w:rPr>
          <w:rFonts w:ascii="Times New Roman" w:cs="Times New Roman" w:eastAsia="Times New Roman" w:hAnsi="Times New Roman"/>
          <w:sz w:val="20"/>
          <w:szCs w:val="20"/>
          <w:color w:val="auto"/>
        </w:rPr>
        <w:t>. In the event of the Colleague’s termination of Service as a result of the Colleague’s Permanent Disability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death, all unvested RSUs shall vest as of the Termination Date.</w:t>
      </w:r>
    </w:p>
    <w:p>
      <w:pPr>
        <w:spacing w:after="0" w:line="151"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Pursuant to Section 12 of the Plan, in the event the RSUs are not assumed or otherwise substituted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replaced by the successor corporation or an affiliate thereof in connection with a Change of Control, all RSUs that are unvested as of the Change of Control shall vest immediately prior to the effective date of the Change of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57"/>
        <w:spacing w:after="0" w:line="246"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Settlement Provisions</w:t>
      </w:r>
      <w:r>
        <w:rPr>
          <w:rFonts w:ascii="Times New Roman" w:cs="Times New Roman" w:eastAsia="Times New Roman" w:hAnsi="Times New Roman"/>
          <w:sz w:val="20"/>
          <w:szCs w:val="20"/>
          <w:color w:val="auto"/>
        </w:rPr>
        <w:t>. Except as otherwise provided in Section 2.6(b) hereof, RSUs that become vested shall be settled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Shares (including, in the interest of clarity, Fractional Share Interests underlying the vested RSUs or that result from the withholding of less than a whole Share pursuant to Section 2.8) on the applicable Vesting Date or, if earlier, upon an accelerated vesting event pursuant to Sections 2.4(c), (e) or (f) hereof, or as soon as practicable, but not later than 31 days, thereafter. Notwithstanding the foregoing, a Fractional Share Interest may be paid in cash or rounded to the extent provided in Schedule A for the Colleague’s country or to the extent otherwise determined by the Committee in its sole discretion.</w:t>
      </w:r>
    </w:p>
    <w:p>
      <w:pPr>
        <w:spacing w:after="0" w:line="178"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Section 409A Settlement Timing Requirements</w:t>
      </w:r>
      <w:r>
        <w:rPr>
          <w:rFonts w:ascii="Times New Roman" w:cs="Times New Roman" w:eastAsia="Times New Roman" w:hAnsi="Times New Roman"/>
          <w:sz w:val="20"/>
          <w:szCs w:val="20"/>
          <w:color w:val="auto"/>
        </w:rPr>
        <w:t>. Notwithstanding the foregoing, if the RSUs are considered non-qualified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deferred compensation subject to Section 409A of the Code, as determined in the sole discretion of the Company, and the Colleague is a U.S. Taxpayer, RSUs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w:t>
      </w:r>
      <w:r>
        <w:rPr>
          <w:rFonts w:ascii="Times New Roman" w:cs="Times New Roman" w:eastAsia="Times New Roman" w:hAnsi="Times New Roman"/>
          <w:sz w:val="20"/>
          <w:szCs w:val="20"/>
          <w:u w:val="single" w:color="auto"/>
          <w:color w:val="auto"/>
        </w:rPr>
        <w:t>409A CIC Event</w:t>
      </w:r>
      <w:r>
        <w:rPr>
          <w:rFonts w:ascii="Times New Roman" w:cs="Times New Roman" w:eastAsia="Times New Roman" w:hAnsi="Times New Roman"/>
          <w:sz w:val="20"/>
          <w:szCs w:val="20"/>
          <w:color w:val="auto"/>
        </w:rPr>
        <w:t>”), (iii) a “separation from service” within the meaning of Section 409A of the Code (a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that occurs following a 409A CIC Event, provided that if the Colleague is a “specified employee” within the meaning of Section 409A of the Code on the date the Colleague experiences a Separation from Service, then the RSUs shall instead be settled on the first business day of the seventh month following the Colleague’s Separation from Service, to the extent such delayed payment is required in order to avoid a prohibited distribution under Section 409A of the Code, (iv) the Colleague’s death, and (v) the Colleague’s disability, within the meaning of Section 409A of the Code.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57"/>
        <w:spacing w:after="0" w:line="256" w:lineRule="auto"/>
        <w:tabs>
          <w:tab w:leader="none" w:pos="101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Whole Shares</w:t>
      </w:r>
      <w:r>
        <w:rPr>
          <w:rFonts w:ascii="Times New Roman" w:cs="Times New Roman" w:eastAsia="Times New Roman" w:hAnsi="Times New Roman"/>
          <w:sz w:val="20"/>
          <w:szCs w:val="20"/>
          <w:color w:val="auto"/>
        </w:rPr>
        <w:t>. The Colleague shall not be, nor have any of the rights or privileges of, a shareholder of the Company in respect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Shares that may be received upon the settlement of the RSUs unless and until certificates representing such Shares or their electronic equivalent shall have been issued by the Company to the Colleague.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7" w:name="page78"/>
    <w:bookmarkEnd w:id="77"/>
    <w:p>
      <w:pPr>
        <w:jc w:val="both"/>
        <w:ind w:firstLine="757"/>
        <w:spacing w:after="0" w:line="247"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Fractional Share Interest</w:t>
      </w:r>
      <w:r>
        <w:rPr>
          <w:rFonts w:ascii="Times New Roman" w:cs="Times New Roman" w:eastAsia="Times New Roman" w:hAnsi="Times New Roman"/>
          <w:sz w:val="20"/>
          <w:szCs w:val="20"/>
          <w:color w:val="auto"/>
        </w:rPr>
        <w:t>s. In the event a Fractional Share Interest is issued, the Colleague shall have with respect to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Fractional Share Interest the right to receive dividends payable with respect to a Share that are proportionate to the interest the Fractional Share Interest bears to a whole Share, but the Colleague shall otherwise not be, nor have any of the other rights or privileges of, a shareholder of the Company, including the right to vote, in respect of any Fractional Share Interests held by the Colleague until the Fractional Share Interests issued to a Colleague aggregate to a whole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and/or any dividend equivalents; and (2) do not commit to and are under no obligation to structure 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Prior to any relevant taxable or tax withholding event, as applicable, the Colleague agrees to make adequate arrangements satisfactory to the Company and/or the Employer to satisfy all Tax-Related Items.</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In this regard, the Colleague authorizes the Company and/or the Employer, or their respective agents, in their discretion, to satisfy the obligations with regard to all Tax-Related Items by withholding in Shares (including less than a whole Share)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number of Shares (including less than a whole Share)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8" w:name="page79"/>
    <w:bookmarkEnd w:id="78"/>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 The Shares underlying the RSUs to be issued hereunder shall be previously authorized but unissued Shares. Such Shares shall be fully paid. The Company shall not be required to issue Shares allotted upon the applicable date of the settlement of the RSUs prior to fulfillment of all of the following conditions: (a) the obtaining of approval or other clearance from any state, federal, local or foreign governmental agency which the Committee shall, in its absolute discretion, determine to be necessary or advisable; and (b) the Colleague has paid or made arrangements to pay the Tax-Related Items pursuant to Section 2.8 hereof. 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ARTICLE III</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ADDITIONAL TERMS AND CONDITIONS APPLICABLE TO RSUs</w:t>
      </w:r>
    </w:p>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Restrictive Covenants and Other Obligations</w:t>
      </w:r>
      <w:r>
        <w:rPr>
          <w:rFonts w:ascii="Times New Roman" w:cs="Times New Roman" w:eastAsia="Times New Roman" w:hAnsi="Times New Roman"/>
          <w:sz w:val="19"/>
          <w:szCs w:val="19"/>
          <w:color w:val="auto"/>
        </w:rPr>
        <w:t>. In consideration of the grant of RSUs, the Colleague shall agree to the restrictive covenants and other obligations contained in the RCA. In the event the Colleague fails to execute and deliver or electronically accept the RCA in the manner and within the period specified in the Grant Notice, the Committee may, in its sole discretion, cancel the RSUs.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Continued Vesting Requirements Applicable to Qualifying Retirees</w:t>
      </w:r>
      <w:r>
        <w:rPr>
          <w:rFonts w:ascii="Times New Roman" w:cs="Times New Roman" w:eastAsia="Times New Roman" w:hAnsi="Times New Roman"/>
          <w:sz w:val="19"/>
          <w:szCs w:val="19"/>
          <w:color w:val="auto"/>
        </w:rPr>
        <w:t>. For any Colleague whose termination of Service with the Company constitutes a Qualifying Retirement (“</w:t>
      </w:r>
      <w:r>
        <w:rPr>
          <w:rFonts w:ascii="Times New Roman" w:cs="Times New Roman" w:eastAsia="Times New Roman" w:hAnsi="Times New Roman"/>
          <w:sz w:val="19"/>
          <w:szCs w:val="19"/>
          <w:u w:val="single" w:color="auto"/>
          <w:color w:val="auto"/>
        </w:rPr>
        <w:t>Qualifying Retiree</w:t>
      </w:r>
      <w:r>
        <w:rPr>
          <w:rFonts w:ascii="Times New Roman" w:cs="Times New Roman" w:eastAsia="Times New Roman" w:hAnsi="Times New Roman"/>
          <w:sz w:val="19"/>
          <w:szCs w:val="19"/>
          <w:color w:val="auto"/>
        </w:rPr>
        <w:t>”), in order for the Qualifying Retiree to continue to vest in the RSUs in accordance with the provisions of Section 2.5(b) hereof, the Qualifying Retiree shall furnish to the Company on an annual basis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applicable Vesting Date; and (ii) a statement confirming that the Qualifying Retiree has not disclosed or used any Confidential Information as prohibited by the RCA (together with the statement described in Section 3.2(i), the “</w:t>
      </w:r>
      <w:r>
        <w:rPr>
          <w:rFonts w:ascii="Times New Roman" w:cs="Times New Roman" w:eastAsia="Times New Roman" w:hAnsi="Times New Roman"/>
          <w:sz w:val="19"/>
          <w:szCs w:val="19"/>
          <w:u w:val="single" w:color="auto"/>
          <w:color w:val="auto"/>
        </w:rPr>
        <w:t>Retirement Disclosure</w:t>
      </w:r>
      <w:r>
        <w:rPr>
          <w:rFonts w:ascii="Times New Roman" w:cs="Times New Roman" w:eastAsia="Times New Roman" w:hAnsi="Times New Roman"/>
          <w:sz w:val="19"/>
          <w:szCs w:val="19"/>
          <w:color w:val="auto"/>
        </w:rPr>
        <w:t>”). In the event that a Qualifying Retiree does not make the required Retirement Disclosure, or the Company’s Chief Executive Officer, Chief Human Resources Officer, and General Counsel (jointly), or the Committee Chair, in the case of the current or any former Chief Executive Officer of the Company (the “</w:t>
      </w:r>
      <w:r>
        <w:rPr>
          <w:rFonts w:ascii="Times New Roman" w:cs="Times New Roman" w:eastAsia="Times New Roman" w:hAnsi="Times New Roman"/>
          <w:sz w:val="19"/>
          <w:szCs w:val="19"/>
          <w:u w:val="single" w:color="auto"/>
          <w:color w:val="auto"/>
        </w:rPr>
        <w:t>Retirement Compliance Officers</w:t>
      </w:r>
      <w:r>
        <w:rPr>
          <w:rFonts w:ascii="Times New Roman" w:cs="Times New Roman" w:eastAsia="Times New Roman" w:hAnsi="Times New Roman"/>
          <w:sz w:val="19"/>
          <w:szCs w:val="19"/>
          <w:color w:val="auto"/>
        </w:rPr>
        <w:t>”)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w:t>
      </w:r>
      <w:r>
        <w:rPr>
          <w:rFonts w:ascii="Times New Roman" w:cs="Times New Roman" w:eastAsia="Times New Roman" w:hAnsi="Times New Roman"/>
          <w:sz w:val="19"/>
          <w:szCs w:val="19"/>
          <w:u w:val="single" w:color="auto"/>
          <w:color w:val="auto"/>
        </w:rPr>
        <w:t>Retirement Noncompliance Event</w:t>
      </w:r>
      <w:r>
        <w:rPr>
          <w:rFonts w:ascii="Times New Roman" w:cs="Times New Roman" w:eastAsia="Times New Roman" w:hAnsi="Times New Roman"/>
          <w:sz w:val="19"/>
          <w:szCs w:val="19"/>
          <w:color w:val="auto"/>
        </w:rPr>
        <w:t>”), the Retirement Compliance Officers may determine, in their sole and absolute discretion in accordance with applicable law in those states or jurisdictions where such a provision is lawful, that all vesting under Section 2.5(b)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RSUs in accordance with the provisions of Section 2.5(b).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Clawback / Repayment</w:t>
      </w:r>
      <w:r>
        <w:rPr>
          <w:rFonts w:ascii="Times New Roman" w:cs="Times New Roman" w:eastAsia="Times New Roman" w:hAnsi="Times New Roman"/>
          <w:sz w:val="19"/>
          <w:szCs w:val="19"/>
          <w:color w:val="auto"/>
        </w:rPr>
        <w:t>. The RSUs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RSU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9" w:name="page80"/>
    <w:bookmarkEnd w:id="79"/>
    <w:p>
      <w:pPr>
        <w:spacing w:after="0" w:line="269" w:lineRule="auto"/>
        <w:rPr>
          <w:sz w:val="20"/>
          <w:szCs w:val="20"/>
          <w:color w:val="auto"/>
        </w:rPr>
      </w:pPr>
      <w:r>
        <w:rPr>
          <w:rFonts w:ascii="Times New Roman" w:cs="Times New Roman" w:eastAsia="Times New Roman" w:hAnsi="Times New Roman"/>
          <w:sz w:val="20"/>
          <w:szCs w:val="20"/>
          <w:color w:val="auto"/>
        </w:rPr>
        <w:t>the RSUs to re-convey, transfer, surrender or otherwise return such Shares and/or other amounts to the Company upon the Company’s enforcement of this Section 3.3.</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OTHER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Nature of RSU Award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accepting the RSUs, the Colleague acknowledges, understands and agrees to the following:</w:t>
      </w:r>
    </w:p>
    <w:p>
      <w:pPr>
        <w:spacing w:after="0" w:line="212" w:lineRule="exact"/>
        <w:rPr>
          <w:sz w:val="20"/>
          <w:szCs w:val="20"/>
          <w:color w:val="auto"/>
        </w:rPr>
      </w:pPr>
    </w:p>
    <w:p>
      <w:pPr>
        <w:ind w:right="20" w:firstLine="757"/>
        <w:spacing w:after="0" w:line="273"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Voluntary and Discretionary</w:t>
      </w:r>
      <w:r>
        <w:rPr>
          <w:rFonts w:ascii="Times New Roman" w:cs="Times New Roman" w:eastAsia="Times New Roman" w:hAnsi="Times New Roman"/>
          <w:sz w:val="20"/>
          <w:szCs w:val="20"/>
          <w:color w:val="auto"/>
        </w:rPr>
        <w:t>. The Plan is established voluntarily by the Company, is discretionary in nature and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amended, suspended or terminated by the Company at any time, to the extent permitted by the Plan.</w:t>
      </w:r>
    </w:p>
    <w:p>
      <w:pPr>
        <w:spacing w:after="0" w:line="151"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Administration of the Plan and Payment Obligations</w:t>
      </w:r>
      <w:r>
        <w:rPr>
          <w:rFonts w:ascii="Times New Roman" w:cs="Times New Roman" w:eastAsia="Times New Roman" w:hAnsi="Times New Roman"/>
          <w:sz w:val="20"/>
          <w:szCs w:val="20"/>
          <w:color w:val="auto"/>
        </w:rPr>
        <w:t>. The Plan is operated and the RSUs are granted solely by the Company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only the Company is a party to this Agreement. Accordingly, any rights the Colleague may have under this Agreement, including related to the issuance of Shares pursuant to the RSUs, may be raised only against the Company. No Subsidiary nor Designated Associate Company (including, but not limited to, the Employer) has any obligation to make any payment of any kind under this Agreement.</w:t>
      </w:r>
    </w:p>
    <w:p>
      <w:pPr>
        <w:spacing w:after="0" w:line="17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Acquired Rights</w:t>
      </w:r>
      <w:r>
        <w:rPr>
          <w:rFonts w:ascii="Times New Roman" w:cs="Times New Roman" w:eastAsia="Times New Roman" w:hAnsi="Times New Roman"/>
          <w:sz w:val="20"/>
          <w:szCs w:val="20"/>
          <w:color w:val="auto"/>
        </w:rPr>
        <w:t>. The RSU award is exceptional, voluntary and occasional and does not create any contractual or other right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receive future RSU awards, or benefits in lieu of RSU awards, even if RSUs have been granted in the past. Further, all decisions with respect to future RSUs or other grants, if any, will be at the sole discretion of the Company.</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Participation</w:t>
      </w:r>
      <w:r>
        <w:rPr>
          <w:rFonts w:ascii="Times New Roman" w:cs="Times New Roman" w:eastAsia="Times New Roman" w:hAnsi="Times New Roman"/>
          <w:sz w:val="20"/>
          <w:szCs w:val="20"/>
          <w:color w:val="auto"/>
        </w:rPr>
        <w:t>. The Colleague’s participation in the Plan is voluntary.</w:t>
      </w:r>
    </w:p>
    <w:p>
      <w:pPr>
        <w:spacing w:after="0" w:line="215" w:lineRule="exact"/>
        <w:rPr>
          <w:rFonts w:ascii="Times New Roman" w:cs="Times New Roman" w:eastAsia="Times New Roman" w:hAnsi="Times New Roman"/>
          <w:sz w:val="20"/>
          <w:szCs w:val="20"/>
          <w:color w:val="auto"/>
        </w:rPr>
      </w:pPr>
    </w:p>
    <w:p>
      <w:pPr>
        <w:jc w:val="both"/>
        <w:ind w:right="20" w:firstLine="757"/>
        <w:spacing w:after="0" w:line="250"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 Part of Salary</w:t>
      </w:r>
      <w:r>
        <w:rPr>
          <w:rFonts w:ascii="Times New Roman" w:cs="Times New Roman" w:eastAsia="Times New Roman" w:hAnsi="Times New Roman"/>
          <w:sz w:val="20"/>
          <w:szCs w:val="20"/>
          <w:color w:val="auto"/>
        </w:rPr>
        <w:t>. The RSUs and any Shares acquired under the Plan, and the income and the value of same, are (i)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intended to replace any pension rights or compensation under any pension arrangement, and (ii)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7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Services as a Director. </w:t>
      </w:r>
      <w:r>
        <w:rPr>
          <w:rFonts w:ascii="Times New Roman" w:cs="Times New Roman" w:eastAsia="Times New Roman" w:hAnsi="Times New Roman"/>
          <w:sz w:val="20"/>
          <w:szCs w:val="20"/>
          <w:color w:val="auto"/>
        </w:rPr>
        <w:t>Unless otherwise agreed with the Company, the RSUs and the Shares subject to the RSUs,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and value of same, are not granted as consideration for, or in connection with, services the Colleague may provide as a director of any Subsidiary or affiliate.</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Uncertain Value</w:t>
      </w:r>
      <w:r>
        <w:rPr>
          <w:rFonts w:ascii="Times New Roman" w:cs="Times New Roman" w:eastAsia="Times New Roman" w:hAnsi="Times New Roman"/>
          <w:sz w:val="19"/>
          <w:szCs w:val="19"/>
          <w:color w:val="auto"/>
        </w:rPr>
        <w:t>. The future value of the Shares underlying the RSUs is unknown, indeterminable, and cannot be predicted with</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certainty.</w:t>
      </w:r>
    </w:p>
    <w:p>
      <w:pPr>
        <w:spacing w:after="0" w:line="189" w:lineRule="exact"/>
        <w:rPr>
          <w:rFonts w:ascii="Times New Roman" w:cs="Times New Roman" w:eastAsia="Times New Roman" w:hAnsi="Times New Roman"/>
          <w:sz w:val="19"/>
          <w:szCs w:val="19"/>
          <w:color w:val="auto"/>
        </w:rPr>
      </w:pPr>
    </w:p>
    <w:p>
      <w:pPr>
        <w:jc w:val="both"/>
        <w:ind w:firstLine="757"/>
        <w:spacing w:after="0" w:line="245"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Entitlements</w:t>
      </w:r>
      <w:r>
        <w:rPr>
          <w:rFonts w:ascii="Times New Roman" w:cs="Times New Roman" w:eastAsia="Times New Roman" w:hAnsi="Times New Roman"/>
          <w:sz w:val="20"/>
          <w:szCs w:val="20"/>
          <w:color w:val="auto"/>
        </w:rPr>
        <w:t>. No claim or entitlement to compensation or damages shall arise from forfeiture of the RSUs or the underlying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resulting from (i) the application of the clawback provisions of Section 3.3 hereof, or (ii) the Colleague’s termination of Service (for any reason whatsoever, whether or not later found to be invalid or in breach of employment laws in the jurisdiction where the Colleague is employed or the terms of their employment agreement, if any). Further, 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 No Advice Regarding Grant. The Company, its Subsidiaries and Designated Associate Companies are not providing any tax, legal or financial advice, nor is the Company making any recommendations regarding the Colleague’s participation in the Plan, the issuance of Shares upon vesting of the RSUs or sale of the Shares. The Colleague should consult with their own personal tax, legal and financial advisors regarding their participation in the Plan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-471170</wp:posOffset>
            </wp:positionV>
            <wp:extent cx="147701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77010" cy="8255"/>
                    </a:xfrm>
                    <a:prstGeom prst="rect">
                      <a:avLst/>
                    </a:prstGeom>
                    <a:noFill/>
                  </pic:spPr>
                </pic:pic>
              </a:graphicData>
            </a:graphic>
          </wp:anchor>
        </w:drawing>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Limitation on Obligations</w:t>
      </w:r>
      <w:r>
        <w:rPr>
          <w:rFonts w:ascii="Times New Roman" w:cs="Times New Roman" w:eastAsia="Times New Roman" w:hAnsi="Times New Roman"/>
          <w:sz w:val="20"/>
          <w:szCs w:val="20"/>
          <w:color w:val="auto"/>
        </w:rPr>
        <w:t>. 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0" w:name="page81"/>
    <w:bookmarkEnd w:id="80"/>
    <w:p>
      <w:pPr>
        <w:jc w:val="both"/>
        <w:spacing w:after="0" w:line="269" w:lineRule="auto"/>
        <w:rPr>
          <w:sz w:val="20"/>
          <w:szCs w:val="20"/>
          <w:color w:val="auto"/>
        </w:rPr>
      </w:pPr>
      <w:r>
        <w:rPr>
          <w:rFonts w:ascii="Times New Roman" w:cs="Times New Roman" w:eastAsia="Times New Roman" w:hAnsi="Times New Roman"/>
          <w:sz w:val="20"/>
          <w:szCs w:val="20"/>
          <w:color w:val="auto"/>
        </w:rPr>
        <w:t>nor shall any assets of the Company or any of its Subsidiaries or Designated Associate Companies be designated as attributable or allocated to the satisfaction of the Company’s obligations under this Agreement.</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The Company is located at 51 Lime Street, London, EC3M 7DQ, England and Wales and grants employees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B to this Agreement.</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RSUs. In its absolute discretion, the Committee may at any time and from time to time exercise any and all rights and duties of the Committee under the Plan and this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RSUs Not Transferable; Fractional Share Interests Not Transferable to other Broker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6"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Fractional Share Interest issued hereunder shall remain in the Colleague’s account at the Company’s broker until the disposition of the Fractional Share Interest and shall not become transferrable to another broker until any Fractional Share Interests issued to a Colleague aggregate to a whole Share.</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The provisions of this Agreement shall be binding upon and accrue to the benefit of the parties hereto and their respective heirs, legal representatives, successors and assigns.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Employment or Service Rights</w:t>
      </w:r>
      <w:r>
        <w:rPr>
          <w:rFonts w:ascii="Times New Roman" w:cs="Times New Roman" w:eastAsia="Times New Roman" w:hAnsi="Times New Roman"/>
          <w:sz w:val="20"/>
          <w:szCs w:val="20"/>
          <w:color w:val="auto"/>
        </w:rPr>
        <w:t>. 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General Counsel of the Company at the Company’s principal office, and any notice to be given to the Colleague shall be addressed to the Colleague at the Colleague’s last address reflected on the Company’s records. By a notice given pursuant to this Section 4.9,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comparable non-U.S. postal service.</w:t>
      </w:r>
    </w:p>
    <w:p>
      <w:pPr>
        <w:spacing w:after="0" w:line="18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Applicability of Plan</w:t>
      </w:r>
      <w:r>
        <w:rPr>
          <w:rFonts w:ascii="Times New Roman" w:cs="Times New Roman" w:eastAsia="Times New Roman" w:hAnsi="Times New Roman"/>
          <w:sz w:val="20"/>
          <w:szCs w:val="20"/>
          <w:color w:val="auto"/>
        </w:rPr>
        <w:t>. 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Ireland without regard to its conflicts of law provisions; provided, however, that the RCA shall be governed by and construed in accordance with the laws specified in that agreement without regard to conflicts of law provisions.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Choice of Language</w:t>
      </w:r>
      <w:r>
        <w:rPr>
          <w:rFonts w:ascii="Times New Roman" w:cs="Times New Roman" w:eastAsia="Times New Roman" w:hAnsi="Times New Roman"/>
          <w:sz w:val="20"/>
          <w:szCs w:val="20"/>
          <w:color w:val="auto"/>
        </w:rPr>
        <w:t>. 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4.20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RSUs and the Shares acquired upon vesting of the RSUs, to the extent the Company determines it is necessary or advisable for legal or administrative reasons, and to require the Colleague to sign any additional agreements or undertakings that may be necessary to accomplish the foregoing.</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4.21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Insider Trading / Market Abuse Laws</w:t>
      </w:r>
      <w:r>
        <w:rPr>
          <w:rFonts w:ascii="Times New Roman" w:cs="Times New Roman" w:eastAsia="Times New Roman" w:hAnsi="Times New Roman"/>
          <w:sz w:val="20"/>
          <w:szCs w:val="20"/>
          <w:color w:val="auto"/>
        </w:rPr>
        <w:t>. 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including, for the avoidance of doubt, the Company’s Insider Trading Policy, as may be in effect from time 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2" w:name="page83"/>
    <w:bookmarkEnd w:id="82"/>
    <w:p>
      <w:pPr>
        <w:jc w:val="both"/>
        <w:spacing w:after="0" w:line="269" w:lineRule="auto"/>
        <w:rPr>
          <w:sz w:val="20"/>
          <w:szCs w:val="20"/>
          <w:color w:val="auto"/>
        </w:rPr>
      </w:pPr>
      <w:r>
        <w:rPr>
          <w:rFonts w:ascii="Times New Roman" w:cs="Times New Roman" w:eastAsia="Times New Roman" w:hAnsi="Times New Roman"/>
          <w:sz w:val="20"/>
          <w:szCs w:val="20"/>
          <w:color w:val="auto"/>
        </w:rPr>
        <w:t>time.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4.22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Foreign Asset/Account Reporting Requirements and Exchange Controls</w:t>
      </w:r>
      <w:r>
        <w:rPr>
          <w:rFonts w:ascii="Times New Roman" w:cs="Times New Roman" w:eastAsia="Times New Roman" w:hAnsi="Times New Roman"/>
          <w:sz w:val="20"/>
          <w:szCs w:val="20"/>
          <w:color w:val="auto"/>
        </w:rPr>
        <w:t>. 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4.23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Currency Exchange Risk</w:t>
      </w:r>
      <w:r>
        <w:rPr>
          <w:rFonts w:ascii="Times New Roman" w:cs="Times New Roman" w:eastAsia="Times New Roman" w:hAnsi="Times New Roman"/>
          <w:sz w:val="20"/>
          <w:szCs w:val="20"/>
          <w:color w:val="auto"/>
        </w:rPr>
        <w:t>.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4.25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deemed to be an original and all of which together shall constitute one and the same instrument.</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4.26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For purposes of United States taxpayers, it is intended that the terms of the 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RSUs that are intended to be exempt from, or compliant with, Section 409A of the Code are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APPENDIX TO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Restricted Share Units)</w:t>
      </w:r>
    </w:p>
    <w:p>
      <w:pPr>
        <w:spacing w:after="0" w:line="190" w:lineRule="exact"/>
        <w:rPr>
          <w:sz w:val="20"/>
          <w:szCs w:val="20"/>
          <w:color w:val="auto"/>
        </w:rPr>
      </w:pPr>
    </w:p>
    <w:p>
      <w:pPr>
        <w:ind w:left="2620" w:right="2620" w:firstLine="286"/>
        <w:spacing w:after="0" w:line="300" w:lineRule="auto"/>
        <w:rPr>
          <w:sz w:val="20"/>
          <w:szCs w:val="20"/>
          <w:color w:val="auto"/>
        </w:rPr>
      </w:pPr>
      <w:r>
        <w:rPr>
          <w:rFonts w:ascii="Times New Roman" w:cs="Times New Roman" w:eastAsia="Times New Roman" w:hAnsi="Times New Roman"/>
          <w:sz w:val="19"/>
          <w:szCs w:val="19"/>
          <w:b w:val="1"/>
          <w:bCs w:val="1"/>
          <w:color w:val="auto"/>
        </w:rPr>
        <w:t>WILLIS TOWERS WATSON PUBLIC LIMITED COMPANY 2012 EQUITY INCENTIVE PLAN, AS AMENDED AND RESTATED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Agreement or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Schedule A includes additional terms and conditions that govern the Time-Based Restricted Share Unit Award granted to the Colleague under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applicable time-based Restricted Share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if the Colleague resides in one of the countries listed below. This Schedule A forms part of the Agreement. Capitalized terms used but not defined herein shall have the meanings ascribed to them in the Agreement or the Plan.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Section 1.13 and Section 2.5(b) of the Agreement, if the Company receives a legal opinion that there has been a legal judgment and/or legal development in the Colleague’s jurisdiction that likely would result in the favorable treatment that applies to the RSUs as a result of the Colleague’s retirement or reaching a certain age being unlawful and/or discriminatory, the favorable treatment contemplated under Section 1.13 and Section 2.5(b) shall not apply and Section 2.5 shall apply to the Colleague without giving effect to Section 2.5(b).</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Schedule A also includes information based on the securities, exchange control and other laws in effect in the Colleague’s country as of March 2026.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20"/>
          <w:szCs w:val="20"/>
          <w:i w:val="1"/>
          <w:iCs w:val="1"/>
          <w:color w:val="auto"/>
        </w:rPr>
        <w:t>Accordingly, the Colleague should seek appropriate professional advice as to how the tax or other laws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Colleague’s country apply to the Colleague’s situation.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This provision supplements Section 2.6(a) of the Agreement:</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RSUs do not provide any right for the Colleague to receive a cash payment and the RSUs will be settled in Shares only.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Director Reporting Obligation</w:t>
      </w:r>
      <w:r>
        <w:rPr>
          <w:rFonts w:ascii="Times New Roman" w:cs="Times New Roman" w:eastAsia="Times New Roman" w:hAnsi="Times New Roman"/>
          <w:sz w:val="20"/>
          <w:szCs w:val="20"/>
          <w:color w:val="auto"/>
        </w:rPr>
        <w:t>. If the Colleague is a director, shadow director (described below)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RSU Payment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This provision supplements Section 2.6(a) of the Agreement:</w:t>
      </w:r>
    </w:p>
    <w:p>
      <w:pPr>
        <w:spacing w:after="0" w:line="21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RSUs do not provide any right for the Colleague to receive a cash payment and the RSUs will be settled in Shares only.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following provisions supplement Section 2.8 of the Agreement: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Without limitation to Section 2.8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2.8 of the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 OF AMERICA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Under the Foreign Account Tax Compliance Act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United States taxpayers who hold Shares or rights to acquire Shares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85" w:name="page86"/>
    <w:bookmarkEnd w:id="85"/>
    <w:p>
      <w:pPr>
        <w:ind w:left="94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b w:val="1"/>
          <w:bCs w:val="1"/>
          <w:color w:val="6F2F9F"/>
        </w:rPr>
        <w:t>Willis Towers Watson</w:t>
      </w:r>
    </w:p>
    <w:p>
      <w:pPr>
        <w:spacing w:after="0" w:line="2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0"/>
          <w:szCs w:val="20"/>
          <w:b w:val="1"/>
          <w:bCs w:val="1"/>
          <w:color w:val="6F2F9F"/>
        </w:rPr>
        <w:t>Global Employee Personal Information Protection Notice</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Last Updated</w:t>
      </w:r>
      <w:r>
        <w:rPr>
          <w:rFonts w:ascii="Times New Roman" w:cs="Times New Roman" w:eastAsia="Times New Roman" w:hAnsi="Times New Roman"/>
          <w:sz w:val="20"/>
          <w:szCs w:val="20"/>
          <w:b w:val="1"/>
          <w:bCs w:val="1"/>
          <w:color w:val="auto"/>
        </w:rPr>
        <w:t>: December 2025</w:t>
      </w:r>
    </w:p>
    <w:p>
      <w:pPr>
        <w:spacing w:after="0" w:line="216" w:lineRule="exact"/>
        <w:rPr>
          <w:sz w:val="20"/>
          <w:szCs w:val="20"/>
          <w:color w:val="auto"/>
        </w:rPr>
      </w:pPr>
    </w:p>
    <w:p>
      <w:pPr>
        <w:ind w:left="740" w:hanging="732"/>
        <w:spacing w:after="0"/>
        <w:tabs>
          <w:tab w:leader="none" w:pos="740" w:val="left"/>
        </w:tabs>
        <w:numPr>
          <w:ilvl w:val="0"/>
          <w:numId w:val="7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Introduction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Willis Towers Watson operates as a global business through its affiliated entities (together “</w:t>
      </w:r>
      <w:r>
        <w:rPr>
          <w:rFonts w:ascii="Times New Roman" w:cs="Times New Roman" w:eastAsia="Times New Roman" w:hAnsi="Times New Roman"/>
          <w:sz w:val="20"/>
          <w:szCs w:val="20"/>
          <w:b w:val="1"/>
          <w:bCs w:val="1"/>
          <w:color w:val="auto"/>
        </w:rPr>
        <w:t>the Willis Towers Watson Group</w:t>
      </w:r>
      <w:r>
        <w:rPr>
          <w:rFonts w:ascii="Times New Roman" w:cs="Times New Roman" w:eastAsia="Times New Roman" w:hAnsi="Times New Roman"/>
          <w:sz w:val="20"/>
          <w:szCs w:val="20"/>
          <w:color w:val="auto"/>
        </w:rPr>
        <w:t>”, “WTW”).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WTW values the trust of its employees worldwide and is committed to protecting their personal information.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WTW operates in many different countries. Some of these countries have laws related to the collection, use, transfer and disclosure of the personal information of individuals, including our employees. The purpose of this Global Employee Personal Information Protection Notice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is to give you information about what personal information WTW collects, uses, transfers and discloses, and why.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WTW entity is responsible for collecting and processing your personal data is the entity that employs you. WTW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81" w:lineRule="exact"/>
        <w:rPr>
          <w:sz w:val="20"/>
          <w:szCs w:val="20"/>
          <w:color w:val="auto"/>
        </w:rPr>
      </w:pPr>
    </w:p>
    <w:p>
      <w:pPr>
        <w:ind w:left="740" w:hanging="732"/>
        <w:spacing w:after="0"/>
        <w:tabs>
          <w:tab w:leader="none" w:pos="740" w:val="left"/>
        </w:tabs>
        <w:numPr>
          <w:ilvl w:val="0"/>
          <w:numId w:val="7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What Personal Information about you that we collect, and how we collect Your Personal Information</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course of your employment, we may have collected or will collect information about you and your working relationship with us, your spouse, domestic/civil partner and/or dependents (“</w:t>
      </w:r>
      <w:r>
        <w:rPr>
          <w:rFonts w:ascii="Times New Roman" w:cs="Times New Roman" w:eastAsia="Times New Roman" w:hAnsi="Times New Roman"/>
          <w:sz w:val="20"/>
          <w:szCs w:val="20"/>
          <w:b w:val="1"/>
          <w:bCs w:val="1"/>
          <w:color w:val="auto"/>
        </w:rPr>
        <w:t>Dependents</w:t>
      </w:r>
      <w:r>
        <w:rPr>
          <w:rFonts w:ascii="Times New Roman" w:cs="Times New Roman" w:eastAsia="Times New Roman" w:hAnsi="Times New Roman"/>
          <w:sz w:val="20"/>
          <w:szCs w:val="20"/>
          <w:color w:val="auto"/>
        </w:rPr>
        <w:t>”).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WTW intranet site may provide additional details or information.</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2E2C30"/>
        </w:rPr>
        <w:t xml:space="preserve">We may also collect additional Personal Information in operating our business and interacting with individuals in the course of our business, including employment. This may at times include “sensitive" information (otherwise known as “special categories of personal information” under the </w:t>
      </w:r>
      <w:r>
        <w:rPr>
          <w:rFonts w:ascii="Times New Roman" w:cs="Times New Roman" w:eastAsia="Times New Roman" w:hAnsi="Times New Roman"/>
          <w:sz w:val="19"/>
          <w:szCs w:val="19"/>
          <w:color w:val="000000"/>
        </w:rPr>
        <w:t>General Data Protection Regulation (“</w:t>
      </w:r>
      <w:r>
        <w:rPr>
          <w:rFonts w:ascii="Times New Roman" w:cs="Times New Roman" w:eastAsia="Times New Roman" w:hAnsi="Times New Roman"/>
          <w:sz w:val="19"/>
          <w:szCs w:val="19"/>
          <w:b w:val="1"/>
          <w:bCs w:val="1"/>
          <w:color w:val="2E2C30"/>
        </w:rPr>
        <w:t>GDPR</w:t>
      </w:r>
      <w:r>
        <w:rPr>
          <w:rFonts w:ascii="Times New Roman" w:cs="Times New Roman" w:eastAsia="Times New Roman" w:hAnsi="Times New Roman"/>
          <w:sz w:val="19"/>
          <w:szCs w:val="19"/>
          <w:color w:val="2E2C30"/>
        </w:rPr>
        <w:t>”), “sensitive data” under t</w:t>
      </w:r>
      <w:r>
        <w:rPr>
          <w:rFonts w:ascii="Times New Roman" w:cs="Times New Roman" w:eastAsia="Times New Roman" w:hAnsi="Times New Roman"/>
          <w:sz w:val="19"/>
          <w:szCs w:val="19"/>
          <w:color w:val="000000"/>
        </w:rPr>
        <w:t>he Saudi Arabian Personal Data Protection Law (“</w:t>
      </w:r>
      <w:r>
        <w:rPr>
          <w:rFonts w:ascii="Times New Roman" w:cs="Times New Roman" w:eastAsia="Times New Roman" w:hAnsi="Times New Roman"/>
          <w:sz w:val="19"/>
          <w:szCs w:val="19"/>
          <w:b w:val="1"/>
          <w:bCs w:val="1"/>
          <w:color w:val="000000"/>
        </w:rPr>
        <w:t>PDPL</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2E2C30"/>
        </w:rPr>
        <w:t>, “sensitive personal data” under the Cayman Islands Data Protection Law (“</w:t>
      </w:r>
      <w:r>
        <w:rPr>
          <w:rFonts w:ascii="Times New Roman" w:cs="Times New Roman" w:eastAsia="Times New Roman" w:hAnsi="Times New Roman"/>
          <w:sz w:val="19"/>
          <w:szCs w:val="19"/>
          <w:b w:val="1"/>
          <w:bCs w:val="1"/>
          <w:color w:val="2E2C30"/>
        </w:rPr>
        <w:t>DPL</w:t>
      </w:r>
      <w:r>
        <w:rPr>
          <w:rFonts w:ascii="Times New Roman" w:cs="Times New Roman" w:eastAsia="Times New Roman" w:hAnsi="Times New Roman"/>
          <w:sz w:val="19"/>
          <w:szCs w:val="19"/>
          <w:color w:val="2E2C30"/>
        </w:rPr>
        <w:t>”), or “sensitive personal information” under the California Consumer Privacy Act (“</w:t>
      </w:r>
      <w:r>
        <w:rPr>
          <w:rFonts w:ascii="Times New Roman" w:cs="Times New Roman" w:eastAsia="Times New Roman" w:hAnsi="Times New Roman"/>
          <w:sz w:val="19"/>
          <w:szCs w:val="19"/>
          <w:b w:val="1"/>
          <w:bCs w:val="1"/>
          <w:color w:val="2E2C30"/>
        </w:rPr>
        <w:t>CCPA</w:t>
      </w:r>
      <w:r>
        <w:rPr>
          <w:rFonts w:ascii="Times New Roman" w:cs="Times New Roman" w:eastAsia="Times New Roman" w:hAnsi="Times New Roman"/>
          <w:sz w:val="19"/>
          <w:szCs w:val="19"/>
          <w:color w:val="2E2C30"/>
        </w:rPr>
        <w:t>”) and Bermuda’s Personal Information Protection Act 2016 (“</w:t>
      </w:r>
      <w:r>
        <w:rPr>
          <w:rFonts w:ascii="Times New Roman" w:cs="Times New Roman" w:eastAsia="Times New Roman" w:hAnsi="Times New Roman"/>
          <w:sz w:val="19"/>
          <w:szCs w:val="19"/>
          <w:b w:val="1"/>
          <w:bCs w:val="1"/>
          <w:color w:val="2E2C30"/>
        </w:rPr>
        <w:t>PIPA</w:t>
      </w:r>
      <w:r>
        <w:rPr>
          <w:rFonts w:ascii="Times New Roman" w:cs="Times New Roman" w:eastAsia="Times New Roman" w:hAnsi="Times New Roman"/>
          <w:sz w:val="19"/>
          <w:szCs w:val="19"/>
          <w:color w:val="2E2C30"/>
        </w:rPr>
        <w:t>”)), the Brazilian General Data Protection Law (“</w:t>
      </w:r>
      <w:r>
        <w:rPr>
          <w:rFonts w:ascii="Times New Roman" w:cs="Times New Roman" w:eastAsia="Times New Roman" w:hAnsi="Times New Roman"/>
          <w:sz w:val="19"/>
          <w:szCs w:val="19"/>
          <w:b w:val="1"/>
          <w:bCs w:val="1"/>
          <w:color w:val="2E2C30"/>
        </w:rPr>
        <w:t>LGPD</w:t>
      </w:r>
      <w:r>
        <w:rPr>
          <w:rFonts w:ascii="Times New Roman" w:cs="Times New Roman" w:eastAsia="Times New Roman" w:hAnsi="Times New Roman"/>
          <w:sz w:val="19"/>
          <w:szCs w:val="19"/>
          <w:color w:val="2E2C30"/>
        </w:rPr>
        <w:t>”), and other data privacy laws as may be applicable, such as data about your ethnic origin; religious beliefs; health records or criminal conviction data; physical or mental health or condition; medical data; commission, or alleged commission of an offense; any proceedings for an offense committed, or alleged to have been committed. Where required by law, we will provide specific data processing information to you regarding how we may process that data and what rights you may have regarding such processing.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E2C30"/>
        </w:rPr>
        <w:t>For the United Kingdom only: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E2C30"/>
        </w:rPr>
        <w:t>Please see Annex 4 to this Notice for our Policy on the processing of Special Categories of Personal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6F2F9F"/>
        </w:rPr>
        <w:t>Sources of Personal Information</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collect certain Personal Information about you from other sources, including:</w:t>
      </w:r>
    </w:p>
    <w:p>
      <w:pPr>
        <w:spacing w:after="0" w:line="216" w:lineRule="exact"/>
        <w:rPr>
          <w:sz w:val="20"/>
          <w:szCs w:val="20"/>
          <w:color w:val="auto"/>
        </w:rPr>
      </w:pPr>
    </w:p>
    <w:p>
      <w:pPr>
        <w:ind w:left="1480" w:hanging="739"/>
        <w:spacing w:after="0" w:line="269" w:lineRule="auto"/>
        <w:tabs>
          <w:tab w:leader="none" w:pos="14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background check information from employment screening agencies or publicly available registers (as allowed by law), or references obtained during recruitment;</w:t>
      </w:r>
    </w:p>
    <w:p>
      <w:pPr>
        <w:spacing w:after="0" w:line="159"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professional profiles on websites or social media (e.g. LinkedIn); and</w:t>
      </w:r>
    </w:p>
    <w:p>
      <w:pPr>
        <w:spacing w:after="0" w:line="215" w:lineRule="exact"/>
        <w:rPr>
          <w:rFonts w:ascii="Times New Roman" w:cs="Times New Roman" w:eastAsia="Times New Roman" w:hAnsi="Times New Roman"/>
          <w:sz w:val="20"/>
          <w:szCs w:val="20"/>
          <w:color w:val="auto"/>
        </w:rPr>
      </w:pPr>
    </w:p>
    <w:p>
      <w:pPr>
        <w:ind w:left="1480" w:hanging="739"/>
        <w:spacing w:after="0" w:line="269" w:lineRule="auto"/>
        <w:tabs>
          <w:tab w:leader="none" w:pos="148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performance or conduct from other employees, clients, or service providers you work with who may provide feedback about you or participate in performance evaluations or reviews.</w:t>
      </w:r>
    </w:p>
    <w:p>
      <w:pPr>
        <w:spacing w:after="0" w:line="155" w:lineRule="exact"/>
        <w:rPr>
          <w:sz w:val="20"/>
          <w:szCs w:val="20"/>
          <w:color w:val="auto"/>
        </w:rPr>
      </w:pPr>
    </w:p>
    <w:p>
      <w:pPr>
        <w:ind w:left="740" w:hanging="732"/>
        <w:spacing w:after="0"/>
        <w:tabs>
          <w:tab w:leader="none" w:pos="740" w:val="left"/>
        </w:tabs>
        <w:numPr>
          <w:ilvl w:val="0"/>
          <w:numId w:val="8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The Legal Bases and purposes for which we use, transfer, and disclose Your Personal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UK and EU data protection laws and other laws around the world, for example the PDPL and the DPA and PIPA require that we only process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 Information subject to one or more valid legal bases. In such cases our legal basis will be one of the following:</w:t>
      </w:r>
    </w:p>
    <w:p>
      <w:pPr>
        <w:spacing w:after="0" w:line="194" w:lineRule="exact"/>
        <w:rPr>
          <w:sz w:val="20"/>
          <w:szCs w:val="20"/>
          <w:color w:val="auto"/>
        </w:rPr>
      </w:pPr>
    </w:p>
    <w:p>
      <w:pPr>
        <w:ind w:left="1480" w:hanging="739"/>
        <w:spacing w:after="0"/>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215"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obtaining proof of your identity to enable us to meet our anti-money laundering obligations, or obtaining proof of your right to work status to enable us to meet relevant obligations;</w:t>
      </w:r>
    </w:p>
    <w:p>
      <w:pPr>
        <w:spacing w:after="0" w:line="159" w:lineRule="exact"/>
        <w:rPr>
          <w:rFonts w:ascii="Times New Roman" w:cs="Times New Roman" w:eastAsia="Times New Roman" w:hAnsi="Times New Roman"/>
          <w:sz w:val="20"/>
          <w:szCs w:val="20"/>
          <w:color w:val="auto"/>
        </w:rPr>
      </w:pPr>
    </w:p>
    <w:p>
      <w:pPr>
        <w:ind w:left="1480" w:right="20" w:hanging="739"/>
        <w:spacing w:after="0" w:line="269" w:lineRule="auto"/>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to you, for example health and safety obligations that we must comply with as your employer or to a third party (e.g. the taxation authorities);</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185" w:lineRule="exact"/>
        <w:rPr>
          <w:sz w:val="20"/>
          <w:szCs w:val="20"/>
          <w:color w:val="auto"/>
        </w:rPr>
      </w:pPr>
    </w:p>
    <w:p>
      <w:pPr>
        <w:ind w:left="1480" w:hanging="739"/>
        <w:spacing w:after="0" w:line="269" w:lineRule="auto"/>
        <w:tabs>
          <w:tab w:leader="none" w:pos="14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reasonable person would view that you would not reasonably be expected to request that we cease or not begin to use your personal information and that our use will not prejudice your individual rights;</w:t>
      </w:r>
    </w:p>
    <w:p>
      <w:pPr>
        <w:spacing w:after="0" w:line="159"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vital interests, for example by providing your health information to a doctor in a medical emergency;</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20"/>
          <w:szCs w:val="20"/>
          <w:i w:val="1"/>
          <w:iCs w:val="1"/>
          <w:color w:val="auto"/>
        </w:rPr>
        <w:t>see DPA</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Personal Information is publicly available information and will be used for a purpose that is consistent with the purpose of its public availability </w:t>
      </w:r>
      <w:r>
        <w:rPr>
          <w:rFonts w:ascii="Times New Roman" w:cs="Times New Roman" w:eastAsia="Times New Roman" w:hAnsi="Times New Roman"/>
          <w:sz w:val="20"/>
          <w:szCs w:val="20"/>
          <w:i w:val="1"/>
          <w:iCs w:val="1"/>
          <w:color w:val="auto"/>
        </w:rPr>
        <w:t>(See PIPA);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87" w:name="page88"/>
    <w:bookmarkEnd w:id="87"/>
    <w:p>
      <w:pPr>
        <w:ind w:left="1480" w:right="20" w:hanging="739"/>
        <w:spacing w:after="0" w:line="269" w:lineRule="auto"/>
        <w:tabs>
          <w:tab w:leader="none" w:pos="148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the Personal Information is necessary in the context of an individual’s present, or past employment relationship with WTW; or</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privacy@wtwco.com.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purposes for which we use your Personal Information are explained in more detail in Annex 1 to this Notice.</w:t>
      </w:r>
    </w:p>
    <w:p>
      <w:pPr>
        <w:spacing w:after="0" w:line="212" w:lineRule="exact"/>
        <w:rPr>
          <w:sz w:val="20"/>
          <w:szCs w:val="20"/>
          <w:color w:val="auto"/>
        </w:rPr>
      </w:pPr>
    </w:p>
    <w:p>
      <w:pPr>
        <w:ind w:left="740" w:hanging="732"/>
        <w:spacing w:after="0"/>
        <w:tabs>
          <w:tab w:leader="none" w:pos="740" w:val="left"/>
        </w:tabs>
        <w:numPr>
          <w:ilvl w:val="0"/>
          <w:numId w:val="8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Monitoring tools, profiling and automated decision-making</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privacy@wtwco.com. Subject to restrictions under local 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Although we may use this type of technology to assist our decision-making, where required by law, we do not make important decisions about employees (e.g. as to their compensation, dismissal or promotion) without a member of management and/or the HR team assessing all the circumstances. Where biometric login is used by you on company devices such as laptops or mobile devices, your data is stored only on the device and cannot be accessed by WTW.</w:t>
      </w:r>
    </w:p>
    <w:p>
      <w:pPr>
        <w:spacing w:after="0" w:line="186" w:lineRule="exact"/>
        <w:rPr>
          <w:sz w:val="20"/>
          <w:szCs w:val="20"/>
          <w:color w:val="auto"/>
        </w:rPr>
      </w:pPr>
    </w:p>
    <w:p>
      <w:pPr>
        <w:ind w:left="740" w:hanging="732"/>
        <w:spacing w:after="0"/>
        <w:tabs>
          <w:tab w:leader="none" w:pos="740" w:val="left"/>
        </w:tabs>
        <w:numPr>
          <w:ilvl w:val="0"/>
          <w:numId w:val="86"/>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Use of Artificial Intelligence (AI) Technologies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deploy artificial intelligence (AI) tools within our internal systems to support various aspects of the employment lifecycle, including recruitment, talent management, performance analysis, and operational efficiency. These tools are used solely within our controlled environment and in accordance with applicable data protection laws and regulations, including the GDPR, the CCPA, and other relevant global privacy frameworks.</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AI tools may assist in processing information to identify patterns, generate insights, or support processes. However, no personal data is used to train, fine-tune, or improve any AI models. Where personal data is processed by AI tools, it is done so in a manner that is consistent with the principles of the responsible and ethical use of AI and any applicable AI regulation.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Importantly, all decisions that may affect employees (such as hiring, promotion, or disciplinary actions) are subject to human review and oversight. Final decisions and determinations are made exclusively by authorized human personnel. We do not rely solely on automated decision-making processes that produce legal or similarly significant effects without meaningful human involvement.</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maintain appropriate technical and organizational safeguards to ensure the responsible use of AI and compliance with applicable legal and ethical standards.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have any questions regarding our use of AI technologies with respect to WTW applicants or employees, please submit a ServiceCentral ticket.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8" w:name="page89"/>
    <w:bookmarkEnd w:id="88"/>
    <w:p>
      <w:pPr>
        <w:ind w:left="740" w:hanging="732"/>
        <w:spacing w:after="0"/>
        <w:tabs>
          <w:tab w:leader="none" w:pos="740" w:val="left"/>
        </w:tabs>
        <w:numPr>
          <w:ilvl w:val="0"/>
          <w:numId w:val="87"/>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Transfer of Personal Information</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Due to the global nature of WTW operations, we may disclose Personal Information to personnel and departments in other entities which are part of WTW to fulfil the purposes described in this Notice. This may include transferring Personal Information to other countries (including countries other than where you are based that have a different data protection regime than is found in the country where you are based). Where we use IT applications in the collection of Personal Information, it may be transferred and hosted in offshore servers or hosting locations as and when it is entered into such IT applications.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Philippines or other countries. If you are located in the Kingdom of Saudi Arabia, this may include the UK, United States and India. If you are located in Bermuda, this may include Canada, United States, India, the European Union. Some of these countries are recognized by the European Commission or other regulators as providing an adequate level of protection (the full list of these countries deemed adequate in the EU, available here), while others are not. We have established safeguards to protect Personal Information that is transferred to other countries, including appropriate contractual protections such as standard contractual clauses published by applicable regulatory bodies. You may obtain more information about these measures and WTW's Global Privacy Program by contacting privacy@wtwco.com.</w:t>
      </w:r>
    </w:p>
    <w:p>
      <w:pPr>
        <w:spacing w:after="0" w:line="19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Access to Personal Information within WTW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All personnel within WTW will generally have access to your business contact information such as name, position, telephone number, postal address, email address and photograph.</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From time to time, we and other entities within WTW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WTW, and in compliance with applicable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we transfer or disclose your Personal Information, we will do so in accordance with applicable law.</w:t>
      </w:r>
    </w:p>
    <w:p>
      <w:pPr>
        <w:spacing w:after="0" w:line="212" w:lineRule="exact"/>
        <w:rPr>
          <w:sz w:val="20"/>
          <w:szCs w:val="20"/>
          <w:color w:val="auto"/>
        </w:rPr>
      </w:pPr>
    </w:p>
    <w:p>
      <w:pPr>
        <w:ind w:left="740" w:hanging="732"/>
        <w:spacing w:after="0"/>
        <w:tabs>
          <w:tab w:leader="none" w:pos="740" w:val="left"/>
        </w:tabs>
        <w:numPr>
          <w:ilvl w:val="0"/>
          <w:numId w:val="8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Security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WTW will use reasonable organizational, technical and administrative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70" w:lineRule="exact"/>
        <w:rPr>
          <w:sz w:val="20"/>
          <w:szCs w:val="20"/>
          <w:color w:val="auto"/>
        </w:rPr>
      </w:pPr>
    </w:p>
    <w:p>
      <w:pPr>
        <w:ind w:left="740" w:hanging="732"/>
        <w:spacing w:after="0"/>
        <w:tabs>
          <w:tab w:leader="none" w:pos="740" w:val="left"/>
        </w:tabs>
        <w:numPr>
          <w:ilvl w:val="0"/>
          <w:numId w:val="8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Data Processing, Retention and Destruction</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WTW uses various processing methods on the Personal Information it collects, including organization and structuring, storage, adaptation / alteration, consultation, use and disclosure.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will keep your Personal Information for as long as you remain employed by us, and for a period of 10 years thereafter subject to local law requirements.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89" w:name="page90"/>
    <w:bookmarkEnd w:id="89"/>
    <w:p>
      <w:pPr>
        <w:spacing w:after="0" w:line="269" w:lineRule="auto"/>
        <w:rPr>
          <w:sz w:val="20"/>
          <w:szCs w:val="20"/>
          <w:color w:val="auto"/>
        </w:rPr>
      </w:pPr>
      <w:r>
        <w:rPr>
          <w:rFonts w:ascii="Times New Roman" w:cs="Times New Roman" w:eastAsia="Times New Roman" w:hAnsi="Times New Roman"/>
          <w:sz w:val="20"/>
          <w:szCs w:val="20"/>
          <w:color w:val="auto"/>
        </w:rPr>
        <w:t>If there is any information that we are unable, for technical reasons, to delete entirely from our systems, we will put in place appropriate measures to prevent any further processing or use of the data.</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When we no longer require the use of your Personal Information, we may anonymize it as described in Annex 1, or we will securely destroy it.</w:t>
      </w:r>
    </w:p>
    <w:p>
      <w:pPr>
        <w:spacing w:after="0" w:line="155" w:lineRule="exact"/>
        <w:rPr>
          <w:sz w:val="20"/>
          <w:szCs w:val="20"/>
          <w:color w:val="auto"/>
        </w:rPr>
      </w:pPr>
    </w:p>
    <w:p>
      <w:pPr>
        <w:ind w:left="740" w:hanging="732"/>
        <w:spacing w:after="0"/>
        <w:tabs>
          <w:tab w:leader="none" w:pos="740" w:val="left"/>
        </w:tabs>
        <w:numPr>
          <w:ilvl w:val="0"/>
          <w:numId w:val="9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Access and correction requests, questions, and complaints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have certain rights regarding your Personal Information, subject to local law, which may include the right to request:</w:t>
      </w:r>
    </w:p>
    <w:p>
      <w:pPr>
        <w:spacing w:after="0" w:line="108" w:lineRule="exact"/>
        <w:rPr>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the information we hold about you;</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erase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use of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 to our use of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your Personal Information in a usable electronic format and transmit it to a third party (right to data portability);</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 your consent to any processing based on consent at any time;</w:t>
      </w:r>
    </w:p>
    <w:p>
      <w:pPr>
        <w:spacing w:after="0" w:line="107" w:lineRule="exact"/>
        <w:rPr>
          <w:rFonts w:ascii="Times New Roman" w:cs="Times New Roman" w:eastAsia="Times New Roman" w:hAnsi="Times New Roman"/>
          <w:sz w:val="20"/>
          <w:szCs w:val="20"/>
          <w:color w:val="auto"/>
        </w:rPr>
      </w:pPr>
    </w:p>
    <w:p>
      <w:pPr>
        <w:ind w:left="760" w:right="200" w:hanging="378"/>
        <w:spacing w:after="0" w:line="269" w:lineRule="auto"/>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lodge a complaint with your local data protection authority if you believe that we have not been able to assist with your complaint or concern (and the right to seek compensation);</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be informed about the collection and use of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stop direct marketing;</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restrict automated decision making; and</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access medical records (Only PIPA)</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have any questions about this Notice or if you would like to discuss or exercise your rights, please contact Human Resources or email privacy@wtwco.com who will make reasonable efforts to respond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-46355</wp:posOffset>
            </wp:positionV>
            <wp:extent cx="311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note, information on how to exercise your rights under Canada’s Personal Information Protection and Electronic Documents Act (PIPEDA), PIPA, and other laws such as CCPA and the Personal Information Protection Law of the People’s Republic of China (PIPL), are noted below under the Annexures of this policy.</w:t>
      </w:r>
    </w:p>
    <w:p>
      <w:pPr>
        <w:spacing w:after="0" w:line="170" w:lineRule="exact"/>
        <w:rPr>
          <w:sz w:val="20"/>
          <w:szCs w:val="20"/>
          <w:color w:val="auto"/>
        </w:rPr>
      </w:pPr>
    </w:p>
    <w:p>
      <w:pPr>
        <w:ind w:left="740" w:hanging="732"/>
        <w:spacing w:after="0"/>
        <w:tabs>
          <w:tab w:leader="none" w:pos="740" w:val="left"/>
        </w:tabs>
        <w:numPr>
          <w:ilvl w:val="0"/>
          <w:numId w:val="9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Employee’s Obligations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170" w:lineRule="exact"/>
        <w:rPr>
          <w:sz w:val="20"/>
          <w:szCs w:val="20"/>
          <w:color w:val="auto"/>
        </w:rPr>
      </w:pPr>
    </w:p>
    <w:p>
      <w:pPr>
        <w:ind w:left="740" w:hanging="732"/>
        <w:spacing w:after="0"/>
        <w:tabs>
          <w:tab w:leader="none" w:pos="740" w:val="left"/>
        </w:tabs>
        <w:numPr>
          <w:ilvl w:val="0"/>
          <w:numId w:val="93"/>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Changes to the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modify or update this Notice from time to time.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0" w:name="page91"/>
    <w:bookmarkEnd w:id="90"/>
    <w:p>
      <w:pPr>
        <w:jc w:val="both"/>
        <w:spacing w:after="0" w:line="254" w:lineRule="auto"/>
        <w:rPr>
          <w:sz w:val="20"/>
          <w:szCs w:val="20"/>
          <w:color w:val="auto"/>
        </w:rPr>
      </w:pPr>
      <w:r>
        <w:rPr>
          <w:rFonts w:ascii="Times New Roman" w:cs="Times New Roman" w:eastAsia="Times New Roman" w:hAnsi="Times New Roman"/>
          <w:sz w:val="20"/>
          <w:szCs w:val="20"/>
          <w:color w:val="auto"/>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spacing w:after="0" w:line="170" w:lineRule="exact"/>
        <w:rPr>
          <w:sz w:val="20"/>
          <w:szCs w:val="20"/>
          <w:color w:val="auto"/>
        </w:rPr>
      </w:pPr>
    </w:p>
    <w:p>
      <w:pPr>
        <w:ind w:left="740" w:hanging="732"/>
        <w:spacing w:after="0"/>
        <w:tabs>
          <w:tab w:leader="none" w:pos="740" w:val="left"/>
        </w:tabs>
        <w:numPr>
          <w:ilvl w:val="0"/>
          <w:numId w:val="94"/>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Privacy Officer and Contact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WTW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questions or comments about this Notice, please contact Human Resources or email privacy@wtwco.com.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some countries, there is a legal requirement to provide a named individual or privacy officer and their contact details. These are:</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420" w:type="dxa"/>
            <w:vAlign w:val="bottom"/>
            <w:tcBorders>
              <w:top w:val="single" w:sz="8" w:color="auto"/>
              <w:left w:val="single" w:sz="8" w:color="auto"/>
              <w:bottom w:val="single" w:sz="8" w:color="auto"/>
              <w:right w:val="single" w:sz="8" w:color="auto"/>
            </w:tcBorders>
            <w:shd w:val="clear" w:color="auto" w:fill="D9EDFF"/>
          </w:tcPr>
          <w:p>
            <w:pPr>
              <w:ind w:left="20"/>
              <w:spacing w:after="0"/>
              <w:rPr>
                <w:sz w:val="20"/>
                <w:szCs w:val="20"/>
                <w:color w:val="auto"/>
              </w:rPr>
            </w:pPr>
            <w:r>
              <w:rPr>
                <w:rFonts w:ascii="Times New Roman" w:cs="Times New Roman" w:eastAsia="Times New Roman" w:hAnsi="Times New Roman"/>
                <w:sz w:val="20"/>
                <w:szCs w:val="20"/>
                <w:color w:val="auto"/>
              </w:rPr>
              <w:t>Country</w:t>
            </w:r>
          </w:p>
        </w:tc>
        <w:tc>
          <w:tcPr>
            <w:tcW w:w="2800" w:type="dxa"/>
            <w:vAlign w:val="bottom"/>
            <w:tcBorders>
              <w:top w:val="single" w:sz="8" w:color="auto"/>
              <w:bottom w:val="single" w:sz="8" w:color="auto"/>
              <w:right w:val="single" w:sz="8" w:color="auto"/>
            </w:tcBorders>
            <w:shd w:val="clear" w:color="auto" w:fill="D9EDFF"/>
          </w:tcPr>
          <w:p>
            <w:pPr>
              <w:ind w:left="1140"/>
              <w:spacing w:after="0"/>
              <w:rPr>
                <w:sz w:val="20"/>
                <w:szCs w:val="20"/>
                <w:color w:val="auto"/>
              </w:rPr>
            </w:pPr>
            <w:r>
              <w:rPr>
                <w:rFonts w:ascii="Times New Roman" w:cs="Times New Roman" w:eastAsia="Times New Roman" w:hAnsi="Times New Roman"/>
                <w:sz w:val="20"/>
                <w:szCs w:val="20"/>
                <w:color w:val="auto"/>
              </w:rPr>
              <w:t>Name</w:t>
            </w:r>
          </w:p>
        </w:tc>
        <w:tc>
          <w:tcPr>
            <w:tcW w:w="7020" w:type="dxa"/>
            <w:vAlign w:val="bottom"/>
            <w:tcBorders>
              <w:top w:val="single" w:sz="8" w:color="auto"/>
              <w:bottom w:val="single" w:sz="8" w:color="auto"/>
              <w:right w:val="single" w:sz="8" w:color="auto"/>
            </w:tcBorders>
            <w:shd w:val="clear" w:color="auto" w:fill="D9EDFF"/>
          </w:tcPr>
          <w:p>
            <w:pPr>
              <w:ind w:left="2900"/>
              <w:spacing w:after="0"/>
              <w:rPr>
                <w:sz w:val="20"/>
                <w:szCs w:val="20"/>
                <w:color w:val="auto"/>
              </w:rPr>
            </w:pPr>
            <w:r>
              <w:rPr>
                <w:rFonts w:ascii="Times New Roman" w:cs="Times New Roman" w:eastAsia="Times New Roman" w:hAnsi="Times New Roman"/>
                <w:sz w:val="20"/>
                <w:szCs w:val="20"/>
                <w:color w:val="auto"/>
              </w:rPr>
              <w:t>Contact details</w:t>
            </w:r>
          </w:p>
        </w:tc>
      </w:tr>
      <w:tr>
        <w:trPr>
          <w:trHeight w:val="183"/>
        </w:trPr>
        <w:tc>
          <w:tcPr>
            <w:tcW w:w="1420" w:type="dxa"/>
            <w:vAlign w:val="bottom"/>
            <w:tcBorders>
              <w:top w:val="single" w:sz="8" w:color="auto"/>
              <w:left w:val="single" w:sz="8" w:color="D9EDFF"/>
              <w:right w:val="single" w:sz="8" w:color="auto"/>
            </w:tcBorders>
            <w:shd w:val="clear" w:color="auto" w:fill="D9EDFF"/>
          </w:tcPr>
          <w:p>
            <w:pPr>
              <w:ind w:left="20"/>
              <w:spacing w:after="0" w:line="184" w:lineRule="exact"/>
              <w:rPr>
                <w:sz w:val="20"/>
                <w:szCs w:val="20"/>
                <w:color w:val="auto"/>
              </w:rPr>
            </w:pPr>
            <w:r>
              <w:rPr>
                <w:rFonts w:ascii="Times New Roman" w:cs="Times New Roman" w:eastAsia="Times New Roman" w:hAnsi="Times New Roman"/>
                <w:sz w:val="20"/>
                <w:szCs w:val="20"/>
                <w:color w:val="auto"/>
              </w:rPr>
              <w:t>Canada</w:t>
            </w:r>
          </w:p>
        </w:tc>
        <w:tc>
          <w:tcPr>
            <w:tcW w:w="2800" w:type="dxa"/>
            <w:vAlign w:val="bottom"/>
            <w:tcBorders>
              <w:top w:val="single" w:sz="8" w:color="D9EDFF"/>
              <w:right w:val="single" w:sz="8" w:color="auto"/>
            </w:tcBorders>
            <w:shd w:val="clear" w:color="auto" w:fill="D9EDFF"/>
          </w:tcPr>
          <w:p>
            <w:pPr>
              <w:spacing w:after="0"/>
              <w:rPr>
                <w:sz w:val="15"/>
                <w:szCs w:val="15"/>
                <w:color w:val="auto"/>
              </w:rPr>
            </w:pPr>
          </w:p>
        </w:tc>
        <w:tc>
          <w:tcPr>
            <w:tcW w:w="7020" w:type="dxa"/>
            <w:vAlign w:val="bottom"/>
            <w:tcBorders>
              <w:top w:val="single" w:sz="8" w:color="D9EDFF"/>
              <w:right w:val="single" w:sz="8" w:color="auto"/>
            </w:tcBorders>
            <w:shd w:val="clear" w:color="auto" w:fill="D9EDFF"/>
          </w:tcPr>
          <w:p>
            <w:pPr>
              <w:spacing w:after="0" w:line="184" w:lineRule="exact"/>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29"/>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130 King St W, Exchange Tower, Suite 1500</w:t>
            </w:r>
          </w:p>
        </w:tc>
      </w:tr>
      <w:tr>
        <w:trPr>
          <w:trHeight w:val="230"/>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P.O. Box 424</w:t>
            </w:r>
          </w:p>
        </w:tc>
      </w:tr>
      <w:tr>
        <w:trPr>
          <w:trHeight w:val="258"/>
        </w:trPr>
        <w:tc>
          <w:tcPr>
            <w:tcW w:w="1420" w:type="dxa"/>
            <w:vAlign w:val="bottom"/>
            <w:tcBorders>
              <w:left w:val="single" w:sz="8" w:color="D9EDFF"/>
              <w:right w:val="single" w:sz="8" w:color="auto"/>
            </w:tcBorders>
            <w:shd w:val="clear" w:color="auto" w:fill="D9EDFF"/>
          </w:tcPr>
          <w:p>
            <w:pPr>
              <w:spacing w:after="0"/>
              <w:rPr>
                <w:sz w:val="22"/>
                <w:szCs w:val="22"/>
                <w:color w:val="auto"/>
              </w:rPr>
            </w:pPr>
          </w:p>
        </w:tc>
        <w:tc>
          <w:tcPr>
            <w:tcW w:w="2800" w:type="dxa"/>
            <w:vAlign w:val="bottom"/>
            <w:tcBorders>
              <w:right w:val="single" w:sz="8" w:color="auto"/>
            </w:tcBorders>
            <w:shd w:val="clear" w:color="auto" w:fill="D9EDFF"/>
          </w:tcPr>
          <w:p>
            <w:pPr>
              <w:spacing w:after="0"/>
              <w:rPr>
                <w:sz w:val="22"/>
                <w:szCs w:val="22"/>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Toronto, ON M5X 1E3</w:t>
            </w:r>
          </w:p>
        </w:tc>
      </w:tr>
      <w:tr>
        <w:trPr>
          <w:trHeight w:val="459"/>
        </w:trPr>
        <w:tc>
          <w:tcPr>
            <w:tcW w:w="1420" w:type="dxa"/>
            <w:vAlign w:val="bottom"/>
            <w:tcBorders>
              <w:left w:val="single" w:sz="8" w:color="D9EDFF"/>
              <w:right w:val="single" w:sz="8" w:color="auto"/>
            </w:tcBorders>
            <w:shd w:val="clear" w:color="auto" w:fill="D9EDFF"/>
          </w:tcPr>
          <w:p>
            <w:pPr>
              <w:spacing w:after="0"/>
              <w:rPr>
                <w:sz w:val="24"/>
                <w:szCs w:val="24"/>
                <w:color w:val="auto"/>
              </w:rPr>
            </w:pPr>
          </w:p>
        </w:tc>
        <w:tc>
          <w:tcPr>
            <w:tcW w:w="2800" w:type="dxa"/>
            <w:vAlign w:val="bottom"/>
            <w:tcBorders>
              <w:right w:val="single" w:sz="8" w:color="auto"/>
            </w:tcBorders>
            <w:shd w:val="clear" w:color="auto" w:fill="D9EDFF"/>
          </w:tcPr>
          <w:p>
            <w:pPr>
              <w:spacing w:after="0"/>
              <w:rPr>
                <w:sz w:val="24"/>
                <w:szCs w:val="24"/>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Email: privacy@wtwco.com</w:t>
            </w:r>
          </w:p>
        </w:tc>
      </w:tr>
      <w:tr>
        <w:trPr>
          <w:trHeight w:val="224"/>
        </w:trPr>
        <w:tc>
          <w:tcPr>
            <w:tcW w:w="142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800" w:type="dxa"/>
            <w:vAlign w:val="bottom"/>
            <w:tcBorders>
              <w:bottom w:val="single" w:sz="8" w:color="auto"/>
              <w:right w:val="single" w:sz="8" w:color="auto"/>
            </w:tcBorders>
            <w:shd w:val="clear" w:color="auto" w:fill="D9EDFF"/>
          </w:tcPr>
          <w:p>
            <w:pPr>
              <w:spacing w:after="0"/>
              <w:rPr>
                <w:sz w:val="19"/>
                <w:szCs w:val="19"/>
                <w:color w:val="auto"/>
              </w:rPr>
            </w:pPr>
          </w:p>
        </w:tc>
        <w:tc>
          <w:tcPr>
            <w:tcW w:w="702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42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Nigeria</w:t>
            </w:r>
          </w:p>
        </w:tc>
        <w:tc>
          <w:tcPr>
            <w:tcW w:w="280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Adewunmi Akinmodiro</w:t>
            </w:r>
          </w:p>
        </w:tc>
        <w:tc>
          <w:tcPr>
            <w:tcW w:w="702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Adewunmi.Akinmodiro@willistowerswatson.com</w:t>
            </w:r>
          </w:p>
        </w:tc>
      </w:tr>
      <w:tr>
        <w:trPr>
          <w:trHeight w:val="229"/>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Towers Watson Nigeria Limited</w:t>
            </w:r>
          </w:p>
        </w:tc>
      </w:tr>
      <w:tr>
        <w:trPr>
          <w:trHeight w:val="230"/>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6th Floor, Africa RE Building. Plot 1679 Karimu Kotun Street, Victoria Island Lagos,</w:t>
            </w:r>
          </w:p>
        </w:tc>
      </w:tr>
      <w:tr>
        <w:trPr>
          <w:trHeight w:val="258"/>
        </w:trPr>
        <w:tc>
          <w:tcPr>
            <w:tcW w:w="1420" w:type="dxa"/>
            <w:vAlign w:val="bottom"/>
            <w:tcBorders>
              <w:left w:val="single" w:sz="8" w:color="D9EDFF"/>
              <w:right w:val="single" w:sz="8" w:color="auto"/>
            </w:tcBorders>
            <w:shd w:val="clear" w:color="auto" w:fill="D9EDFF"/>
          </w:tcPr>
          <w:p>
            <w:pPr>
              <w:spacing w:after="0"/>
              <w:rPr>
                <w:sz w:val="22"/>
                <w:szCs w:val="22"/>
                <w:color w:val="auto"/>
              </w:rPr>
            </w:pPr>
          </w:p>
        </w:tc>
        <w:tc>
          <w:tcPr>
            <w:tcW w:w="2800" w:type="dxa"/>
            <w:vAlign w:val="bottom"/>
            <w:tcBorders>
              <w:right w:val="single" w:sz="8" w:color="auto"/>
            </w:tcBorders>
            <w:shd w:val="clear" w:color="auto" w:fill="D9EDFF"/>
          </w:tcPr>
          <w:p>
            <w:pPr>
              <w:spacing w:after="0"/>
              <w:rPr>
                <w:sz w:val="22"/>
                <w:szCs w:val="22"/>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Nigeria.</w:t>
            </w:r>
          </w:p>
        </w:tc>
      </w:tr>
      <w:tr>
        <w:trPr>
          <w:trHeight w:val="223"/>
        </w:trPr>
        <w:tc>
          <w:tcPr>
            <w:tcW w:w="142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800" w:type="dxa"/>
            <w:vAlign w:val="bottom"/>
            <w:tcBorders>
              <w:bottom w:val="single" w:sz="8" w:color="auto"/>
              <w:right w:val="single" w:sz="8" w:color="auto"/>
            </w:tcBorders>
            <w:shd w:val="clear" w:color="auto" w:fill="D9EDFF"/>
          </w:tcPr>
          <w:p>
            <w:pPr>
              <w:spacing w:after="0"/>
              <w:rPr>
                <w:sz w:val="19"/>
                <w:szCs w:val="19"/>
                <w:color w:val="auto"/>
              </w:rPr>
            </w:pPr>
          </w:p>
        </w:tc>
        <w:tc>
          <w:tcPr>
            <w:tcW w:w="702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42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South Africa</w:t>
            </w:r>
          </w:p>
        </w:tc>
        <w:tc>
          <w:tcPr>
            <w:tcW w:w="280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André Wild</w:t>
            </w:r>
          </w:p>
        </w:tc>
        <w:tc>
          <w:tcPr>
            <w:tcW w:w="702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Andre.Wild@willistowerswatson.com</w:t>
            </w:r>
          </w:p>
        </w:tc>
      </w:tr>
      <w:tr>
        <w:trPr>
          <w:trHeight w:val="229"/>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Towers Watson (Pty) Ltd</w:t>
            </w:r>
          </w:p>
        </w:tc>
      </w:tr>
      <w:tr>
        <w:trPr>
          <w:trHeight w:val="230"/>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Level 4, MontClare Place, 23 Main Road, Claremont, Cape Town, 7708</w:t>
            </w:r>
          </w:p>
        </w:tc>
      </w:tr>
      <w:tr>
        <w:trPr>
          <w:trHeight w:val="258"/>
        </w:trPr>
        <w:tc>
          <w:tcPr>
            <w:tcW w:w="1420" w:type="dxa"/>
            <w:vAlign w:val="bottom"/>
            <w:tcBorders>
              <w:left w:val="single" w:sz="8" w:color="D9EDFF"/>
              <w:right w:val="single" w:sz="8" w:color="auto"/>
            </w:tcBorders>
            <w:shd w:val="clear" w:color="auto" w:fill="D9EDFF"/>
          </w:tcPr>
          <w:p>
            <w:pPr>
              <w:spacing w:after="0"/>
              <w:rPr>
                <w:sz w:val="22"/>
                <w:szCs w:val="22"/>
                <w:color w:val="auto"/>
              </w:rPr>
            </w:pPr>
          </w:p>
        </w:tc>
        <w:tc>
          <w:tcPr>
            <w:tcW w:w="2800" w:type="dxa"/>
            <w:vAlign w:val="bottom"/>
            <w:tcBorders>
              <w:right w:val="single" w:sz="8" w:color="auto"/>
            </w:tcBorders>
            <w:shd w:val="clear" w:color="auto" w:fill="D9EDFF"/>
          </w:tcPr>
          <w:p>
            <w:pPr>
              <w:spacing w:after="0"/>
              <w:rPr>
                <w:sz w:val="22"/>
                <w:szCs w:val="22"/>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Private Bag X30, Rondebosch, 7701</w:t>
            </w:r>
          </w:p>
        </w:tc>
      </w:tr>
      <w:tr>
        <w:trPr>
          <w:trHeight w:val="223"/>
        </w:trPr>
        <w:tc>
          <w:tcPr>
            <w:tcW w:w="1420" w:type="dxa"/>
            <w:vAlign w:val="bottom"/>
            <w:tcBorders>
              <w:left w:val="single" w:sz="8" w:color="D9EDFF"/>
              <w:bottom w:val="single" w:sz="8" w:color="D9EDFF"/>
              <w:right w:val="single" w:sz="8" w:color="auto"/>
            </w:tcBorders>
            <w:shd w:val="clear" w:color="auto" w:fill="D9EDFF"/>
          </w:tcPr>
          <w:p>
            <w:pPr>
              <w:spacing w:after="0"/>
              <w:rPr>
                <w:sz w:val="19"/>
                <w:szCs w:val="19"/>
                <w:color w:val="auto"/>
              </w:rPr>
            </w:pPr>
          </w:p>
        </w:tc>
        <w:tc>
          <w:tcPr>
            <w:tcW w:w="2800" w:type="dxa"/>
            <w:vAlign w:val="bottom"/>
            <w:tcBorders>
              <w:bottom w:val="single" w:sz="8" w:color="auto"/>
              <w:right w:val="single" w:sz="8" w:color="auto"/>
            </w:tcBorders>
            <w:shd w:val="clear" w:color="auto" w:fill="D9EDFF"/>
          </w:tcPr>
          <w:p>
            <w:pPr>
              <w:spacing w:after="0"/>
              <w:rPr>
                <w:sz w:val="19"/>
                <w:szCs w:val="19"/>
                <w:color w:val="auto"/>
              </w:rPr>
            </w:pPr>
          </w:p>
        </w:tc>
        <w:tc>
          <w:tcPr>
            <w:tcW w:w="702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420" w:type="dxa"/>
            <w:vAlign w:val="bottom"/>
            <w:tcBorders>
              <w:left w:val="single" w:sz="8" w:color="D9EDFF"/>
              <w:right w:val="single" w:sz="8" w:color="auto"/>
            </w:tcBorders>
            <w:shd w:val="clear" w:color="auto" w:fill="D9EDFF"/>
          </w:tcPr>
          <w:p>
            <w:pPr>
              <w:spacing w:after="0"/>
              <w:rPr>
                <w:sz w:val="17"/>
                <w:szCs w:val="17"/>
                <w:color w:val="auto"/>
              </w:rPr>
            </w:pPr>
          </w:p>
        </w:tc>
        <w:tc>
          <w:tcPr>
            <w:tcW w:w="280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Pasha Karodia</w:t>
            </w:r>
          </w:p>
        </w:tc>
        <w:tc>
          <w:tcPr>
            <w:tcW w:w="702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Pasha.Karodia@willistowerswatson.com</w:t>
            </w:r>
          </w:p>
        </w:tc>
      </w:tr>
      <w:tr>
        <w:trPr>
          <w:trHeight w:val="230"/>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South Africa (Pty) Ltd</w:t>
            </w:r>
          </w:p>
        </w:tc>
      </w:tr>
      <w:tr>
        <w:trPr>
          <w:trHeight w:val="258"/>
        </w:trPr>
        <w:tc>
          <w:tcPr>
            <w:tcW w:w="1420" w:type="dxa"/>
            <w:vAlign w:val="bottom"/>
            <w:tcBorders>
              <w:left w:val="single" w:sz="8" w:color="D9EDFF"/>
              <w:right w:val="single" w:sz="8" w:color="auto"/>
            </w:tcBorders>
            <w:shd w:val="clear" w:color="auto" w:fill="D9EDFF"/>
          </w:tcPr>
          <w:p>
            <w:pPr>
              <w:spacing w:after="0"/>
              <w:rPr>
                <w:sz w:val="22"/>
                <w:szCs w:val="22"/>
                <w:color w:val="auto"/>
              </w:rPr>
            </w:pPr>
          </w:p>
        </w:tc>
        <w:tc>
          <w:tcPr>
            <w:tcW w:w="2800" w:type="dxa"/>
            <w:vAlign w:val="bottom"/>
            <w:tcBorders>
              <w:right w:val="single" w:sz="8" w:color="auto"/>
            </w:tcBorders>
            <w:shd w:val="clear" w:color="auto" w:fill="D9EDFF"/>
          </w:tcPr>
          <w:p>
            <w:pPr>
              <w:spacing w:after="0"/>
              <w:rPr>
                <w:sz w:val="22"/>
                <w:szCs w:val="22"/>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Illovo Edge, 1 Harries Road, Illovo, Johannesburg 2196</w:t>
            </w:r>
          </w:p>
        </w:tc>
      </w:tr>
      <w:tr>
        <w:trPr>
          <w:trHeight w:val="224"/>
        </w:trPr>
        <w:tc>
          <w:tcPr>
            <w:tcW w:w="142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800" w:type="dxa"/>
            <w:vAlign w:val="bottom"/>
            <w:tcBorders>
              <w:bottom w:val="single" w:sz="8" w:color="auto"/>
              <w:right w:val="single" w:sz="8" w:color="auto"/>
            </w:tcBorders>
            <w:shd w:val="clear" w:color="auto" w:fill="D9EDFF"/>
          </w:tcPr>
          <w:p>
            <w:pPr>
              <w:spacing w:after="0"/>
              <w:rPr>
                <w:sz w:val="19"/>
                <w:szCs w:val="19"/>
                <w:color w:val="auto"/>
              </w:rPr>
            </w:pPr>
          </w:p>
        </w:tc>
        <w:tc>
          <w:tcPr>
            <w:tcW w:w="702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42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Saudi Arabia</w:t>
            </w:r>
          </w:p>
        </w:tc>
        <w:tc>
          <w:tcPr>
            <w:tcW w:w="280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Paul Green</w:t>
            </w:r>
          </w:p>
        </w:tc>
        <w:tc>
          <w:tcPr>
            <w:tcW w:w="702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privacy@wtwco.com</w:t>
            </w:r>
          </w:p>
        </w:tc>
      </w:tr>
      <w:tr>
        <w:trPr>
          <w:trHeight w:val="230"/>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AE Dubai - Business Central Tower</w:t>
            </w:r>
          </w:p>
        </w:tc>
      </w:tr>
      <w:tr>
        <w:trPr>
          <w:trHeight w:val="230"/>
        </w:trPr>
        <w:tc>
          <w:tcPr>
            <w:tcW w:w="1420" w:type="dxa"/>
            <w:vAlign w:val="bottom"/>
            <w:tcBorders>
              <w:left w:val="single" w:sz="8" w:color="D9EDFF"/>
              <w:right w:val="single" w:sz="8" w:color="auto"/>
            </w:tcBorders>
            <w:shd w:val="clear" w:color="auto" w:fill="D9EDFF"/>
          </w:tcPr>
          <w:p>
            <w:pPr>
              <w:spacing w:after="0"/>
              <w:rPr>
                <w:sz w:val="19"/>
                <w:szCs w:val="19"/>
                <w:color w:val="auto"/>
              </w:rPr>
            </w:pPr>
          </w:p>
        </w:tc>
        <w:tc>
          <w:tcPr>
            <w:tcW w:w="2800" w:type="dxa"/>
            <w:vAlign w:val="bottom"/>
            <w:tcBorders>
              <w:right w:val="single" w:sz="8" w:color="auto"/>
            </w:tcBorders>
            <w:shd w:val="clear" w:color="auto" w:fill="D9EDFF"/>
          </w:tcPr>
          <w:p>
            <w:pPr>
              <w:spacing w:after="0"/>
              <w:rPr>
                <w:sz w:val="19"/>
                <w:szCs w:val="19"/>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 A Floor 37, Dubai Media City, PO Box 500082, Dubai, United Arab Emirates</w:t>
            </w:r>
          </w:p>
        </w:tc>
      </w:tr>
      <w:tr>
        <w:trPr>
          <w:trHeight w:val="258"/>
        </w:trPr>
        <w:tc>
          <w:tcPr>
            <w:tcW w:w="1420" w:type="dxa"/>
            <w:vAlign w:val="bottom"/>
            <w:tcBorders>
              <w:left w:val="single" w:sz="8" w:color="D9EDFF"/>
              <w:right w:val="single" w:sz="8" w:color="auto"/>
            </w:tcBorders>
            <w:shd w:val="clear" w:color="auto" w:fill="D9EDFF"/>
          </w:tcPr>
          <w:p>
            <w:pPr>
              <w:spacing w:after="0"/>
              <w:rPr>
                <w:sz w:val="22"/>
                <w:szCs w:val="22"/>
                <w:color w:val="auto"/>
              </w:rPr>
            </w:pPr>
          </w:p>
        </w:tc>
        <w:tc>
          <w:tcPr>
            <w:tcW w:w="2800" w:type="dxa"/>
            <w:vAlign w:val="bottom"/>
            <w:tcBorders>
              <w:right w:val="single" w:sz="8" w:color="auto"/>
            </w:tcBorders>
            <w:shd w:val="clear" w:color="auto" w:fill="D9EDFF"/>
          </w:tcPr>
          <w:p>
            <w:pPr>
              <w:spacing w:after="0"/>
              <w:rPr>
                <w:sz w:val="22"/>
                <w:szCs w:val="22"/>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+971 4 455 1700</w:t>
            </w:r>
          </w:p>
        </w:tc>
      </w:tr>
      <w:tr>
        <w:trPr>
          <w:trHeight w:val="223"/>
        </w:trPr>
        <w:tc>
          <w:tcPr>
            <w:tcW w:w="142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800" w:type="dxa"/>
            <w:vAlign w:val="bottom"/>
            <w:tcBorders>
              <w:bottom w:val="single" w:sz="8" w:color="auto"/>
              <w:right w:val="single" w:sz="8" w:color="auto"/>
            </w:tcBorders>
            <w:shd w:val="clear" w:color="auto" w:fill="D9EDFF"/>
          </w:tcPr>
          <w:p>
            <w:pPr>
              <w:spacing w:after="0"/>
              <w:rPr>
                <w:sz w:val="19"/>
                <w:szCs w:val="19"/>
                <w:color w:val="auto"/>
              </w:rPr>
            </w:pPr>
          </w:p>
        </w:tc>
        <w:tc>
          <w:tcPr>
            <w:tcW w:w="702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196"/>
        </w:trPr>
        <w:tc>
          <w:tcPr>
            <w:tcW w:w="1420" w:type="dxa"/>
            <w:vAlign w:val="bottom"/>
            <w:tcBorders>
              <w:left w:val="single" w:sz="8" w:color="D9EDFF"/>
              <w:right w:val="single" w:sz="8" w:color="auto"/>
            </w:tcBorders>
            <w:shd w:val="clear" w:color="auto" w:fill="D9EDFF"/>
          </w:tcPr>
          <w:p>
            <w:pPr>
              <w:ind w:left="20"/>
              <w:spacing w:after="0" w:line="196" w:lineRule="exact"/>
              <w:rPr>
                <w:sz w:val="20"/>
                <w:szCs w:val="20"/>
                <w:color w:val="auto"/>
              </w:rPr>
            </w:pPr>
            <w:r>
              <w:rPr>
                <w:rFonts w:ascii="Times New Roman" w:cs="Times New Roman" w:eastAsia="Times New Roman" w:hAnsi="Times New Roman"/>
                <w:sz w:val="20"/>
                <w:szCs w:val="20"/>
                <w:color w:val="auto"/>
              </w:rPr>
              <w:t>Bermuda</w:t>
            </w:r>
          </w:p>
        </w:tc>
        <w:tc>
          <w:tcPr>
            <w:tcW w:w="2800" w:type="dxa"/>
            <w:vAlign w:val="bottom"/>
            <w:tcBorders>
              <w:right w:val="single" w:sz="8" w:color="auto"/>
            </w:tcBorders>
            <w:shd w:val="clear" w:color="auto" w:fill="D9EDFF"/>
          </w:tcPr>
          <w:p>
            <w:pPr>
              <w:spacing w:after="0"/>
              <w:rPr>
                <w:sz w:val="17"/>
                <w:szCs w:val="17"/>
                <w:color w:val="auto"/>
              </w:rPr>
            </w:pPr>
          </w:p>
        </w:tc>
        <w:tc>
          <w:tcPr>
            <w:tcW w:w="7020" w:type="dxa"/>
            <w:vAlign w:val="bottom"/>
            <w:tcBorders>
              <w:right w:val="single" w:sz="8" w:color="auto"/>
            </w:tcBorders>
            <w:shd w:val="clear" w:color="auto" w:fill="D9EDFF"/>
          </w:tcPr>
          <w:p>
            <w:pPr>
              <w:spacing w:after="0" w:line="196" w:lineRule="exact"/>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62"/>
        </w:trPr>
        <w:tc>
          <w:tcPr>
            <w:tcW w:w="1420" w:type="dxa"/>
            <w:vAlign w:val="bottom"/>
            <w:tcBorders>
              <w:left w:val="single" w:sz="8" w:color="D9EDFF"/>
              <w:right w:val="single" w:sz="8" w:color="auto"/>
            </w:tcBorders>
            <w:shd w:val="clear" w:color="auto" w:fill="D9EDFF"/>
          </w:tcPr>
          <w:p>
            <w:pPr>
              <w:spacing w:after="0"/>
              <w:rPr>
                <w:sz w:val="22"/>
                <w:szCs w:val="22"/>
                <w:color w:val="auto"/>
              </w:rPr>
            </w:pPr>
          </w:p>
        </w:tc>
        <w:tc>
          <w:tcPr>
            <w:tcW w:w="2800" w:type="dxa"/>
            <w:vAlign w:val="bottom"/>
            <w:tcBorders>
              <w:right w:val="single" w:sz="8" w:color="auto"/>
            </w:tcBorders>
            <w:shd w:val="clear" w:color="auto" w:fill="D9EDFF"/>
          </w:tcPr>
          <w:p>
            <w:pPr>
              <w:spacing w:after="0"/>
              <w:rPr>
                <w:sz w:val="22"/>
                <w:szCs w:val="22"/>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 xml:space="preserve">90 Pitts Bay Road Wellesley House, Floor 2 Hamilton HM 08 </w:t>
            </w:r>
            <w:r>
              <w:rPr>
                <w:rFonts w:ascii="Times New Roman" w:cs="Times New Roman" w:eastAsia="Times New Roman" w:hAnsi="Times New Roman"/>
                <w:sz w:val="20"/>
                <w:szCs w:val="20"/>
                <w:b w:val="1"/>
                <w:bCs w:val="1"/>
                <w:color w:val="auto"/>
              </w:rPr>
              <w:t>privacy@wtwco.com</w:t>
            </w:r>
          </w:p>
        </w:tc>
      </w:tr>
      <w:tr>
        <w:trPr>
          <w:trHeight w:val="224"/>
        </w:trPr>
        <w:tc>
          <w:tcPr>
            <w:tcW w:w="142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800" w:type="dxa"/>
            <w:vAlign w:val="bottom"/>
            <w:tcBorders>
              <w:bottom w:val="single" w:sz="8" w:color="auto"/>
              <w:right w:val="single" w:sz="8" w:color="auto"/>
            </w:tcBorders>
            <w:shd w:val="clear" w:color="auto" w:fill="D9EDFF"/>
          </w:tcPr>
          <w:p>
            <w:pPr>
              <w:spacing w:after="0"/>
              <w:rPr>
                <w:sz w:val="19"/>
                <w:szCs w:val="19"/>
                <w:color w:val="auto"/>
              </w:rPr>
            </w:pPr>
          </w:p>
        </w:tc>
        <w:tc>
          <w:tcPr>
            <w:tcW w:w="702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52"/>
        </w:trPr>
        <w:tc>
          <w:tcPr>
            <w:tcW w:w="1420" w:type="dxa"/>
            <w:vAlign w:val="bottom"/>
            <w:tcBorders>
              <w:left w:val="single" w:sz="8" w:color="D9EDFF"/>
              <w:right w:val="single" w:sz="8" w:color="auto"/>
            </w:tcBorders>
            <w:shd w:val="clear" w:color="auto" w:fill="D9EDFF"/>
          </w:tcPr>
          <w:p>
            <w:pPr>
              <w:ind w:left="20"/>
              <w:spacing w:after="0"/>
              <w:rPr>
                <w:sz w:val="20"/>
                <w:szCs w:val="20"/>
                <w:color w:val="auto"/>
              </w:rPr>
            </w:pPr>
            <w:r>
              <w:rPr>
                <w:rFonts w:ascii="Times New Roman" w:cs="Times New Roman" w:eastAsia="Times New Roman" w:hAnsi="Times New Roman"/>
                <w:sz w:val="20"/>
                <w:szCs w:val="20"/>
                <w:color w:val="auto"/>
              </w:rPr>
              <w:t>Brazil</w:t>
            </w:r>
          </w:p>
        </w:tc>
        <w:tc>
          <w:tcPr>
            <w:tcW w:w="280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Lucas Paglia</w:t>
            </w: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lucas.paglia@wtwco.com or</w:t>
            </w:r>
          </w:p>
        </w:tc>
      </w:tr>
      <w:tr>
        <w:trPr>
          <w:trHeight w:val="436"/>
        </w:trPr>
        <w:tc>
          <w:tcPr>
            <w:tcW w:w="1420" w:type="dxa"/>
            <w:vAlign w:val="bottom"/>
            <w:tcBorders>
              <w:left w:val="single" w:sz="8" w:color="D9EDFF"/>
              <w:right w:val="single" w:sz="8" w:color="auto"/>
            </w:tcBorders>
            <w:shd w:val="clear" w:color="auto" w:fill="D9EDFF"/>
          </w:tcPr>
          <w:p>
            <w:pPr>
              <w:spacing w:after="0"/>
              <w:rPr>
                <w:sz w:val="24"/>
                <w:szCs w:val="24"/>
                <w:color w:val="auto"/>
              </w:rPr>
            </w:pPr>
          </w:p>
        </w:tc>
        <w:tc>
          <w:tcPr>
            <w:tcW w:w="2800" w:type="dxa"/>
            <w:vAlign w:val="bottom"/>
            <w:tcBorders>
              <w:right w:val="single" w:sz="8" w:color="auto"/>
            </w:tcBorders>
            <w:shd w:val="clear" w:color="auto" w:fill="D9EDFF"/>
          </w:tcPr>
          <w:p>
            <w:pPr>
              <w:spacing w:after="0"/>
              <w:rPr>
                <w:sz w:val="24"/>
                <w:szCs w:val="24"/>
                <w:color w:val="auto"/>
              </w:rPr>
            </w:pPr>
          </w:p>
        </w:tc>
        <w:tc>
          <w:tcPr>
            <w:tcW w:w="702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privacy.brasil@wtwco.com</w:t>
            </w:r>
          </w:p>
        </w:tc>
      </w:tr>
      <w:tr>
        <w:trPr>
          <w:trHeight w:val="223"/>
        </w:trPr>
        <w:tc>
          <w:tcPr>
            <w:tcW w:w="142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800" w:type="dxa"/>
            <w:vAlign w:val="bottom"/>
            <w:tcBorders>
              <w:bottom w:val="single" w:sz="8" w:color="auto"/>
              <w:right w:val="single" w:sz="8" w:color="auto"/>
            </w:tcBorders>
            <w:shd w:val="clear" w:color="auto" w:fill="D9EDFF"/>
          </w:tcPr>
          <w:p>
            <w:pPr>
              <w:spacing w:after="0"/>
              <w:rPr>
                <w:sz w:val="19"/>
                <w:szCs w:val="19"/>
                <w:color w:val="auto"/>
              </w:rPr>
            </w:pPr>
          </w:p>
        </w:tc>
        <w:tc>
          <w:tcPr>
            <w:tcW w:w="702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661"/>
        </w:trPr>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020" w:type="dxa"/>
            <w:vAlign w:val="bottom"/>
          </w:tcPr>
          <w:p>
            <w:pPr>
              <w:ind w:left="1260"/>
              <w:spacing w:after="0"/>
              <w:rPr>
                <w:sz w:val="20"/>
                <w:szCs w:val="20"/>
                <w:color w:val="auto"/>
              </w:rPr>
            </w:pPr>
            <w:r>
              <w:rPr>
                <w:rFonts w:ascii="Times New Roman" w:cs="Times New Roman" w:eastAsia="Times New Roman" w:hAnsi="Times New Roman"/>
                <w:sz w:val="20"/>
                <w:szCs w:val="20"/>
                <w:color w:val="auto"/>
              </w:rPr>
              <w:t>B-6</w:t>
            </w:r>
          </w:p>
        </w:tc>
      </w:tr>
      <w:tr>
        <w:trPr>
          <w:trHeight w:val="757"/>
        </w:trPr>
        <w:tc>
          <w:tcPr>
            <w:tcW w:w="14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1" w:name="page92"/>
    <w:bookmarkEnd w:id="91"/>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4A116E"/>
        </w:rPr>
        <w:t>ANNEX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Categories of Personal Information Collected About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Generally, we may collect the below categories of Personal Information about Employees: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Name, Contact Info and other Identifiers</w:t>
      </w:r>
      <w:r>
        <w:rPr>
          <w:rFonts w:ascii="Times New Roman" w:cs="Times New Roman" w:eastAsia="Times New Roman" w:hAnsi="Times New Roman"/>
          <w:sz w:val="20"/>
          <w:szCs w:val="20"/>
          <w:color w:val="000000"/>
        </w:rPr>
        <w:t>: identifiers including, but not limited to</w:t>
      </w:r>
      <w:r>
        <w:rPr>
          <w:rFonts w:ascii="Times New Roman" w:cs="Times New Roman" w:eastAsia="Times New Roman" w:hAnsi="Times New Roman"/>
          <w:sz w:val="20"/>
          <w:szCs w:val="20"/>
          <w:i w:val="1"/>
          <w:iCs w:val="1"/>
          <w:color w:val="000000"/>
        </w:rPr>
        <w:t>:</w:t>
      </w:r>
    </w:p>
    <w:p>
      <w:pPr>
        <w:spacing w:after="0" w:line="112" w:lineRule="exact"/>
        <w:rPr>
          <w:sz w:val="20"/>
          <w:szCs w:val="20"/>
          <w:color w:val="auto"/>
        </w:rPr>
      </w:pPr>
    </w:p>
    <w:p>
      <w:pPr>
        <w:jc w:val="both"/>
        <w:ind w:left="760" w:hanging="378"/>
        <w:spacing w:after="0" w:line="249" w:lineRule="auto"/>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7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Required under Immigration Laws: Citizenship, passport data, details of residency or work permit.</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Protected Classifications</w:t>
      </w:r>
      <w:r>
        <w:rPr>
          <w:rFonts w:ascii="Times New Roman" w:cs="Times New Roman" w:eastAsia="Times New Roman" w:hAnsi="Times New Roman"/>
          <w:sz w:val="20"/>
          <w:szCs w:val="20"/>
          <w:color w:val="000000"/>
        </w:rPr>
        <w:t>: characteristics of protected classifications (including those under California or federal law) such as:</w:t>
      </w:r>
    </w:p>
    <w:p>
      <w:pPr>
        <w:spacing w:after="0" w:line="112" w:lineRule="exact"/>
        <w:rPr>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information, as well as residency and work permit details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information and disability information</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7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6F2F9F"/>
        </w:rPr>
        <w:t>Usage Data</w:t>
      </w:r>
      <w:r>
        <w:rPr>
          <w:rFonts w:ascii="Times New Roman" w:cs="Times New Roman" w:eastAsia="Times New Roman" w:hAnsi="Times New Roman"/>
          <w:sz w:val="20"/>
          <w:szCs w:val="20"/>
          <w:color w:val="000000"/>
        </w:rPr>
        <w:t>: internet or other electronic network activity information including, but not limited to, browsing history, search history, email</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activity, and information regarding a user’s interaction with a system, website, or application. </w:t>
      </w:r>
      <w:r>
        <w:rPr>
          <w:rFonts w:ascii="Times New Roman" w:cs="Times New Roman" w:eastAsia="Times New Roman" w:hAnsi="Times New Roman"/>
          <w:sz w:val="20"/>
          <w:szCs w:val="20"/>
          <w:i w:val="1"/>
          <w:iCs w:val="1"/>
          <w:color w:val="000000"/>
        </w:rPr>
        <w:t>This includes:</w:t>
      </w:r>
    </w:p>
    <w:p>
      <w:pPr>
        <w:spacing w:after="0" w:line="48" w:lineRule="exact"/>
        <w:rPr>
          <w:sz w:val="20"/>
          <w:szCs w:val="20"/>
          <w:color w:val="auto"/>
        </w:rPr>
      </w:pPr>
    </w:p>
    <w:p>
      <w:pPr>
        <w:ind w:left="760" w:hanging="378"/>
        <w:spacing w:after="0" w:line="269" w:lineRule="auto"/>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logs and usage details regarding activities at WTW locations and on WTW networks, systems and devices, including but not limited to website and browsing history.</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access logs and call logs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content produced using WTW systems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6F2F9F"/>
        </w:rPr>
        <w:t xml:space="preserve">Biometric information: </w:t>
      </w:r>
      <w:r>
        <w:rPr>
          <w:rFonts w:ascii="Times New Roman" w:cs="Times New Roman" w:eastAsia="Times New Roman" w:hAnsi="Times New Roman"/>
          <w:sz w:val="20"/>
          <w:szCs w:val="20"/>
          <w:color w:val="000000"/>
        </w:rPr>
        <w:t>an individual’s physiological, biological or behavioral characteristics including information pertaining to an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Geolocation Data</w:t>
      </w:r>
      <w:r>
        <w:rPr>
          <w:rFonts w:ascii="Times New Roman" w:cs="Times New Roman" w:eastAsia="Times New Roman" w:hAnsi="Times New Roman"/>
          <w:sz w:val="20"/>
          <w:szCs w:val="20"/>
          <w:color w:val="000000"/>
        </w:rPr>
        <w:t>: precise geographic location information about a particular WTW device.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Audio, Video and other Electronic Data</w:t>
      </w:r>
      <w:r>
        <w:rPr>
          <w:rFonts w:ascii="Times New Roman" w:cs="Times New Roman" w:eastAsia="Times New Roman" w:hAnsi="Times New Roman"/>
          <w:sz w:val="20"/>
          <w:szCs w:val="20"/>
          <w:color w:val="000000"/>
        </w:rPr>
        <w:t>: audio, electronic, visual, thermal, olfactory, or similar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This includes:</w:t>
      </w:r>
    </w:p>
    <w:p>
      <w:pPr>
        <w:spacing w:after="0" w:line="112" w:lineRule="exact"/>
        <w:rPr>
          <w:sz w:val="20"/>
          <w:szCs w:val="20"/>
          <w:color w:val="auto"/>
        </w:rPr>
      </w:pPr>
    </w:p>
    <w:p>
      <w:pPr>
        <w:ind w:left="760" w:hanging="378"/>
        <w:spacing w:after="0"/>
        <w:tabs>
          <w:tab w:leader="none" w:pos="7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CCTV footage and photographs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recordings and other audio recording (e.g., recorded meetings and webinars)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6F2F9F"/>
        </w:rPr>
        <w:t>Employment History</w:t>
      </w:r>
      <w:r>
        <w:rPr>
          <w:rFonts w:ascii="Times New Roman" w:cs="Times New Roman" w:eastAsia="Times New Roman" w:hAnsi="Times New Roman"/>
          <w:sz w:val="20"/>
          <w:szCs w:val="20"/>
          <w:color w:val="000000"/>
        </w:rPr>
        <w:t>: professional or employment-related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This includes, but is not limited to:</w:t>
      </w:r>
    </w:p>
    <w:p>
      <w:pPr>
        <w:spacing w:after="0" w:line="112" w:lineRule="exact"/>
        <w:rPr>
          <w:sz w:val="20"/>
          <w:szCs w:val="20"/>
          <w:color w:val="auto"/>
        </w:rPr>
      </w:pPr>
    </w:p>
    <w:p>
      <w:pPr>
        <w:jc w:val="both"/>
        <w:ind w:left="760" w:hanging="378"/>
        <w:spacing w:after="0" w:line="249" w:lineRule="auto"/>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71"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76" w:lineRule="exact"/>
        <w:rPr>
          <w:rFonts w:ascii="Times New Roman" w:cs="Times New Roman" w:eastAsia="Times New Roman" w:hAnsi="Times New Roman"/>
          <w:sz w:val="20"/>
          <w:szCs w:val="20"/>
          <w:color w:val="auto"/>
        </w:rPr>
      </w:pPr>
    </w:p>
    <w:p>
      <w:pPr>
        <w:jc w:val="both"/>
        <w:ind w:left="760" w:hanging="378"/>
        <w:spacing w:after="0" w:line="266" w:lineRule="auto"/>
        <w:tabs>
          <w:tab w:leader="none" w:pos="76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57"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Records: Details of any shares of common stock or directorships.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6F2F9F"/>
        </w:rPr>
        <w:t>Education Information</w:t>
      </w:r>
      <w:r>
        <w:rPr>
          <w:rFonts w:ascii="Times New Roman" w:cs="Times New Roman" w:eastAsia="Times New Roman" w:hAnsi="Times New Roman"/>
          <w:sz w:val="20"/>
          <w:szCs w:val="20"/>
          <w:color w:val="000000"/>
        </w:rPr>
        <w:t>: information about education history or background, including such information that is not publicly available</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personally identifiable information as defined in the federal Family Educational Rights and Privacy Act (20 U.S.C. section 1232g, 34 C.F.R. Part 99). </w:t>
      </w:r>
      <w:r>
        <w:rPr>
          <w:rFonts w:ascii="Times New Roman" w:cs="Times New Roman" w:eastAsia="Times New Roman" w:hAnsi="Times New Roman"/>
          <w:sz w:val="20"/>
          <w:szCs w:val="20"/>
          <w:i w:val="1"/>
          <w:iCs w:val="1"/>
          <w:color w:val="000000"/>
        </w:rPr>
        <w:t>This includes, but is not limited to:</w:t>
      </w:r>
    </w:p>
    <w:p>
      <w:pPr>
        <w:spacing w:after="0" w:line="65" w:lineRule="exact"/>
        <w:rPr>
          <w:sz w:val="20"/>
          <w:szCs w:val="20"/>
          <w:color w:val="auto"/>
        </w:rPr>
      </w:pPr>
    </w:p>
    <w:p>
      <w:pPr>
        <w:ind w:left="760" w:hanging="378"/>
        <w:spacing w:after="0"/>
        <w:tabs>
          <w:tab w:leader="none" w:pos="7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Degrees, certificates or other training completed, schools attended and relevant dates.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contained in letters of application and resume/CV, previous employment background.</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6F2F9F"/>
        </w:rPr>
        <w:t>Profiles and Inferences</w:t>
      </w:r>
      <w:r>
        <w:rPr>
          <w:rFonts w:ascii="Times New Roman" w:cs="Times New Roman" w:eastAsia="Times New Roman" w:hAnsi="Times New Roman"/>
          <w:sz w:val="20"/>
          <w:szCs w:val="20"/>
          <w:color w:val="000000"/>
        </w:rPr>
        <w:t>: inferences drawn from any of the information identified above to create a profile about an employee reflecting their</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preferences, characteristics, psychological trends, predispositions, behaviour, attitudes, intelligence, abilities, and aptitudes.</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6F2F9F"/>
        </w:rPr>
        <w:t>Logins and Account Access Information</w:t>
      </w:r>
      <w:r>
        <w:rPr>
          <w:rFonts w:ascii="Times New Roman" w:cs="Times New Roman" w:eastAsia="Times New Roman" w:hAnsi="Times New Roman"/>
          <w:sz w:val="20"/>
          <w:szCs w:val="20"/>
          <w:color w:val="000000"/>
        </w:rPr>
        <w:t>: information which reveals account login, financial account, debit or credit card in combination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with any required security or access code, password or credential allowing access.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What About Sensitive Information?</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may also collect certain types of information that is considered sensitive data or sensitive personal information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Please be assured that, as explained in the following section, we will only use such sensitive information for the following purposes and as provided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The Purposes for which we may collect, use, transfer and disclose Personal Information</w:t>
      </w:r>
      <w:r>
        <w:rPr>
          <w:rFonts w:ascii="Times New Roman" w:cs="Times New Roman" w:eastAsia="Times New Roman" w:hAnsi="Times New Roman"/>
          <w:sz w:val="20"/>
          <w:szCs w:val="20"/>
          <w:b w:val="1"/>
          <w:bCs w:val="1"/>
          <w:color w:val="000000"/>
        </w:rPr>
        <w:t>:</w:t>
      </w:r>
    </w:p>
    <w:p>
      <w:pPr>
        <w:spacing w:after="0" w:line="112" w:lineRule="exact"/>
        <w:rPr>
          <w:sz w:val="20"/>
          <w:szCs w:val="20"/>
          <w:color w:val="auto"/>
        </w:rPr>
      </w:pPr>
    </w:p>
    <w:p>
      <w:pPr>
        <w:jc w:val="both"/>
        <w:ind w:left="760" w:hanging="378"/>
        <w:spacing w:after="0" w:line="244" w:lineRule="auto"/>
        <w:tabs>
          <w:tab w:leader="none" w:pos="7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Managing Workforce</w:t>
      </w:r>
      <w:r>
        <w:rPr>
          <w:rFonts w:ascii="Times New Roman" w:cs="Times New Roman" w:eastAsia="Times New Roman" w:hAnsi="Times New Roman"/>
          <w:sz w:val="20"/>
          <w:szCs w:val="20"/>
          <w:color w:val="auto"/>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93" w:name="page94"/>
    <w:bookmarkEnd w:id="93"/>
    <w:p>
      <w:pPr>
        <w:ind w:left="760"/>
        <w:spacing w:after="0" w:line="269" w:lineRule="auto"/>
        <w:rPr>
          <w:sz w:val="20"/>
          <w:szCs w:val="20"/>
          <w:color w:val="auto"/>
        </w:rPr>
      </w:pPr>
      <w:r>
        <w:rPr>
          <w:rFonts w:ascii="Times New Roman" w:cs="Times New Roman" w:eastAsia="Times New Roman" w:hAnsi="Times New Roman"/>
          <w:sz w:val="20"/>
          <w:szCs w:val="20"/>
          <w:color w:val="auto"/>
        </w:rPr>
        <w:t>and reimbursements, planning and monitoring of training requirements and career development activities and skills, and creating and maintaining one or more internal employee directories.</w:t>
      </w:r>
    </w:p>
    <w:p>
      <w:pPr>
        <w:spacing w:after="0" w:line="51" w:lineRule="exact"/>
        <w:rPr>
          <w:sz w:val="20"/>
          <w:szCs w:val="20"/>
          <w:color w:val="auto"/>
        </w:rPr>
      </w:pPr>
    </w:p>
    <w:p>
      <w:pPr>
        <w:jc w:val="both"/>
        <w:ind w:left="760" w:hanging="378"/>
        <w:spacing w:after="0" w:line="254" w:lineRule="auto"/>
        <w:tabs>
          <w:tab w:leader="none" w:pos="7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and Emergencies</w:t>
      </w:r>
      <w:r>
        <w:rPr>
          <w:rFonts w:ascii="Times New Roman" w:cs="Times New Roman" w:eastAsia="Times New Roman" w:hAnsi="Times New Roman"/>
          <w:sz w:val="20"/>
          <w:szCs w:val="20"/>
          <w:color w:val="auto"/>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Operations</w:t>
      </w:r>
      <w:r>
        <w:rPr>
          <w:rFonts w:ascii="Times New Roman" w:cs="Times New Roman" w:eastAsia="Times New Roman" w:hAnsi="Times New Roman"/>
          <w:sz w:val="20"/>
          <w:szCs w:val="20"/>
          <w:color w:val="auto"/>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 enhancing services.</w:t>
      </w:r>
    </w:p>
    <w:p>
      <w:pPr>
        <w:spacing w:after="0" w:line="76" w:lineRule="exact"/>
        <w:rPr>
          <w:rFonts w:ascii="Times New Roman" w:cs="Times New Roman" w:eastAsia="Times New Roman" w:hAnsi="Times New Roman"/>
          <w:sz w:val="20"/>
          <w:szCs w:val="20"/>
          <w:color w:val="auto"/>
        </w:rPr>
      </w:pPr>
    </w:p>
    <w:p>
      <w:pPr>
        <w:jc w:val="both"/>
        <w:ind w:left="760" w:hanging="378"/>
        <w:spacing w:after="0" w:line="260" w:lineRule="auto"/>
        <w:tabs>
          <w:tab w:leader="none" w:pos="76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w:t>
      </w:r>
      <w:r>
        <w:rPr>
          <w:rFonts w:ascii="Times New Roman" w:cs="Times New Roman" w:eastAsia="Times New Roman" w:hAnsi="Times New Roman"/>
          <w:sz w:val="19"/>
          <w:szCs w:val="19"/>
          <w:color w:val="auto"/>
        </w:rPr>
        <w:t>: Complying with legal and other requirements and otherwise protecting the company’s legal interests,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64" w:lineRule="exact"/>
        <w:rPr>
          <w:rFonts w:ascii="Times New Roman" w:cs="Times New Roman" w:eastAsia="Times New Roman" w:hAnsi="Times New Roman"/>
          <w:sz w:val="19"/>
          <w:szCs w:val="19"/>
          <w:color w:val="auto"/>
        </w:rPr>
      </w:pPr>
    </w:p>
    <w:p>
      <w:pPr>
        <w:jc w:val="both"/>
        <w:ind w:left="760" w:hanging="378"/>
        <w:spacing w:after="0" w:line="254" w:lineRule="auto"/>
        <w:tabs>
          <w:tab w:leader="none" w:pos="7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Monitoring</w:t>
      </w:r>
      <w:r>
        <w:rPr>
          <w:rFonts w:ascii="Times New Roman" w:cs="Times New Roman" w:eastAsia="Times New Roman" w:hAnsi="Times New Roman"/>
          <w:sz w:val="20"/>
          <w:szCs w:val="20"/>
          <w:color w:val="auto"/>
        </w:rPr>
        <w:t>: Monitoring use of Company assets,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Complying with record keeping requirements</w:t>
      </w:r>
      <w:r>
        <w:rPr>
          <w:rFonts w:ascii="Times New Roman" w:cs="Times New Roman" w:eastAsia="Times New Roman" w:hAnsi="Times New Roman"/>
          <w:sz w:val="20"/>
          <w:szCs w:val="20"/>
          <w:color w:val="auto"/>
        </w:rPr>
        <w:t>: Complying with record keeping requirements, including retention requirements mandated by statute or governmental regulatory agencies in the geographies where we do business, as defined in our agreements, or per client instructions.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color w:val="6F2F9F"/>
        </w:rPr>
        <w:t>Aggregate and de-identified information</w:t>
      </w:r>
      <w:r>
        <w:rPr>
          <w:rFonts w:ascii="Times New Roman" w:cs="Times New Roman" w:eastAsia="Times New Roman" w:hAnsi="Times New Roman"/>
          <w:sz w:val="19"/>
          <w:szCs w:val="19"/>
          <w:color w:val="000000"/>
        </w:rPr>
        <w:t>. To the extent permitted by law, we may de-identify Personal Information and create anonymous</w:t>
      </w:r>
      <w:r>
        <w:rPr>
          <w:rFonts w:ascii="Times New Roman" w:cs="Times New Roman" w:eastAsia="Times New Roman" w:hAnsi="Times New Roman"/>
          <w:sz w:val="19"/>
          <w:szCs w:val="19"/>
          <w:b w:val="1"/>
          <w:bCs w:val="1"/>
          <w:color w:val="6F2F9F"/>
        </w:rPr>
        <w:t xml:space="preserve"> </w:t>
      </w:r>
      <w:r>
        <w:rPr>
          <w:rFonts w:ascii="Times New Roman" w:cs="Times New Roman" w:eastAsia="Times New Roman" w:hAnsi="Times New Roman"/>
          <w:sz w:val="19"/>
          <w:szCs w:val="19"/>
          <w:color w:val="000000"/>
        </w:rPr>
        <w:t>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 identified data cannot be associated with any individual or client. We will only maintain and use such data in a de-identified manner and do not attempt to re-identify the data, except as permitted by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The categories of unaffiliated third parties with whom WTW may share Personal Information:</w:t>
      </w:r>
    </w:p>
    <w:p>
      <w:pPr>
        <w:spacing w:after="0" w:line="112" w:lineRule="exact"/>
        <w:rPr>
          <w:sz w:val="20"/>
          <w:szCs w:val="20"/>
          <w:color w:val="auto"/>
        </w:rPr>
      </w:pPr>
    </w:p>
    <w:p>
      <w:pPr>
        <w:ind w:left="760" w:hanging="378"/>
        <w:spacing w:after="0" w:line="269"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Professional Advisors</w:t>
      </w:r>
      <w:r>
        <w:rPr>
          <w:rFonts w:ascii="Times New Roman" w:cs="Times New Roman" w:eastAsia="Times New Roman" w:hAnsi="Times New Roman"/>
          <w:sz w:val="20"/>
          <w:szCs w:val="20"/>
          <w:color w:val="auto"/>
        </w:rPr>
        <w:t>: Accountants, auditors, lawyers, insurers, bankers, and other outside professional advisors in all of the countries in which the WTW operates.</w:t>
      </w:r>
    </w:p>
    <w:p>
      <w:pPr>
        <w:spacing w:after="0" w:line="51"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Providers</w:t>
      </w:r>
      <w:r>
        <w:rPr>
          <w:rFonts w:ascii="Times New Roman" w:cs="Times New Roman" w:eastAsia="Times New Roman" w:hAnsi="Times New Roman"/>
          <w:sz w:val="20"/>
          <w:szCs w:val="20"/>
          <w:color w:val="auto"/>
        </w:rPr>
        <w:t>: Companies that provide products and services to WTW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71"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and Governmental Authorities</w:t>
      </w:r>
      <w:r>
        <w:rPr>
          <w:rFonts w:ascii="Times New Roman" w:cs="Times New Roman" w:eastAsia="Times New Roman" w:hAnsi="Times New Roman"/>
          <w:sz w:val="20"/>
          <w:szCs w:val="20"/>
          <w:color w:val="auto"/>
        </w:rPr>
        <w:t>: Entities that regulate or have jurisdiction over companies in WTW such as regulatory authorities, law enforcement, public bodies, and judicial bodies (who may be located in other countries around the world).</w:t>
      </w:r>
    </w:p>
    <w:p>
      <w:pPr>
        <w:spacing w:after="0" w:line="51"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A third party in connection with any proposed or actual reorganization, merger, amalgamation, sale, joint venture, assignment, transfer or other disposition of all or any portion of WTW's business, assets or stock (including in connection with any bankruptcy or similar proceedings).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2– Processing of Personal Information Related to Internal Investigations</w:t>
      </w:r>
    </w:p>
    <w:p>
      <w:pPr>
        <w:spacing w:after="0" w:line="22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An internal investigation may arise for a variety of reasons, such as when the Legal or Compliance teams receive a report related to colleague actions or omissions that could constitute abuse, harassment, discrimination, wrongdoing, or violations of law or WTW policy. During an internal investigation, WTW may collect, use and process your Personal Information in accordance with the Global Employee Personal Information Protection Notice generally and also the provisions of this Annex 2.</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an internal investigation, your Personal Information will be processed for the purposes of conducting the investigation. In addition, it may be processed for purposes of WTW ensuring compliance with its ethical and legal responsibilities, and for WTW to act based on the findings of the investigation. The lawful basis for this processing is the legitimate interest of WTW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Personal Information obtained during an internal investigation will be accessible only to those authorized WTW colleagues involved with the investigation. It may also be shared with third parties engaged by WTW who are assisting with the investigation such as legal counsel. Under appropriate circumstances, Personal Information obtained during an investigation may also be shared with legal authorities, regulators and/or the courts.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Personal Information related to the investigation will be maintained for as long as necessary for the purposes set forth above and in accordance with our Records Management Policy. For example, if you are interviewed, the Personal Information related to your interview will be retained, archived, and ultimately deleted in accordance with the WTW Records Management Policy.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3 – Information for California Residents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66" w:lineRule="exact"/>
        <w:rPr>
          <w:sz w:val="20"/>
          <w:szCs w:val="20"/>
          <w:color w:val="auto"/>
        </w:rPr>
      </w:pPr>
    </w:p>
    <w:p>
      <w:pPr>
        <w:ind w:left="760" w:hanging="378"/>
        <w:spacing w:after="0"/>
        <w:tabs>
          <w:tab w:leader="none" w:pos="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information made lawfully available by state or federal governments</w:t>
      </w:r>
    </w:p>
    <w:p>
      <w:pPr>
        <w:spacing w:after="0" w:line="107" w:lineRule="exact"/>
        <w:rPr>
          <w:rFonts w:ascii="Times New Roman" w:cs="Times New Roman" w:eastAsia="Times New Roman" w:hAnsi="Times New Roman"/>
          <w:sz w:val="20"/>
          <w:szCs w:val="20"/>
          <w:color w:val="auto"/>
        </w:rPr>
      </w:pPr>
    </w:p>
    <w:p>
      <w:pPr>
        <w:ind w:left="760" w:right="140" w:hanging="378"/>
        <w:spacing w:after="0" w:line="254" w:lineRule="auto"/>
        <w:tabs>
          <w:tab w:leader="none" w:pos="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we collect about job applicants or independent contractors at WTW</w:t>
      </w:r>
    </w:p>
    <w:p>
      <w:pPr>
        <w:spacing w:after="0" w:line="107" w:lineRule="exact"/>
        <w:rPr>
          <w:rFonts w:ascii="Times New Roman" w:cs="Times New Roman" w:eastAsia="Times New Roman" w:hAnsi="Times New Roman"/>
          <w:sz w:val="20"/>
          <w:szCs w:val="20"/>
          <w:color w:val="auto"/>
        </w:rPr>
      </w:pPr>
    </w:p>
    <w:p>
      <w:pPr>
        <w:ind w:left="760" w:right="120" w:hanging="378"/>
        <w:spacing w:after="0" w:line="249" w:lineRule="auto"/>
        <w:tabs>
          <w:tab w:leader="none" w:pos="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6F2F9F"/>
        </w:rPr>
        <w:t>Categories of personal information we collect, disclose, sell, or share</w:t>
      </w:r>
      <w:r>
        <w:rPr>
          <w:rFonts w:ascii="Times New Roman" w:cs="Times New Roman" w:eastAsia="Times New Roman" w:hAnsi="Times New Roman"/>
          <w:sz w:val="20"/>
          <w:szCs w:val="20"/>
          <w:color w:val="000000"/>
        </w:rPr>
        <w:t>. Our collection, use and disclosure of personal information about a</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6F2F9F"/>
        </w:rPr>
        <w:t>Rights of California residents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California law grants California residents certain rights and imposes restrictions on particular business</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practices as set forth below.</w:t>
      </w:r>
    </w:p>
    <w:p>
      <w:pPr>
        <w:spacing w:after="0" w:line="44" w:lineRule="exact"/>
        <w:rPr>
          <w:sz w:val="20"/>
          <w:szCs w:val="20"/>
          <w:color w:val="auto"/>
        </w:rPr>
      </w:pPr>
    </w:p>
    <w:p>
      <w:pPr>
        <w:ind w:left="760" w:hanging="378"/>
        <w:spacing w:after="0" w:line="273"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Do-Not-Sell</w:t>
      </w:r>
      <w:r>
        <w:rPr>
          <w:rFonts w:ascii="Times New Roman" w:cs="Times New Roman" w:eastAsia="Times New Roman" w:hAnsi="Times New Roman"/>
          <w:sz w:val="20"/>
          <w:szCs w:val="20"/>
          <w:color w:val="auto"/>
        </w:rPr>
        <w:t>: California residents have the right to opt-out of our sale of their personal information. We do not “sell”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subject to this Notice.</w:t>
      </w:r>
    </w:p>
    <w:p>
      <w:pPr>
        <w:spacing w:after="0" w:line="43"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Initial Notice</w:t>
      </w:r>
      <w:r>
        <w:rPr>
          <w:rFonts w:ascii="Times New Roman" w:cs="Times New Roman" w:eastAsia="Times New Roman" w:hAnsi="Times New Roman"/>
          <w:sz w:val="20"/>
          <w:szCs w:val="20"/>
          <w:color w:val="auto"/>
        </w:rPr>
        <w:t>: We are required to notify California residents, at or before the point of collection of their personal information,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categories of personal information collected and the purposes for which such information is used.</w:t>
      </w:r>
    </w:p>
    <w:p>
      <w:pPr>
        <w:spacing w:after="0" w:line="43"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Delete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California residents have the right to request deletion of their personal information that we have collected about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67"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 the Use of Sensitive Personal Information: </w:t>
      </w:r>
      <w:r>
        <w:rPr>
          <w:rFonts w:ascii="Times New Roman" w:cs="Times New Roman" w:eastAsia="Times New Roman" w:hAnsi="Times New Roman"/>
          <w:sz w:val="20"/>
          <w:szCs w:val="20"/>
          <w:color w:val="auto"/>
        </w:rPr>
        <w:t>California residents have the right in certain instances to request that we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 and sharing of their sensitive personal information. The 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70"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Know</w:t>
      </w:r>
      <w:r>
        <w:rPr>
          <w:rFonts w:ascii="Times New Roman" w:cs="Times New Roman" w:eastAsia="Times New Roman" w:hAnsi="Times New Roman"/>
          <w:sz w:val="20"/>
          <w:szCs w:val="20"/>
          <w:color w:val="auto"/>
        </w:rPr>
        <w:t>: California residents have the right to request and, subject to certain exemptions, receive a copy of the specific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96" w:name="page97"/>
    <w:bookmarkEnd w:id="96"/>
    <w:p>
      <w:pPr>
        <w:ind w:left="760"/>
        <w:spacing w:after="0" w:line="269" w:lineRule="auto"/>
        <w:rPr>
          <w:sz w:val="20"/>
          <w:szCs w:val="20"/>
          <w:color w:val="auto"/>
        </w:rPr>
      </w:pPr>
      <w:r>
        <w:rPr>
          <w:rFonts w:ascii="Times New Roman" w:cs="Times New Roman" w:eastAsia="Times New Roman" w:hAnsi="Times New Roman"/>
          <w:sz w:val="20"/>
          <w:szCs w:val="20"/>
          <w:color w:val="auto"/>
        </w:rPr>
        <w:t>hindrance. California residents also have the right to request that we provide them certain information about how we have handled their personal information, including the:</w:t>
      </w:r>
    </w:p>
    <w:p>
      <w:pPr>
        <w:spacing w:after="0" w:line="51" w:lineRule="exact"/>
        <w:rPr>
          <w:sz w:val="20"/>
          <w:szCs w:val="20"/>
          <w:color w:val="auto"/>
        </w:rPr>
      </w:pPr>
    </w:p>
    <w:p>
      <w:pPr>
        <w:ind w:left="1140" w:hanging="383"/>
        <w:spacing w:after="0"/>
        <w:tabs>
          <w:tab w:leader="none" w:pos="11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collected;</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sources of personal information;</w:t>
      </w:r>
    </w:p>
    <w:p>
      <w:pPr>
        <w:ind w:left="1140" w:hanging="383"/>
        <w:spacing w:after="0"/>
        <w:tabs>
          <w:tab w:leader="none" w:pos="11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and/or commercial purposes for collecting and selling their personal information;</w:t>
      </w:r>
    </w:p>
    <w:p>
      <w:pPr>
        <w:ind w:left="1140" w:hanging="383"/>
        <w:spacing w:after="0"/>
        <w:tabs>
          <w:tab w:leader="none" w:pos="11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third parties with whom we have shared their personal information;</w:t>
      </w:r>
    </w:p>
    <w:p>
      <w:pPr>
        <w:ind w:left="1140" w:hanging="383"/>
        <w:spacing w:after="0" w:line="239" w:lineRule="auto"/>
        <w:tabs>
          <w:tab w:leader="none" w:pos="11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that we have sold in the preceding 12 months, and for each category identified, the categories of third parties to which we sold that particular category of information; and</w:t>
      </w:r>
    </w:p>
    <w:p>
      <w:pPr>
        <w:ind w:left="1140" w:hanging="383"/>
        <w:spacing w:after="0" w:line="246" w:lineRule="auto"/>
        <w:tabs>
          <w:tab w:leader="none" w:pos="114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disclosed for a business purpose in the preceding 12 months, and for each category identified, the categories of third parties to which we disclosed that particular category of personal information.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62" w:lineRule="exact"/>
        <w:rPr>
          <w:sz w:val="20"/>
          <w:szCs w:val="20"/>
          <w:color w:val="auto"/>
        </w:rPr>
      </w:pPr>
    </w:p>
    <w:p>
      <w:pPr>
        <w:ind w:left="760" w:hanging="378"/>
        <w:spacing w:after="0"/>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Correct</w:t>
      </w:r>
      <w:r>
        <w:rPr>
          <w:rFonts w:ascii="Times New Roman" w:cs="Times New Roman" w:eastAsia="Times New Roman" w:hAnsi="Times New Roman"/>
          <w:sz w:val="20"/>
          <w:szCs w:val="20"/>
          <w:color w:val="auto"/>
        </w:rPr>
        <w:t>: California residents have the right to request that we correct inaccurate personal information that we maintain.</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Right to Non-Discrimination</w:t>
      </w:r>
      <w:r>
        <w:rPr>
          <w:rFonts w:ascii="Times New Roman" w:cs="Times New Roman" w:eastAsia="Times New Roman" w:hAnsi="Times New Roman"/>
          <w:sz w:val="20"/>
          <w:szCs w:val="20"/>
          <w:color w:val="auto"/>
        </w:rPr>
        <w:t>: The CCPA prohibits discrimination against California residents for exercising their rights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67"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Incentives</w:t>
      </w:r>
      <w:r>
        <w:rPr>
          <w:rFonts w:ascii="Times New Roman" w:cs="Times New Roman" w:eastAsia="Times New Roman" w:hAnsi="Times New Roman"/>
          <w:sz w:val="20"/>
          <w:szCs w:val="20"/>
          <w:color w:val="auto"/>
        </w:rPr>
        <w:t>: A business may offer financial incentives for the collection, sale or deletion of California residents’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72"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Submitting Requests</w:t>
      </w:r>
      <w:r>
        <w:rPr>
          <w:rFonts w:ascii="Times New Roman" w:cs="Times New Roman" w:eastAsia="Times New Roman" w:hAnsi="Times New Roman"/>
          <w:sz w:val="20"/>
          <w:szCs w:val="20"/>
          <w:color w:val="auto"/>
        </w:rPr>
        <w:t>. Do-Not-Sell (Opt-out) Requests, Requests to Know, Requests to Delete, Requests to Limit, and Requests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Correct may be submitted:</w:t>
      </w:r>
    </w:p>
    <w:p>
      <w:pPr>
        <w:spacing w:after="0" w:line="47"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By contacting us at 1-800-889-9288 (toll free)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By submitting a Consumer Request through this link</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66" w:lineRule="exact"/>
        <w:rPr>
          <w:sz w:val="20"/>
          <w:szCs w:val="20"/>
          <w:color w:val="auto"/>
        </w:rPr>
      </w:pPr>
    </w:p>
    <w:p>
      <w:pPr>
        <w:jc w:val="both"/>
        <w:ind w:left="760" w:hanging="378"/>
        <w:spacing w:after="0" w:line="254" w:lineRule="auto"/>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which are outlined above; and (3) direct confirmation that the consumer provided the authorized agent permission to submit the request.</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will respond to verifiable requests received from California residents as required by law. For more information about our privacy practices, you may contact us as set forth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Consumer Requests Received</w:t>
      </w:r>
      <w:r>
        <w:rPr>
          <w:rFonts w:ascii="Times New Roman" w:cs="Times New Roman" w:eastAsia="Times New Roman" w:hAnsi="Times New Roman"/>
          <w:sz w:val="20"/>
          <w:szCs w:val="20"/>
          <w:color w:val="auto"/>
        </w:rPr>
        <w:t>. For information about the consumer requests we have received, please see this page.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Opt-Out Preference Signals and “Do-Not-Track” Signals.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4 – Information for Residents of the Kingdom of Saudi Arabia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What do we do? </w:t>
      </w:r>
      <w:r>
        <w:rPr>
          <w:rFonts w:ascii="Times New Roman" w:cs="Times New Roman" w:eastAsia="Times New Roman" w:hAnsi="Times New Roman"/>
          <w:sz w:val="20"/>
          <w:szCs w:val="20"/>
          <w:color w:val="auto"/>
        </w:rPr>
        <w:t>At WTW we provide data-driven, insight-led solutions in the areas of people, risk and capital.</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Additional legal basis. </w:t>
      </w:r>
      <w:r>
        <w:rPr>
          <w:rFonts w:ascii="Times New Roman" w:cs="Times New Roman" w:eastAsia="Times New Roman" w:hAnsi="Times New Roman"/>
          <w:sz w:val="20"/>
          <w:szCs w:val="20"/>
          <w:color w:val="auto"/>
        </w:rPr>
        <w:t>The PDPL provides for several sets of legal bases for processing personal information. In addition to those listed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and in the event that personal information is to be processed in accordance with the PDPL, we may process your personal information on the basis of your actual interests – this would be the case where the processing would serve your actual interests, but communicating with you becomes difficult, or even impossible.</w:t>
      </w:r>
    </w:p>
    <w:p>
      <w:pPr>
        <w:spacing w:after="0" w:line="17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Additional rights. </w:t>
      </w:r>
      <w:r>
        <w:rPr>
          <w:rFonts w:ascii="Times New Roman" w:cs="Times New Roman" w:eastAsia="Times New Roman" w:hAnsi="Times New Roman"/>
          <w:sz w:val="20"/>
          <w:szCs w:val="20"/>
          <w:color w:val="auto"/>
        </w:rPr>
        <w:t>You may have the right to claim compensation for material or moral damage if you are harmed as a result of our violation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PDPL or its implementing regulations.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outlined in the section entitled "Access and correction requests, questions, and complaints" you can complain to us and if you are not satisfied with how we handle your complaint, you can file a complaint to the Saudi Data and Artificial Intelligence Authority at this link: https://sdaia.gov.sa/en/Contact/Pages/ContactUs.aspx</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5 - Information for Residents of Bermuda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applies to any individual’s personal information used in Bermuda in accordance with PIPA: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Rights under PIPA:</w:t>
      </w:r>
    </w:p>
    <w:p>
      <w:pPr>
        <w:spacing w:after="0" w:line="108" w:lineRule="exact"/>
        <w:rPr>
          <w:sz w:val="20"/>
          <w:szCs w:val="20"/>
          <w:color w:val="auto"/>
        </w:rPr>
      </w:pPr>
    </w:p>
    <w:p>
      <w:pPr>
        <w:jc w:val="both"/>
        <w:ind w:left="760" w:hanging="378"/>
        <w:spacing w:after="0" w:line="256" w:lineRule="auto"/>
        <w:tabs>
          <w:tab w:leader="none" w:pos="7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Access</w:t>
      </w:r>
      <w:r>
        <w:rPr>
          <w:rFonts w:ascii="Times New Roman" w:cs="Times New Roman" w:eastAsia="Times New Roman" w:hAnsi="Times New Roman"/>
          <w:sz w:val="20"/>
          <w:szCs w:val="20"/>
          <w:color w:val="auto"/>
        </w:rPr>
        <w:t>: You have the right to request access: (i) your personal information in the custody or under the control of the Willis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Towers Watson; (ii) the purposes for which your personal information has been and is being used by us; and (iii) the names of the persons or types of persons to whom and circumstances in which your personal information has been and is being disclosed.</w:t>
      </w:r>
    </w:p>
    <w:p>
      <w:pPr>
        <w:spacing w:after="0" w:line="60"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Access Medical Records</w:t>
      </w:r>
      <w:r>
        <w:rPr>
          <w:rFonts w:ascii="Times New Roman" w:cs="Times New Roman" w:eastAsia="Times New Roman" w:hAnsi="Times New Roman"/>
          <w:sz w:val="20"/>
          <w:szCs w:val="20"/>
          <w:color w:val="auto"/>
        </w:rPr>
        <w:t>: You have the right to request access to personal information (i) of a medical or psychiatric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nature; or (ii) kept for the purposes of, or obtained in the course of, the carrying out of social work in relation to the individual.</w:t>
      </w:r>
    </w:p>
    <w:p>
      <w:pPr>
        <w:spacing w:after="0" w:line="43"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Correction</w:t>
      </w:r>
      <w:r>
        <w:rPr>
          <w:rFonts w:ascii="Times New Roman" w:cs="Times New Roman" w:eastAsia="Times New Roman" w:hAnsi="Times New Roman"/>
          <w:sz w:val="20"/>
          <w:szCs w:val="20"/>
          <w:color w:val="auto"/>
        </w:rPr>
        <w:t>: You have the right to request us to correct an error or omission in your personal information which is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control of Willis Towers Watson.</w:t>
      </w:r>
    </w:p>
    <w:p>
      <w:pPr>
        <w:spacing w:after="0" w:line="43"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Erasure or Destruction</w:t>
      </w:r>
      <w:r>
        <w:rPr>
          <w:rFonts w:ascii="Times New Roman" w:cs="Times New Roman" w:eastAsia="Times New Roman" w:hAnsi="Times New Roman"/>
          <w:sz w:val="20"/>
          <w:szCs w:val="20"/>
          <w:color w:val="auto"/>
        </w:rPr>
        <w:t>: You have the right to request us to erase or destroy personal information about you where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information is no longer relevant for the purposes of its use.</w:t>
      </w:r>
    </w:p>
    <w:p>
      <w:pPr>
        <w:spacing w:after="0" w:line="43" w:lineRule="exact"/>
        <w:rPr>
          <w:rFonts w:ascii="Times New Roman" w:cs="Times New Roman" w:eastAsia="Times New Roman" w:hAnsi="Times New Roman"/>
          <w:sz w:val="20"/>
          <w:szCs w:val="20"/>
          <w:color w:val="auto"/>
        </w:rPr>
      </w:pPr>
    </w:p>
    <w:p>
      <w:pPr>
        <w:jc w:val="both"/>
        <w:ind w:left="760" w:hanging="378"/>
        <w:spacing w:after="0" w:line="256" w:lineRule="auto"/>
        <w:tabs>
          <w:tab w:leader="none" w:pos="7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Blocking</w:t>
      </w:r>
      <w:r>
        <w:rPr>
          <w:rFonts w:ascii="Times New Roman" w:cs="Times New Roman" w:eastAsia="Times New Roman" w:hAnsi="Times New Roman"/>
          <w:sz w:val="20"/>
          <w:szCs w:val="20"/>
          <w:color w:val="auto"/>
        </w:rPr>
        <w:t>: You have the right to request us to cease, or not to begin, using your personal information for the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advertising, marketing or public relations, or where the use of that personal information is causing or is likely to cause substantial damage or substantial distress to you or to another individual.</w:t>
      </w:r>
    </w:p>
    <w:p>
      <w:pPr>
        <w:spacing w:after="0" w:line="60"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Review or Initiate a Complaint</w:t>
      </w:r>
      <w:r>
        <w:rPr>
          <w:rFonts w:ascii="Times New Roman" w:cs="Times New Roman" w:eastAsia="Times New Roman" w:hAnsi="Times New Roman"/>
          <w:sz w:val="20"/>
          <w:szCs w:val="20"/>
          <w:color w:val="auto"/>
        </w:rPr>
        <w:t>: Where an individual has made a request of us in respect of their personal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they may ask the Privacy Commissioner for Bermuda to review our decision, action or failure to act.</w:t>
      </w:r>
    </w:p>
    <w:p>
      <w:pPr>
        <w:spacing w:after="0" w:line="15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b w:val="1"/>
          <w:bCs w:val="1"/>
          <w:color w:val="auto"/>
        </w:rPr>
        <w:t>Submitting Requests</w:t>
      </w:r>
      <w:r>
        <w:rPr>
          <w:rFonts w:ascii="Times New Roman" w:cs="Times New Roman" w:eastAsia="Times New Roman" w:hAnsi="Times New Roman"/>
          <w:sz w:val="20"/>
          <w:szCs w:val="20"/>
          <w:color w:val="auto"/>
        </w:rPr>
        <w:t>: You can exercise your rights by submitting a written request setting out sufficient detail to enable us to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identify the personal information in the request:</w:t>
      </w:r>
    </w:p>
    <w:p>
      <w:pPr>
        <w:spacing w:after="0" w:line="48" w:lineRule="exact"/>
        <w:rPr>
          <w:sz w:val="20"/>
          <w:szCs w:val="20"/>
          <w:color w:val="auto"/>
        </w:rPr>
      </w:pPr>
    </w:p>
    <w:p>
      <w:pPr>
        <w:ind w:left="760" w:hanging="378"/>
        <w:spacing w:after="0"/>
        <w:tabs>
          <w:tab w:leader="none" w:pos="7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emailing us at dataaccessrequest@wtwco.com</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submitting a request through this link.</w:t>
      </w:r>
    </w:p>
    <w:p>
      <w:pPr>
        <w:spacing w:after="0" w:line="2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Compensation for financial loss or distress</w:t>
      </w:r>
      <w:r>
        <w:rPr>
          <w:rFonts w:ascii="Times New Roman" w:cs="Times New Roman" w:eastAsia="Times New Roman" w:hAnsi="Times New Roman"/>
          <w:sz w:val="20"/>
          <w:szCs w:val="20"/>
          <w:color w:val="auto"/>
        </w:rPr>
        <w:t>: An individual who suffers financial loss or emotional distress by reason of failure to comply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any of the requirements of PIPA by WTW is entitled to compensation from Willis Towers Watson.</w:t>
      </w:r>
    </w:p>
    <w:p>
      <w:pPr>
        <w:spacing w:after="0" w:line="1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How to contact us in Bermuda</w:t>
      </w:r>
      <w:r>
        <w:rPr>
          <w:rFonts w:ascii="Times New Roman" w:cs="Times New Roman" w:eastAsia="Times New Roman" w:hAnsi="Times New Roman"/>
          <w:sz w:val="20"/>
          <w:szCs w:val="20"/>
          <w:color w:val="auto"/>
        </w:rPr>
        <w:t>: If you have any questions or comments about this privacy notice regarding PIPA or our uses of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please contact our Privacy Officer by writing to privacy@wtwco.com.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6 – Special categories of personal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Policy Document Related to the United Kingdom</w:t>
      </w:r>
    </w:p>
    <w:p>
      <w:pPr>
        <w:spacing w:after="0" w:line="21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20"/>
          <w:szCs w:val="20"/>
          <w:b w:val="1"/>
          <w:bCs w:val="1"/>
          <w:u w:val="single" w:color="auto"/>
          <w:color w:val="auto"/>
        </w:rPr>
        <w:t>L</w:t>
      </w:r>
      <w:r>
        <w:rPr>
          <w:rFonts w:ascii="Times New Roman" w:cs="Times New Roman" w:eastAsia="Times New Roman" w:hAnsi="Times New Roman"/>
          <w:sz w:val="13"/>
          <w:szCs w:val="13"/>
          <w:b w:val="1"/>
          <w:bCs w:val="1"/>
          <w:u w:val="single" w:color="auto"/>
          <w:color w:val="auto"/>
        </w:rPr>
        <w:t>ast updated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une</w:t>
      </w:r>
      <w:r>
        <w:rPr>
          <w:rFonts w:ascii="Times New Roman" w:cs="Times New Roman" w:eastAsia="Times New Roman" w:hAnsi="Times New Roman"/>
          <w:sz w:val="20"/>
          <w:szCs w:val="20"/>
          <w:b w:val="1"/>
          <w:bCs w:val="1"/>
          <w:color w:val="auto"/>
        </w:rPr>
        <w:t xml:space="preserve"> 2024</w:t>
      </w:r>
    </w:p>
    <w:p>
      <w:pPr>
        <w:spacing w:after="0" w:line="220" w:lineRule="exact"/>
        <w:rPr>
          <w:sz w:val="20"/>
          <w:szCs w:val="20"/>
          <w:color w:val="auto"/>
        </w:rPr>
      </w:pPr>
    </w:p>
    <w:p>
      <w:pPr>
        <w:ind w:left="760" w:hanging="752"/>
        <w:spacing w:after="0"/>
        <w:tabs>
          <w:tab w:leader="none" w:pos="760" w:val="left"/>
        </w:tabs>
        <w:numPr>
          <w:ilvl w:val="0"/>
          <w:numId w:val="11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objective</w:t>
      </w:r>
    </w:p>
    <w:p>
      <w:pPr>
        <w:spacing w:after="0" w:line="212" w:lineRule="exact"/>
        <w:rPr>
          <w:sz w:val="20"/>
          <w:szCs w:val="20"/>
          <w:color w:val="auto"/>
        </w:rPr>
      </w:pPr>
    </w:p>
    <w:p>
      <w:pPr>
        <w:jc w:val="both"/>
        <w:ind w:left="1060" w:hanging="748"/>
        <w:spacing w:after="0" w:line="256" w:lineRule="auto"/>
        <w:tabs>
          <w:tab w:leader="none" w:pos="10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This Special categories of personal information Policy Document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established to ensure that WTW processes special categories of personal information in a way which complies with the UK Data Protection Act 2018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where it applies.</w:t>
      </w:r>
    </w:p>
    <w:p>
      <w:pPr>
        <w:spacing w:after="0" w:line="173" w:lineRule="exact"/>
        <w:rPr>
          <w:sz w:val="20"/>
          <w:szCs w:val="20"/>
          <w:color w:val="auto"/>
        </w:rPr>
      </w:pPr>
    </w:p>
    <w:p>
      <w:pPr>
        <w:ind w:left="760" w:hanging="752"/>
        <w:spacing w:after="0"/>
        <w:tabs>
          <w:tab w:leader="none" w:pos="760" w:val="left"/>
        </w:tabs>
        <w:numPr>
          <w:ilvl w:val="0"/>
          <w:numId w:val="11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Scope</w:t>
      </w:r>
    </w:p>
    <w:p>
      <w:pPr>
        <w:spacing w:after="0" w:line="212" w:lineRule="exact"/>
        <w:rPr>
          <w:sz w:val="20"/>
          <w:szCs w:val="20"/>
          <w:color w:val="auto"/>
        </w:rPr>
      </w:pPr>
    </w:p>
    <w:p>
      <w:pPr>
        <w:jc w:val="both"/>
        <w:ind w:left="1060" w:hanging="748"/>
        <w:spacing w:after="0" w:line="256" w:lineRule="auto"/>
        <w:tabs>
          <w:tab w:leader="none" w:pos="10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 xml:space="preserve">This Policy applies to all subsidiary companies of WTW PLC based in the </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Willis Towers Watson</w:t>
      </w:r>
      <w:r>
        <w:rPr>
          <w:rFonts w:ascii="Times New Roman" w:cs="Times New Roman" w:eastAsia="Times New Roman" w:hAnsi="Times New Roman"/>
          <w:sz w:val="20"/>
          <w:szCs w:val="20"/>
          <w:color w:val="auto"/>
        </w:rPr>
        <w:t>"). All permanent and temporary employees, officers and directors (collectively, "</w:t>
      </w:r>
      <w:r>
        <w:rPr>
          <w:rFonts w:ascii="Times New Roman" w:cs="Times New Roman" w:eastAsia="Times New Roman" w:hAnsi="Times New Roman"/>
          <w:sz w:val="20"/>
          <w:szCs w:val="20"/>
          <w:b w:val="1"/>
          <w:bCs w:val="1"/>
          <w:color w:val="auto"/>
        </w:rPr>
        <w:t>Employees</w:t>
      </w:r>
      <w:r>
        <w:rPr>
          <w:rFonts w:ascii="Times New Roman" w:cs="Times New Roman" w:eastAsia="Times New Roman" w:hAnsi="Times New Roman"/>
          <w:sz w:val="20"/>
          <w:szCs w:val="20"/>
          <w:color w:val="auto"/>
        </w:rPr>
        <w:t>") of WTW operations in the United Kingdom are expected to comply with this Policy.</w:t>
      </w:r>
    </w:p>
    <w:p>
      <w:pPr>
        <w:spacing w:after="0" w:line="173" w:lineRule="exact"/>
        <w:rPr>
          <w:sz w:val="20"/>
          <w:szCs w:val="20"/>
          <w:color w:val="auto"/>
        </w:rPr>
      </w:pPr>
    </w:p>
    <w:p>
      <w:pPr>
        <w:jc w:val="both"/>
        <w:ind w:left="1060" w:hanging="748"/>
        <w:spacing w:after="0" w:line="249" w:lineRule="auto"/>
        <w:tabs>
          <w:tab w:leader="none" w:pos="10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Outside the United Kingdom, some jurisdictions may have laws that impose additional requirements as to the way in which WTW processes special categories of personal information. It is the responsibility of WTW entities to ensure compliance with all relevant country, regional and/or state laws, governmental regulations, professional practice obligations and regulatory guidance which relate to data privacy compliance.</w:t>
      </w:r>
    </w:p>
    <w:p>
      <w:pPr>
        <w:spacing w:after="0" w:line="180" w:lineRule="exact"/>
        <w:rPr>
          <w:sz w:val="20"/>
          <w:szCs w:val="20"/>
          <w:color w:val="auto"/>
        </w:rPr>
      </w:pPr>
    </w:p>
    <w:p>
      <w:pPr>
        <w:ind w:left="760" w:hanging="752"/>
        <w:spacing w:after="0"/>
        <w:tabs>
          <w:tab w:leader="none" w:pos="760" w:val="left"/>
        </w:tabs>
        <w:numPr>
          <w:ilvl w:val="0"/>
          <w:numId w:val="113"/>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Governance</w:t>
      </w:r>
    </w:p>
    <w:p>
      <w:pPr>
        <w:spacing w:after="0" w:line="216"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Policy Owners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Policy Owner is the Chief Privacy Officer. The Chief Privacy Officer will be responsible for liaising with the local supervisory authority in connection with any questions arising in relation to this Policy.</w:t>
      </w:r>
    </w:p>
    <w:p>
      <w:pPr>
        <w:spacing w:after="0" w:line="159"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Policy Approval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WTW Chief Privacy Officer is responsible for approval of this Policy.</w:t>
      </w:r>
    </w:p>
    <w:p>
      <w:pPr>
        <w:spacing w:after="0" w:line="216"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Policy review/material changes to Policy</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Policy will be reviewed at least annually, and the Policy Owner will be required to attest to policy adherence with material changes advised to the Privacy Team, for their approval. Global Privacy Office shall agree if such changes require escalation.</w:t>
      </w:r>
    </w:p>
    <w:p>
      <w:pPr>
        <w:spacing w:after="0" w:line="159" w:lineRule="exact"/>
        <w:rPr>
          <w:sz w:val="20"/>
          <w:szCs w:val="20"/>
          <w:color w:val="auto"/>
        </w:rPr>
      </w:pPr>
    </w:p>
    <w:p>
      <w:pPr>
        <w:ind w:left="760" w:hanging="752"/>
        <w:spacing w:after="0"/>
        <w:tabs>
          <w:tab w:leader="none" w:pos="760" w:val="left"/>
        </w:tabs>
        <w:numPr>
          <w:ilvl w:val="0"/>
          <w:numId w:val="114"/>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Background</w:t>
      </w:r>
    </w:p>
    <w:p>
      <w:pPr>
        <w:spacing w:after="0" w:line="212" w:lineRule="exact"/>
        <w:rPr>
          <w:sz w:val="20"/>
          <w:szCs w:val="20"/>
          <w:color w:val="auto"/>
        </w:rPr>
      </w:pPr>
    </w:p>
    <w:p>
      <w:pPr>
        <w:jc w:val="both"/>
        <w:ind w:left="1060" w:hanging="748"/>
        <w:spacing w:after="0" w:line="247" w:lineRule="auto"/>
        <w:tabs>
          <w:tab w:leader="none" w:pos="10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 categories of personal information</w:t>
      </w:r>
      <w:r>
        <w:rPr>
          <w:rFonts w:ascii="Times New Roman" w:cs="Times New Roman" w:eastAsia="Times New Roman" w:hAnsi="Times New Roman"/>
          <w:sz w:val="20"/>
          <w:szCs w:val="20"/>
          <w:color w:val="auto"/>
        </w:rPr>
        <w:t>" is personal data revealing racial or ethnic origin, political opinions, religious or philosophical beliefs, or trade union membership, genetic data or biometric data processed for the purpose of uniquely identifying a natural person, data concerning health or data concerning a natural person’s sex life or sexual orientation. WTW also treats information relating to criminal convictions and offences as falling within the definition of special categories of personal information.</w:t>
      </w:r>
    </w:p>
    <w:p>
      <w:pPr>
        <w:spacing w:after="0" w:line="184"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WTW collects the following types of special categories of personal information:</w:t>
      </w:r>
    </w:p>
    <w:p>
      <w:pPr>
        <w:spacing w:after="0" w:line="216" w:lineRule="exact"/>
        <w:rPr>
          <w:sz w:val="20"/>
          <w:szCs w:val="20"/>
          <w:color w:val="auto"/>
        </w:rPr>
      </w:pPr>
    </w:p>
    <w:p>
      <w:pPr>
        <w:ind w:left="1800" w:right="20" w:hanging="744"/>
        <w:spacing w:after="0" w:line="269" w:lineRule="auto"/>
        <w:tabs>
          <w:tab w:leader="none" w:pos="180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insurance purposes and claims handling in relation to insured individuals, claimants and related third parties.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01" w:name="page102"/>
    <w:bookmarkEnd w:id="101"/>
    <w:p>
      <w:pPr>
        <w:ind w:left="1800" w:hanging="744"/>
        <w:spacing w:after="0"/>
        <w:tabs>
          <w:tab w:leader="none" w:pos="18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for actuarial, pension scheme, and other benefits consultancy services.</w:t>
      </w:r>
    </w:p>
    <w:p>
      <w:pPr>
        <w:spacing w:after="0" w:line="215" w:lineRule="exact"/>
        <w:rPr>
          <w:rFonts w:ascii="Times New Roman" w:cs="Times New Roman" w:eastAsia="Times New Roman" w:hAnsi="Times New Roman"/>
          <w:sz w:val="20"/>
          <w:szCs w:val="20"/>
          <w:color w:val="auto"/>
        </w:rPr>
      </w:pPr>
    </w:p>
    <w:p>
      <w:pPr>
        <w:ind w:left="1800" w:hanging="744"/>
        <w:spacing w:after="0" w:line="269" w:lineRule="auto"/>
        <w:tabs>
          <w:tab w:leader="none" w:pos="18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human resources management purposes in relation to employees, contractors and agents.</w:t>
      </w:r>
    </w:p>
    <w:p>
      <w:pPr>
        <w:spacing w:after="0" w:line="159" w:lineRule="exact"/>
        <w:rPr>
          <w:rFonts w:ascii="Times New Roman" w:cs="Times New Roman" w:eastAsia="Times New Roman" w:hAnsi="Times New Roman"/>
          <w:sz w:val="20"/>
          <w:szCs w:val="20"/>
          <w:color w:val="auto"/>
        </w:rPr>
      </w:pPr>
    </w:p>
    <w:p>
      <w:pPr>
        <w:ind w:left="1800" w:hanging="744"/>
        <w:spacing w:after="0" w:line="269" w:lineRule="auto"/>
        <w:tabs>
          <w:tab w:leader="none" w:pos="18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racial or ethnic origin, religion and sexual orientation for diversity monitoring purposes in relation to job applicants, employees, contractors and agents.</w:t>
      </w:r>
    </w:p>
    <w:p>
      <w:pPr>
        <w:spacing w:after="0" w:line="159" w:lineRule="exact"/>
        <w:rPr>
          <w:sz w:val="20"/>
          <w:szCs w:val="20"/>
          <w:color w:val="auto"/>
        </w:rPr>
      </w:pPr>
    </w:p>
    <w:p>
      <w:pPr>
        <w:jc w:val="both"/>
        <w:ind w:left="1060" w:hanging="748"/>
        <w:spacing w:after="0" w:line="249" w:lineRule="auto"/>
        <w:tabs>
          <w:tab w:leader="none" w:pos="10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Given the sensitive nature of this information, data privacy law imposes certain restrictions on how special categories of personal information should be collected, used and protected. Failure to comply with data privacy law could lead to complaints from individuals, compensation claims, fines from regulators, and reputational risk for Willis Towers Watson. Failure to observe this Policy by any employee or contractor may result in disciplinary action.</w:t>
      </w:r>
    </w:p>
    <w:p>
      <w:pPr>
        <w:spacing w:after="0" w:line="180" w:lineRule="exact"/>
        <w:rPr>
          <w:sz w:val="20"/>
          <w:szCs w:val="20"/>
          <w:color w:val="auto"/>
        </w:rPr>
      </w:pPr>
    </w:p>
    <w:p>
      <w:pPr>
        <w:jc w:val="both"/>
        <w:ind w:left="1060" w:hanging="748"/>
        <w:spacing w:after="0" w:line="246" w:lineRule="auto"/>
        <w:tabs>
          <w:tab w:leader="none" w:pos="10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xml:space="preserve">This Policy is a key element of Willis Towers Watson's Global Privacy Framework and as such it applies in conjunction with all other policies and procedures established by WTW at group, regional and local country level which address the legal requirements and business needs applicable to the processing of data. </w:t>
      </w:r>
      <w:r>
        <w:rPr>
          <w:rFonts w:ascii="Times New Roman" w:cs="Times New Roman" w:eastAsia="Times New Roman" w:hAnsi="Times New Roman"/>
          <w:sz w:val="20"/>
          <w:szCs w:val="20"/>
          <w:b w:val="1"/>
          <w:bCs w:val="1"/>
          <w:color w:val="auto"/>
        </w:rPr>
        <w:t>In particular, the principles in this document must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applied in accordance with the WTW Global Privacy Policy, the Information Security Policy and the Global Records Management Policy</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060" w:hanging="748"/>
        <w:spacing w:after="0" w:line="269" w:lineRule="auto"/>
        <w:tabs>
          <w:tab w:leader="none" w:pos="10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The policies and procedures that comprise the WTW Global Privacy Framework, including the WTW Global Privacy Policy are available from the Chief Privacy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Further information</w:t>
      </w:r>
    </w:p>
    <w:p>
      <w:pPr>
        <w:spacing w:after="0" w:line="220" w:lineRule="exact"/>
        <w:rPr>
          <w:sz w:val="20"/>
          <w:szCs w:val="20"/>
          <w:color w:val="auto"/>
        </w:rPr>
      </w:pPr>
    </w:p>
    <w:p>
      <w:pPr>
        <w:jc w:val="both"/>
        <w:ind w:left="1040" w:hanging="733"/>
        <w:spacing w:after="0" w:line="269" w:lineRule="auto"/>
        <w:tabs>
          <w:tab w:leader="none" w:pos="102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If you require more information about data privacy and how the rules set out in this Policy affect WTW companies, you, or third parties, please contact the Chief Privacy Officer.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2" w:name="page103"/>
    <w:bookmarkEnd w:id="102"/>
    <w:p>
      <w:pPr>
        <w:ind w:left="740" w:hanging="732"/>
        <w:spacing w:after="0"/>
        <w:tabs>
          <w:tab w:leader="none" w:pos="740" w:val="left"/>
        </w:tabs>
        <w:numPr>
          <w:ilvl w:val="0"/>
          <w:numId w:val="117"/>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The Rules on processing special categories of personal information</w:t>
      </w:r>
    </w:p>
    <w:p>
      <w:pPr>
        <w:spacing w:after="0" w:line="216" w:lineRule="exact"/>
        <w:rPr>
          <w:sz w:val="20"/>
          <w:szCs w:val="20"/>
          <w:color w:val="auto"/>
        </w:rPr>
      </w:pPr>
    </w:p>
    <w:p>
      <w:pPr>
        <w:ind w:left="1040" w:hanging="733"/>
        <w:spacing w:after="0" w:line="269" w:lineRule="auto"/>
        <w:tabs>
          <w:tab w:leader="none" w:pos="10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The WTW Global Privacy Policy must be followed when processing special categories of personal information. This contains the following rules and sets out the practical steps that apply in relation to each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45345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The Rules</w:t>
      </w:r>
    </w:p>
    <w:p>
      <w:pPr>
        <w:spacing w:after="0" w:line="108" w:lineRule="exact"/>
        <w:rPr>
          <w:sz w:val="20"/>
          <w:szCs w:val="20"/>
          <w:color w:val="auto"/>
        </w:rPr>
      </w:pPr>
    </w:p>
    <w:p>
      <w:pPr>
        <w:ind w:left="760" w:hanging="378"/>
        <w:spacing w:after="0"/>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Transparency: </w:t>
      </w:r>
      <w:r>
        <w:rPr>
          <w:rFonts w:ascii="Times New Roman" w:cs="Times New Roman" w:eastAsia="Times New Roman" w:hAnsi="Times New Roman"/>
          <w:sz w:val="20"/>
          <w:szCs w:val="20"/>
          <w:color w:val="auto"/>
        </w:rPr>
        <w:t>We must be transparent about the way in which we use personal data.</w:t>
      </w:r>
    </w:p>
    <w:p>
      <w:pPr>
        <w:spacing w:after="0" w:line="107" w:lineRule="exact"/>
        <w:rPr>
          <w:rFonts w:ascii="Times New Roman" w:cs="Times New Roman" w:eastAsia="Times New Roman" w:hAnsi="Times New Roman"/>
          <w:sz w:val="20"/>
          <w:szCs w:val="20"/>
          <w:color w:val="auto"/>
        </w:rPr>
      </w:pPr>
    </w:p>
    <w:p>
      <w:pPr>
        <w:ind w:left="760" w:right="26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Collecting and using personal data for a lawful purpose only: </w:t>
      </w:r>
      <w:r>
        <w:rPr>
          <w:rFonts w:ascii="Times New Roman" w:cs="Times New Roman" w:eastAsia="Times New Roman" w:hAnsi="Times New Roman"/>
          <w:sz w:val="20"/>
          <w:szCs w:val="20"/>
          <w:color w:val="auto"/>
        </w:rPr>
        <w:t>We must only collect and use the minimum amount of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data which is necessary for one or more legitimate business purposes, which must be lawful and justifiable.</w:t>
      </w:r>
    </w:p>
    <w:p>
      <w:pPr>
        <w:spacing w:after="0" w:line="43" w:lineRule="exact"/>
        <w:rPr>
          <w:rFonts w:ascii="Times New Roman" w:cs="Times New Roman" w:eastAsia="Times New Roman" w:hAnsi="Times New Roman"/>
          <w:sz w:val="20"/>
          <w:szCs w:val="20"/>
          <w:color w:val="auto"/>
        </w:rPr>
      </w:pPr>
    </w:p>
    <w:p>
      <w:pPr>
        <w:ind w:left="760" w:right="2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Safeguarding special categories of data: </w:t>
      </w:r>
      <w:r>
        <w:rPr>
          <w:rFonts w:ascii="Times New Roman" w:cs="Times New Roman" w:eastAsia="Times New Roman" w:hAnsi="Times New Roman"/>
          <w:sz w:val="20"/>
          <w:szCs w:val="20"/>
          <w:color w:val="auto"/>
        </w:rPr>
        <w:t>We must only process special categories of data when it is necessary to do so, and 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explicit consent from individuals or another legal basis to legitimise the processing.</w:t>
      </w:r>
    </w:p>
    <w:p>
      <w:pPr>
        <w:spacing w:after="0" w:line="43" w:lineRule="exact"/>
        <w:rPr>
          <w:rFonts w:ascii="Times New Roman" w:cs="Times New Roman" w:eastAsia="Times New Roman" w:hAnsi="Times New Roman"/>
          <w:sz w:val="20"/>
          <w:szCs w:val="20"/>
          <w:color w:val="auto"/>
        </w:rPr>
      </w:pPr>
    </w:p>
    <w:p>
      <w:pPr>
        <w:ind w:left="760" w:right="380" w:hanging="378"/>
        <w:spacing w:after="0" w:line="256"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Data protection impact assessments: </w:t>
      </w:r>
      <w:r>
        <w:rPr>
          <w:rFonts w:ascii="Times New Roman" w:cs="Times New Roman" w:eastAsia="Times New Roman" w:hAnsi="Times New Roman"/>
          <w:sz w:val="20"/>
          <w:szCs w:val="20"/>
          <w:color w:val="auto"/>
        </w:rPr>
        <w:t>Where the collection and use of personal data is likely to result in significant risks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and freedoms of individuals, we must carry out an assessment into the impact of the proposed collection and use on individuals.</w:t>
      </w:r>
    </w:p>
    <w:p>
      <w:pPr>
        <w:spacing w:after="0" w:line="6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Ensuring data quality: </w:t>
      </w:r>
      <w:r>
        <w:rPr>
          <w:rFonts w:ascii="Times New Roman" w:cs="Times New Roman" w:eastAsia="Times New Roman" w:hAnsi="Times New Roman"/>
          <w:sz w:val="20"/>
          <w:szCs w:val="20"/>
          <w:color w:val="auto"/>
        </w:rPr>
        <w:t>We must keep personal data accurate and up to date.</w:t>
      </w:r>
    </w:p>
    <w:p>
      <w:pPr>
        <w:spacing w:after="0" w:line="107" w:lineRule="exact"/>
        <w:rPr>
          <w:rFonts w:ascii="Times New Roman" w:cs="Times New Roman" w:eastAsia="Times New Roman" w:hAnsi="Times New Roman"/>
          <w:sz w:val="20"/>
          <w:szCs w:val="20"/>
          <w:color w:val="auto"/>
        </w:rPr>
      </w:pPr>
    </w:p>
    <w:p>
      <w:pPr>
        <w:ind w:left="760" w:right="14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Retaining and disposing of data: </w:t>
      </w:r>
      <w:r>
        <w:rPr>
          <w:rFonts w:ascii="Times New Roman" w:cs="Times New Roman" w:eastAsia="Times New Roman" w:hAnsi="Times New Roman"/>
          <w:sz w:val="20"/>
          <w:szCs w:val="20"/>
          <w:color w:val="auto"/>
        </w:rPr>
        <w:t>We must keep personal data only for as long as is necessary for a specific business purpose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ensure that it is disposed of securely.</w:t>
      </w:r>
    </w:p>
    <w:p>
      <w:pPr>
        <w:spacing w:after="0" w:line="43" w:lineRule="exact"/>
        <w:rPr>
          <w:rFonts w:ascii="Times New Roman" w:cs="Times New Roman" w:eastAsia="Times New Roman" w:hAnsi="Times New Roman"/>
          <w:sz w:val="20"/>
          <w:szCs w:val="20"/>
          <w:color w:val="auto"/>
        </w:rPr>
      </w:pPr>
    </w:p>
    <w:p>
      <w:pPr>
        <w:ind w:left="760" w:right="32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Respecting individuals' rights: </w:t>
      </w:r>
      <w:r>
        <w:rPr>
          <w:rFonts w:ascii="Times New Roman" w:cs="Times New Roman" w:eastAsia="Times New Roman" w:hAnsi="Times New Roman"/>
          <w:sz w:val="20"/>
          <w:szCs w:val="20"/>
          <w:color w:val="auto"/>
        </w:rPr>
        <w:t>We must be receptive to any queries, requests or complaints made by individuals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their personal data in accordance with applicable law.</w:t>
      </w:r>
    </w:p>
    <w:p>
      <w:pPr>
        <w:spacing w:after="0" w:line="43" w:lineRule="exact"/>
        <w:rPr>
          <w:rFonts w:ascii="Times New Roman" w:cs="Times New Roman" w:eastAsia="Times New Roman" w:hAnsi="Times New Roman"/>
          <w:sz w:val="20"/>
          <w:szCs w:val="20"/>
          <w:color w:val="auto"/>
        </w:rPr>
      </w:pPr>
    </w:p>
    <w:p>
      <w:pPr>
        <w:ind w:left="760" w:right="6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Taking appropriate security measures: </w:t>
      </w:r>
      <w:r>
        <w:rPr>
          <w:rFonts w:ascii="Times New Roman" w:cs="Times New Roman" w:eastAsia="Times New Roman" w:hAnsi="Times New Roman"/>
          <w:sz w:val="20"/>
          <w:szCs w:val="20"/>
          <w:color w:val="auto"/>
        </w:rPr>
        <w:t>We must implement appropriate technical and organisational security measures to protect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data.</w:t>
      </w:r>
    </w:p>
    <w:p>
      <w:pPr>
        <w:spacing w:after="0" w:line="43" w:lineRule="exact"/>
        <w:rPr>
          <w:rFonts w:ascii="Times New Roman" w:cs="Times New Roman" w:eastAsia="Times New Roman" w:hAnsi="Times New Roman"/>
          <w:sz w:val="20"/>
          <w:szCs w:val="20"/>
          <w:color w:val="auto"/>
        </w:rPr>
      </w:pPr>
    </w:p>
    <w:p>
      <w:pPr>
        <w:ind w:left="760" w:right="34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Adopting privacy by design: </w:t>
      </w:r>
      <w:r>
        <w:rPr>
          <w:rFonts w:ascii="Times New Roman" w:cs="Times New Roman" w:eastAsia="Times New Roman" w:hAnsi="Times New Roman"/>
          <w:sz w:val="20"/>
          <w:szCs w:val="20"/>
          <w:color w:val="auto"/>
        </w:rPr>
        <w:t>We must adopt privacy by design and privacy by default in systems, databases, tools and features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process personal data.</w:t>
      </w:r>
    </w:p>
    <w:p>
      <w:pPr>
        <w:spacing w:after="0" w:line="43" w:lineRule="exact"/>
        <w:rPr>
          <w:rFonts w:ascii="Times New Roman" w:cs="Times New Roman" w:eastAsia="Times New Roman" w:hAnsi="Times New Roman"/>
          <w:sz w:val="20"/>
          <w:szCs w:val="20"/>
          <w:color w:val="auto"/>
        </w:rPr>
      </w:pPr>
    </w:p>
    <w:p>
      <w:pPr>
        <w:ind w:left="760" w:right="40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Using subcontractors/vendors: </w:t>
      </w:r>
      <w:r>
        <w:rPr>
          <w:rFonts w:ascii="Times New Roman" w:cs="Times New Roman" w:eastAsia="Times New Roman" w:hAnsi="Times New Roman"/>
          <w:sz w:val="20"/>
          <w:szCs w:val="20"/>
          <w:color w:val="auto"/>
        </w:rPr>
        <w:t>We must ensure that providers of services to us also adopt appropriate and equivalent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measures.</w:t>
      </w:r>
    </w:p>
    <w:p>
      <w:pPr>
        <w:spacing w:after="0" w:line="43" w:lineRule="exact"/>
        <w:rPr>
          <w:rFonts w:ascii="Times New Roman" w:cs="Times New Roman" w:eastAsia="Times New Roman" w:hAnsi="Times New Roman"/>
          <w:sz w:val="20"/>
          <w:szCs w:val="20"/>
          <w:color w:val="auto"/>
        </w:rPr>
      </w:pPr>
    </w:p>
    <w:p>
      <w:pPr>
        <w:ind w:left="760" w:right="32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Disclosing to third parties: </w:t>
      </w:r>
      <w:r>
        <w:rPr>
          <w:rFonts w:ascii="Times New Roman" w:cs="Times New Roman" w:eastAsia="Times New Roman" w:hAnsi="Times New Roman"/>
          <w:sz w:val="20"/>
          <w:szCs w:val="20"/>
          <w:color w:val="auto"/>
        </w:rPr>
        <w:t>We must only comply with requests for disclosure of personal data to third parties where we have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basis on which to do so, or with the consent of affected individuals.</w:t>
      </w:r>
    </w:p>
    <w:p>
      <w:pPr>
        <w:spacing w:after="0" w:line="43" w:lineRule="exact"/>
        <w:rPr>
          <w:rFonts w:ascii="Times New Roman" w:cs="Times New Roman" w:eastAsia="Times New Roman" w:hAnsi="Times New Roman"/>
          <w:sz w:val="20"/>
          <w:szCs w:val="20"/>
          <w:color w:val="auto"/>
        </w:rPr>
      </w:pPr>
    </w:p>
    <w:p>
      <w:pPr>
        <w:ind w:left="760" w:right="100" w:hanging="378"/>
        <w:spacing w:after="0" w:line="273" w:lineRule="auto"/>
        <w:tabs>
          <w:tab w:leader="none" w:pos="7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Ensuring adequate protection for international transfers: </w:t>
      </w:r>
      <w:r>
        <w:rPr>
          <w:rFonts w:ascii="Times New Roman" w:cs="Times New Roman" w:eastAsia="Times New Roman" w:hAnsi="Times New Roman"/>
          <w:sz w:val="20"/>
          <w:szCs w:val="20"/>
          <w:color w:val="auto"/>
        </w:rPr>
        <w:t>We must ensure that adequate protection is put in place when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transfers of personal data from one country to another country.</w:t>
      </w:r>
    </w:p>
    <w:p>
      <w:pPr>
        <w:spacing w:after="0" w:line="399" w:lineRule="exact"/>
        <w:rPr>
          <w:sz w:val="20"/>
          <w:szCs w:val="20"/>
          <w:color w:val="auto"/>
        </w:rPr>
      </w:pPr>
    </w:p>
    <w:p>
      <w:pPr>
        <w:jc w:val="both"/>
        <w:ind w:left="1060" w:hanging="748"/>
        <w:spacing w:after="0" w:line="244" w:lineRule="auto"/>
        <w:tabs>
          <w:tab w:leader="none" w:pos="10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In particular, we must only collect and use special categories of personal information where necessary and where we have a lawful basis to do so. The lawful basis for processing is usually explicit consent, but the Act permits some processing of special category personal data without consent in the circumstances set out in the table below. In addition, we may be able to process special category personal data personal data without explicit consent when we are co-operating in criminal or other government investigations or inquiries. Prior to processing special category personal data for criminal or other government investigations or inquiries you must consult the local Compliance Team and local Legal counsel who in turn may consult with the Chief Privacy Officer if necessary. All exceptions must be authorised by the Global Head of Compliance.</w:t>
      </w:r>
    </w:p>
    <w:p>
      <w:pPr>
        <w:spacing w:after="0" w:line="186" w:lineRule="exact"/>
        <w:rPr>
          <w:sz w:val="20"/>
          <w:szCs w:val="20"/>
          <w:color w:val="auto"/>
        </w:rPr>
      </w:pPr>
    </w:p>
    <w:p>
      <w:pPr>
        <w:jc w:val="both"/>
        <w:ind w:left="1060" w:hanging="748"/>
        <w:spacing w:after="0" w:line="249" w:lineRule="auto"/>
        <w:tabs>
          <w:tab w:leader="none" w:pos="10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When relying on explicit consent, we must ensure that suitable and explicit wording expressing the individual’s consent is provided in any consent forms. Where consent is not relied upon, we must be able to demonstrate that there is another lawful basis under applicable law for the collection and use of such information and make a record of the basis on which such processing is undertaken.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3" w:name="page104"/>
    <w:bookmarkEnd w:id="103"/>
    <w:p>
      <w:pPr>
        <w:jc w:val="both"/>
        <w:ind w:left="1060" w:hanging="748"/>
        <w:spacing w:after="0" w:line="269" w:lineRule="auto"/>
        <w:tabs>
          <w:tab w:leader="none" w:pos="10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color w:val="auto"/>
        </w:rPr>
        <w:t xml:space="preserve">We may process special categories of personal information </w:t>
      </w:r>
      <w:r>
        <w:rPr>
          <w:rFonts w:ascii="Times New Roman" w:cs="Times New Roman" w:eastAsia="Times New Roman" w:hAnsi="Times New Roman"/>
          <w:sz w:val="20"/>
          <w:szCs w:val="20"/>
          <w:u w:val="single" w:color="auto"/>
          <w:color w:val="auto"/>
        </w:rPr>
        <w:t>without</w:t>
      </w:r>
      <w:r>
        <w:rPr>
          <w:rFonts w:ascii="Times New Roman" w:cs="Times New Roman" w:eastAsia="Times New Roman" w:hAnsi="Times New Roman"/>
          <w:sz w:val="20"/>
          <w:szCs w:val="20"/>
          <w:color w:val="auto"/>
        </w:rPr>
        <w:t xml:space="preserve"> the explicit consent of the individual affected if the processing is for one of the following purposes: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280" w:type="dxa"/>
            <w:vAlign w:val="bottom"/>
            <w:tcBorders>
              <w:top w:val="single" w:sz="8" w:color="auto"/>
              <w:left w:val="single" w:sz="8" w:color="auto"/>
              <w:right w:val="single" w:sz="8" w:color="auto"/>
            </w:tcBorders>
            <w:shd w:val="clear" w:color="auto" w:fill="6BC8FF"/>
          </w:tcPr>
          <w:p>
            <w:pPr>
              <w:ind w:left="20"/>
              <w:spacing w:after="0" w:line="219" w:lineRule="exact"/>
              <w:rPr>
                <w:sz w:val="20"/>
                <w:szCs w:val="20"/>
                <w:color w:val="auto"/>
              </w:rPr>
            </w:pPr>
            <w:r>
              <w:rPr>
                <w:rFonts w:ascii="Times New Roman" w:cs="Times New Roman" w:eastAsia="Times New Roman" w:hAnsi="Times New Roman"/>
                <w:sz w:val="20"/>
                <w:szCs w:val="20"/>
                <w:b w:val="1"/>
                <w:bCs w:val="1"/>
                <w:color w:val="auto"/>
              </w:rPr>
              <w:t>Act Ref in</w:t>
            </w:r>
          </w:p>
        </w:tc>
        <w:tc>
          <w:tcPr>
            <w:tcW w:w="3800" w:type="dxa"/>
            <w:vAlign w:val="bottom"/>
            <w:tcBorders>
              <w:top w:val="single" w:sz="8" w:color="auto"/>
              <w:right w:val="single" w:sz="8" w:color="auto"/>
            </w:tcBorders>
            <w:shd w:val="clear" w:color="auto" w:fill="6BC8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Purpose</w:t>
            </w:r>
          </w:p>
        </w:tc>
        <w:tc>
          <w:tcPr>
            <w:tcW w:w="5160" w:type="dxa"/>
            <w:vAlign w:val="bottom"/>
            <w:tcBorders>
              <w:top w:val="single" w:sz="8" w:color="auto"/>
              <w:right w:val="single" w:sz="8" w:color="auto"/>
            </w:tcBorders>
            <w:shd w:val="clear" w:color="auto" w:fill="6BC8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Examples</w:t>
            </w:r>
          </w:p>
        </w:tc>
      </w:tr>
      <w:tr>
        <w:trPr>
          <w:trHeight w:val="262"/>
        </w:trPr>
        <w:tc>
          <w:tcPr>
            <w:tcW w:w="2280" w:type="dxa"/>
            <w:vAlign w:val="bottom"/>
            <w:tcBorders>
              <w:left w:val="single" w:sz="8" w:color="auto"/>
              <w:right w:val="single" w:sz="8" w:color="auto"/>
            </w:tcBorders>
            <w:shd w:val="clear" w:color="auto" w:fill="6BC8FF"/>
          </w:tcPr>
          <w:p>
            <w:pPr>
              <w:ind w:left="20"/>
              <w:spacing w:after="0"/>
              <w:rPr>
                <w:sz w:val="20"/>
                <w:szCs w:val="20"/>
                <w:color w:val="auto"/>
              </w:rPr>
            </w:pPr>
            <w:r>
              <w:rPr>
                <w:rFonts w:ascii="Times New Roman" w:cs="Times New Roman" w:eastAsia="Times New Roman" w:hAnsi="Times New Roman"/>
                <w:sz w:val="20"/>
                <w:szCs w:val="20"/>
                <w:b w:val="1"/>
                <w:bCs w:val="1"/>
                <w:color w:val="auto"/>
              </w:rPr>
              <w:t>Schedule 1</w:t>
            </w:r>
          </w:p>
        </w:tc>
        <w:tc>
          <w:tcPr>
            <w:tcW w:w="3800" w:type="dxa"/>
            <w:vAlign w:val="bottom"/>
            <w:tcBorders>
              <w:right w:val="single" w:sz="8" w:color="auto"/>
            </w:tcBorders>
            <w:shd w:val="clear" w:color="auto" w:fill="6BC8FF"/>
          </w:tcPr>
          <w:p>
            <w:pPr>
              <w:spacing w:after="0"/>
              <w:rPr>
                <w:sz w:val="22"/>
                <w:szCs w:val="22"/>
                <w:color w:val="auto"/>
              </w:rPr>
            </w:pPr>
          </w:p>
        </w:tc>
        <w:tc>
          <w:tcPr>
            <w:tcW w:w="5160" w:type="dxa"/>
            <w:vAlign w:val="bottom"/>
            <w:tcBorders>
              <w:right w:val="single" w:sz="8" w:color="auto"/>
            </w:tcBorders>
            <w:shd w:val="clear" w:color="auto" w:fill="6BC8FF"/>
          </w:tcPr>
          <w:p>
            <w:pPr>
              <w:spacing w:after="0"/>
              <w:rPr>
                <w:sz w:val="22"/>
                <w:szCs w:val="22"/>
                <w:color w:val="auto"/>
              </w:rPr>
            </w:pPr>
          </w:p>
        </w:tc>
      </w:tr>
      <w:tr>
        <w:trPr>
          <w:trHeight w:val="240"/>
        </w:trPr>
        <w:tc>
          <w:tcPr>
            <w:tcW w:w="2280" w:type="dxa"/>
            <w:vAlign w:val="bottom"/>
            <w:tcBorders>
              <w:left w:val="single" w:sz="8" w:color="auto"/>
              <w:bottom w:val="single" w:sz="8" w:color="auto"/>
              <w:right w:val="single" w:sz="8" w:color="auto"/>
            </w:tcBorders>
            <w:shd w:val="clear" w:color="auto" w:fill="6BC8FF"/>
          </w:tcPr>
          <w:p>
            <w:pPr>
              <w:spacing w:after="0"/>
              <w:rPr>
                <w:sz w:val="20"/>
                <w:szCs w:val="20"/>
                <w:color w:val="auto"/>
              </w:rPr>
            </w:pPr>
          </w:p>
        </w:tc>
        <w:tc>
          <w:tcPr>
            <w:tcW w:w="3800" w:type="dxa"/>
            <w:vAlign w:val="bottom"/>
            <w:tcBorders>
              <w:bottom w:val="single" w:sz="8" w:color="auto"/>
              <w:right w:val="single" w:sz="8" w:color="auto"/>
            </w:tcBorders>
            <w:shd w:val="clear" w:color="auto" w:fill="6BC8FF"/>
          </w:tcPr>
          <w:p>
            <w:pPr>
              <w:spacing w:after="0"/>
              <w:rPr>
                <w:sz w:val="20"/>
                <w:szCs w:val="20"/>
                <w:color w:val="auto"/>
              </w:rPr>
            </w:pPr>
          </w:p>
        </w:tc>
        <w:tc>
          <w:tcPr>
            <w:tcW w:w="5160" w:type="dxa"/>
            <w:vAlign w:val="bottom"/>
            <w:tcBorders>
              <w:bottom w:val="single" w:sz="8" w:color="auto"/>
              <w:right w:val="single" w:sz="8" w:color="auto"/>
            </w:tcBorders>
            <w:shd w:val="clear" w:color="auto" w:fill="6BC8FF"/>
          </w:tcPr>
          <w:p>
            <w:pPr>
              <w:spacing w:after="0"/>
              <w:rPr>
                <w:sz w:val="20"/>
                <w:szCs w:val="20"/>
                <w:color w:val="auto"/>
              </w:rPr>
            </w:pPr>
          </w:p>
        </w:tc>
      </w:tr>
      <w:tr>
        <w:trPr>
          <w:trHeight w:val="183"/>
        </w:trPr>
        <w:tc>
          <w:tcPr>
            <w:tcW w:w="228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20"/>
                <w:szCs w:val="20"/>
                <w:color w:val="auto"/>
              </w:rPr>
              <w:t>Paragraph 1</w:t>
            </w:r>
          </w:p>
        </w:tc>
        <w:tc>
          <w:tcPr>
            <w:tcW w:w="38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rPr>
              <w:t>Employment, social security and social</w:t>
            </w:r>
          </w:p>
        </w:tc>
        <w:tc>
          <w:tcPr>
            <w:tcW w:w="51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w w:val="98"/>
              </w:rPr>
              <w:t>Processing health information for managing employee sick leave</w:t>
            </w:r>
          </w:p>
        </w:tc>
      </w:tr>
      <w:tr>
        <w:trPr>
          <w:trHeight w:val="258"/>
        </w:trPr>
        <w:tc>
          <w:tcPr>
            <w:tcW w:w="228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protection</w:t>
            </w: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and pay</w:t>
            </w:r>
          </w:p>
        </w:tc>
      </w:tr>
      <w:tr>
        <w:trPr>
          <w:trHeight w:val="223"/>
        </w:trPr>
        <w:tc>
          <w:tcPr>
            <w:tcW w:w="22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200"/>
        </w:trPr>
        <w:tc>
          <w:tcPr>
            <w:tcW w:w="2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w:t>
            </w:r>
          </w:p>
        </w:tc>
        <w:tc>
          <w:tcPr>
            <w:tcW w:w="3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Health or social care purposes</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disability information for assessing the working</w:t>
            </w:r>
          </w:p>
        </w:tc>
      </w:tr>
      <w:tr>
        <w:trPr>
          <w:trHeight w:val="258"/>
        </w:trPr>
        <w:tc>
          <w:tcPr>
            <w:tcW w:w="228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2"/>
                <w:szCs w:val="22"/>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capability of employees</w:t>
            </w:r>
          </w:p>
        </w:tc>
      </w:tr>
      <w:tr>
        <w:trPr>
          <w:trHeight w:val="223"/>
        </w:trPr>
        <w:tc>
          <w:tcPr>
            <w:tcW w:w="22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200"/>
        </w:trPr>
        <w:tc>
          <w:tcPr>
            <w:tcW w:w="2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8</w:t>
            </w:r>
          </w:p>
        </w:tc>
        <w:tc>
          <w:tcPr>
            <w:tcW w:w="3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Equality of opportunity or treatment</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information  about  racial  and  ethnic  origin,</w:t>
            </w:r>
          </w:p>
        </w:tc>
      </w:tr>
      <w:tr>
        <w:trPr>
          <w:trHeight w:val="229"/>
        </w:trPr>
        <w:tc>
          <w:tcPr>
            <w:tcW w:w="2280" w:type="dxa"/>
            <w:vAlign w:val="bottom"/>
            <w:tcBorders>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19"/>
                <w:szCs w:val="19"/>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religion,  health  and  sexual  orientation  for  diversity</w:t>
            </w:r>
          </w:p>
        </w:tc>
      </w:tr>
      <w:tr>
        <w:trPr>
          <w:trHeight w:val="258"/>
        </w:trPr>
        <w:tc>
          <w:tcPr>
            <w:tcW w:w="228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2"/>
                <w:szCs w:val="22"/>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monitoring</w:t>
            </w:r>
          </w:p>
        </w:tc>
      </w:tr>
      <w:tr>
        <w:trPr>
          <w:trHeight w:val="223"/>
        </w:trPr>
        <w:tc>
          <w:tcPr>
            <w:tcW w:w="22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200"/>
        </w:trPr>
        <w:tc>
          <w:tcPr>
            <w:tcW w:w="2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9</w:t>
            </w:r>
          </w:p>
        </w:tc>
        <w:tc>
          <w:tcPr>
            <w:tcW w:w="3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Racial and ethnic diversity at senior levels of</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information about racial and ethnic origin to</w:t>
            </w:r>
          </w:p>
        </w:tc>
      </w:tr>
      <w:tr>
        <w:trPr>
          <w:trHeight w:val="230"/>
        </w:trPr>
        <w:tc>
          <w:tcPr>
            <w:tcW w:w="2280" w:type="dxa"/>
            <w:vAlign w:val="bottom"/>
            <w:tcBorders>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organisations</w:t>
            </w: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identify individuals suitable to hold senior positions to promote</w:t>
            </w:r>
          </w:p>
        </w:tc>
      </w:tr>
      <w:tr>
        <w:trPr>
          <w:trHeight w:val="258"/>
        </w:trPr>
        <w:tc>
          <w:tcPr>
            <w:tcW w:w="228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2"/>
                <w:szCs w:val="22"/>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racial/ethnic diversity</w:t>
            </w:r>
          </w:p>
        </w:tc>
      </w:tr>
      <w:tr>
        <w:trPr>
          <w:trHeight w:val="223"/>
        </w:trPr>
        <w:tc>
          <w:tcPr>
            <w:tcW w:w="22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252"/>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Paragraph 10</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Preventing or detecting unlawful acts</w:t>
            </w: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Processing health information to detect insurance fraud</w:t>
            </w:r>
          </w:p>
        </w:tc>
      </w:tr>
      <w:tr>
        <w:trPr>
          <w:trHeight w:val="201"/>
        </w:trPr>
        <w:tc>
          <w:tcPr>
            <w:tcW w:w="228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r>
      <w:tr>
        <w:trPr>
          <w:trHeight w:val="200"/>
        </w:trPr>
        <w:tc>
          <w:tcPr>
            <w:tcW w:w="2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12</w:t>
            </w:r>
          </w:p>
        </w:tc>
        <w:tc>
          <w:tcPr>
            <w:tcW w:w="3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Regulatory requirements relating to unlawful</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 control insider risk</w:t>
            </w:r>
          </w:p>
        </w:tc>
      </w:tr>
      <w:tr>
        <w:trPr>
          <w:trHeight w:val="252"/>
        </w:trPr>
        <w:tc>
          <w:tcPr>
            <w:tcW w:w="2280" w:type="dxa"/>
            <w:vAlign w:val="bottom"/>
            <w:tcBorders>
              <w:bottom w:val="single" w:sz="8" w:color="auto"/>
              <w:right w:val="single" w:sz="8" w:color="auto"/>
            </w:tcBorders>
          </w:tcPr>
          <w:p>
            <w:pPr>
              <w:spacing w:after="0"/>
              <w:rPr>
                <w:sz w:val="21"/>
                <w:szCs w:val="21"/>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acts and dishonesty</w:t>
            </w:r>
          </w:p>
        </w:tc>
        <w:tc>
          <w:tcPr>
            <w:tcW w:w="5160" w:type="dxa"/>
            <w:vAlign w:val="bottom"/>
            <w:tcBorders>
              <w:bottom w:val="single" w:sz="8" w:color="auto"/>
              <w:right w:val="single" w:sz="8" w:color="auto"/>
            </w:tcBorders>
          </w:tcPr>
          <w:p>
            <w:pPr>
              <w:spacing w:after="0"/>
              <w:rPr>
                <w:sz w:val="21"/>
                <w:szCs w:val="21"/>
                <w:color w:val="auto"/>
              </w:rPr>
            </w:pPr>
          </w:p>
        </w:tc>
      </w:tr>
      <w:tr>
        <w:trPr>
          <w:trHeight w:val="252"/>
        </w:trPr>
        <w:tc>
          <w:tcPr>
            <w:tcW w:w="2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Paragraph 14</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Preventing fraud</w:t>
            </w: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Processing crime-related information to prevent fraud</w:t>
            </w:r>
          </w:p>
        </w:tc>
      </w:tr>
      <w:tr>
        <w:trPr>
          <w:trHeight w:val="201"/>
        </w:trPr>
        <w:tc>
          <w:tcPr>
            <w:tcW w:w="228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c>
          <w:tcPr>
            <w:tcW w:w="5160" w:type="dxa"/>
            <w:vAlign w:val="bottom"/>
            <w:tcBorders>
              <w:bottom w:val="single" w:sz="8" w:color="auto"/>
              <w:right w:val="single" w:sz="8" w:color="auto"/>
            </w:tcBorders>
          </w:tcPr>
          <w:p>
            <w:pPr>
              <w:spacing w:after="0"/>
              <w:rPr>
                <w:sz w:val="17"/>
                <w:szCs w:val="17"/>
                <w:color w:val="auto"/>
              </w:rPr>
            </w:pPr>
          </w:p>
        </w:tc>
      </w:tr>
      <w:tr>
        <w:trPr>
          <w:trHeight w:val="200"/>
        </w:trPr>
        <w:tc>
          <w:tcPr>
            <w:tcW w:w="2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15</w:t>
            </w:r>
          </w:p>
        </w:tc>
        <w:tc>
          <w:tcPr>
            <w:tcW w:w="3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Suspicion of terrorist financing or money</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 identify potential</w:t>
            </w:r>
          </w:p>
        </w:tc>
      </w:tr>
      <w:tr>
        <w:trPr>
          <w:trHeight w:val="258"/>
        </w:trPr>
        <w:tc>
          <w:tcPr>
            <w:tcW w:w="228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laundering</w:t>
            </w: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terrorist financing or money laundering</w:t>
            </w:r>
          </w:p>
        </w:tc>
      </w:tr>
      <w:tr>
        <w:trPr>
          <w:trHeight w:val="223"/>
        </w:trPr>
        <w:tc>
          <w:tcPr>
            <w:tcW w:w="22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200"/>
        </w:trPr>
        <w:tc>
          <w:tcPr>
            <w:tcW w:w="2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19</w:t>
            </w:r>
          </w:p>
        </w:tc>
        <w:tc>
          <w:tcPr>
            <w:tcW w:w="3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Safeguarding of economic well- being of</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about vulnerable customers to</w:t>
            </w:r>
          </w:p>
        </w:tc>
      </w:tr>
      <w:tr>
        <w:trPr>
          <w:trHeight w:val="258"/>
        </w:trPr>
        <w:tc>
          <w:tcPr>
            <w:tcW w:w="228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certain individuals</w:t>
            </w: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protect the economic well-being of the customers</w:t>
            </w:r>
          </w:p>
        </w:tc>
      </w:tr>
      <w:tr>
        <w:trPr>
          <w:trHeight w:val="224"/>
        </w:trPr>
        <w:tc>
          <w:tcPr>
            <w:tcW w:w="22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200"/>
        </w:trPr>
        <w:tc>
          <w:tcPr>
            <w:tcW w:w="228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20</w:t>
            </w:r>
          </w:p>
        </w:tc>
        <w:tc>
          <w:tcPr>
            <w:tcW w:w="380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Insurance</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or crime- related information for</w:t>
            </w:r>
          </w:p>
        </w:tc>
      </w:tr>
      <w:tr>
        <w:trPr>
          <w:trHeight w:val="258"/>
        </w:trPr>
        <w:tc>
          <w:tcPr>
            <w:tcW w:w="2280" w:type="dxa"/>
            <w:vAlign w:val="bottom"/>
            <w:tcBorders>
              <w:right w:val="single" w:sz="8" w:color="auto"/>
            </w:tcBorders>
          </w:tcPr>
          <w:p>
            <w:pPr>
              <w:spacing w:after="0"/>
              <w:rPr>
                <w:sz w:val="22"/>
                <w:szCs w:val="22"/>
                <w:color w:val="auto"/>
              </w:rPr>
            </w:pPr>
          </w:p>
        </w:tc>
        <w:tc>
          <w:tcPr>
            <w:tcW w:w="3800" w:type="dxa"/>
            <w:vAlign w:val="bottom"/>
            <w:tcBorders>
              <w:right w:val="single" w:sz="8" w:color="auto"/>
            </w:tcBorders>
          </w:tcPr>
          <w:p>
            <w:pPr>
              <w:spacing w:after="0"/>
              <w:rPr>
                <w:sz w:val="22"/>
                <w:szCs w:val="22"/>
                <w:color w:val="auto"/>
              </w:rPr>
            </w:pP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 insurance purpose</w:t>
            </w:r>
          </w:p>
        </w:tc>
      </w:tr>
      <w:tr>
        <w:trPr>
          <w:trHeight w:val="223"/>
        </w:trPr>
        <w:tc>
          <w:tcPr>
            <w:tcW w:w="2280" w:type="dxa"/>
            <w:vAlign w:val="bottom"/>
            <w:tcBorders>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bl>
    <w:p>
      <w:pPr>
        <w:spacing w:after="0" w:line="220" w:lineRule="exact"/>
        <w:rPr>
          <w:sz w:val="20"/>
          <w:szCs w:val="20"/>
          <w:color w:val="auto"/>
        </w:rPr>
      </w:pPr>
    </w:p>
    <w:p>
      <w:pPr>
        <w:jc w:val="both"/>
        <w:ind w:left="1060" w:hanging="748"/>
        <w:spacing w:after="0" w:line="245" w:lineRule="auto"/>
        <w:tabs>
          <w:tab w:leader="none" w:pos="10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color w:val="auto"/>
        </w:rPr>
        <w:t>The local Data Protection Officer and the Chief Privacy Officer should be informed of any planned significant use of special categories of data. Where the processing of special category data is likely to pose significant risks to the rights and freedoms of individuals, a Data Protection Impact Assessment (DPIA) must be carried out. Based on the results of the DPIA, the local Data Protection Officer together with Local Compliance or Legal Teams or the Chief Privacy Officer can advise whether the processing is legitimate and advise how to mitigate any potential risks in this regard. In certain circumstances we may need to consult with the local supervisory authority regarding the use of such data.</w:t>
      </w:r>
    </w:p>
    <w:p>
      <w:pPr>
        <w:spacing w:after="0" w:line="184" w:lineRule="exact"/>
        <w:rPr>
          <w:sz w:val="20"/>
          <w:szCs w:val="20"/>
          <w:color w:val="auto"/>
        </w:rPr>
      </w:pPr>
    </w:p>
    <w:p>
      <w:pPr>
        <w:jc w:val="both"/>
        <w:ind w:left="1060" w:hanging="748"/>
        <w:spacing w:after="0" w:line="274" w:lineRule="auto"/>
        <w:tabs>
          <w:tab w:leader="none" w:pos="104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color w:val="auto"/>
        </w:rPr>
        <w:t>Access to special categories of personal information must be limited to appropriate persons on a need to know basis, in addition other controls should be considered to protect special categories of personal information, including encryption, masking or making the personal data anonymous, in line with Willis Towers Watson’s Information Security Policy and practices.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4" w:name="page105"/>
    <w:bookmarkEnd w:id="104"/>
    <w:p>
      <w:pPr>
        <w:jc w:val="both"/>
        <w:ind w:left="1060" w:hanging="748"/>
        <w:spacing w:after="0" w:line="260" w:lineRule="auto"/>
        <w:tabs>
          <w:tab w:leader="none" w:pos="104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color w:val="auto"/>
        </w:rPr>
        <w:t>Special categories of personal information must only be kept where there is a business or legal need to do so and in accordance with Willis Towers Watson's global Records Management Policy, which takes into account that certain categories of data that may be subject to law, regulations, contractual obligations, on-going business relationships and legal claims that will determine the length of time for which data may be retained. When we dispose of personal data, this must be done in a secure manner in line with Willis Towers Watson’s Information Security policies and procedures. Any questions about data retention or disposing of data must be referred to the Global Privacy Office, the local Data Protection Officer, or local Compliance or Legal Team.</w:t>
      </w:r>
    </w:p>
    <w:p>
      <w:pPr>
        <w:spacing w:after="0" w:line="173" w:lineRule="exact"/>
        <w:rPr>
          <w:sz w:val="20"/>
          <w:szCs w:val="20"/>
          <w:color w:val="auto"/>
        </w:rPr>
      </w:pPr>
    </w:p>
    <w:p>
      <w:pPr>
        <w:ind w:left="740" w:hanging="732"/>
        <w:spacing w:after="0"/>
        <w:tabs>
          <w:tab w:leader="none" w:pos="740" w:val="left"/>
        </w:tabs>
        <w:numPr>
          <w:ilvl w:val="0"/>
          <w:numId w:val="11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erifying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Local Data Protection Officer will undertake periodic compliance reviews in relation to processing of special category personal data and communicate the results to the Chief Privacy Officer.</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Internal Audit team may also conduct periodic audits to ensure compliance with this Policy. All employees must cooperate with such audits and any outcomes, including remediation plans.</w:t>
      </w:r>
    </w:p>
    <w:p>
      <w:pPr>
        <w:spacing w:after="0" w:line="159" w:lineRule="exact"/>
        <w:rPr>
          <w:sz w:val="20"/>
          <w:szCs w:val="20"/>
          <w:color w:val="auto"/>
        </w:rPr>
      </w:pPr>
    </w:p>
    <w:p>
      <w:pPr>
        <w:ind w:left="740" w:hanging="732"/>
        <w:spacing w:after="0"/>
        <w:tabs>
          <w:tab w:leader="none" w:pos="740" w:val="left"/>
        </w:tabs>
        <w:numPr>
          <w:ilvl w:val="0"/>
          <w:numId w:val="12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raining</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Employees and contractors who have access to special categories of personal information, or who are involved in the collection of personal data, or the development of tools that collect and process personal data must undertake appropriate training relevant to their roles and responsibilities as may be assigned from time to time.</w:t>
      </w:r>
    </w:p>
    <w:p>
      <w:pPr>
        <w:spacing w:after="0" w:line="174" w:lineRule="exact"/>
        <w:rPr>
          <w:sz w:val="20"/>
          <w:szCs w:val="20"/>
          <w:color w:val="auto"/>
        </w:rPr>
      </w:pPr>
    </w:p>
    <w:p>
      <w:pPr>
        <w:ind w:left="740" w:hanging="732"/>
        <w:spacing w:after="0"/>
        <w:tabs>
          <w:tab w:leader="none" w:pos="740" w:val="left"/>
        </w:tabs>
        <w:numPr>
          <w:ilvl w:val="0"/>
          <w:numId w:val="12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aintenance and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ontact</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review and maintenance of this Policy is the responsibility of the Chief Privacy Officer. Queries and feedback should be directed to the Chief Privacy Officer.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5" w:name="page106"/>
    <w:bookmarkEnd w:id="105"/>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4A116E"/>
        </w:rPr>
        <w:t>ANNEX 7 – Information for Residents of Canada</w:t>
      </w:r>
    </w:p>
    <w:p>
      <w:pPr>
        <w:spacing w:after="0" w:line="22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You may have certain rights under applicable Canadian data privacy laws, PIPEDA”), and other similar laws provincial or local laws in relation to personal data. Subject to applicable law, you may request:</w:t>
      </w:r>
    </w:p>
    <w:p>
      <w:pPr>
        <w:spacing w:after="0" w:line="51" w:lineRule="exact"/>
        <w:rPr>
          <w:sz w:val="20"/>
          <w:szCs w:val="20"/>
          <w:color w:val="auto"/>
        </w:rPr>
      </w:pPr>
    </w:p>
    <w:p>
      <w:pPr>
        <w:ind w:left="760" w:hanging="378"/>
        <w:spacing w:after="0"/>
        <w:tabs>
          <w:tab w:leader="none" w:pos="76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Access to your personal information, in a reasonably portable format.</w:t>
      </w:r>
    </w:p>
    <w:p>
      <w:pPr>
        <w:spacing w:after="0" w:line="107"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Correction or deletion of your personal information (unless we are required to retain it in accordance with applicable law).</w:t>
      </w:r>
    </w:p>
    <w:p>
      <w:pPr>
        <w:spacing w:after="0" w:line="21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u w:val="single" w:color="auto"/>
          <w:color w:val="auto"/>
        </w:rPr>
        <w:t>Submitting Requests</w:t>
      </w:r>
      <w:r>
        <w:rPr>
          <w:rFonts w:ascii="Times New Roman" w:cs="Times New Roman" w:eastAsia="Times New Roman" w:hAnsi="Times New Roman"/>
          <w:sz w:val="20"/>
          <w:szCs w:val="20"/>
          <w:color w:val="auto"/>
        </w:rPr>
        <w:t>: Requests to exercise privacy rights under Canadian laws may be submitted using this form, by contacting us at 1-800-889-9288 (toll free), or by emailing us at dataaccessrequest@wtwco.com.</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Depending on applicable laws, if your request to exercise a right is denied or not responded to within a reasonable time, you may appeal that decision through this link or emailing privacy@wtwco.com.</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1" w:right="4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8 – Information for Residents of Brazil</w:t>
      </w:r>
    </w:p>
    <w:p>
      <w:pPr>
        <w:spacing w:after="0" w:line="220" w:lineRule="exact"/>
        <w:rPr>
          <w:sz w:val="20"/>
          <w:szCs w:val="20"/>
          <w:color w:val="auto"/>
        </w:rPr>
      </w:pPr>
    </w:p>
    <w:p>
      <w:pPr>
        <w:ind w:right="2980"/>
        <w:spacing w:after="0" w:line="297" w:lineRule="auto"/>
        <w:rPr>
          <w:sz w:val="20"/>
          <w:szCs w:val="20"/>
          <w:color w:val="auto"/>
        </w:rPr>
      </w:pPr>
      <w:r>
        <w:rPr>
          <w:rFonts w:ascii="Times New Roman" w:cs="Times New Roman" w:eastAsia="Times New Roman" w:hAnsi="Times New Roman"/>
          <w:sz w:val="20"/>
          <w:szCs w:val="20"/>
          <w:color w:val="auto"/>
        </w:rPr>
        <w:t>The following information applies to any individual’s personal information used in Brazil in accordance with the Brazilian General Data Protection Law (LGPD):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Bases for Processing Personal Information under the LGPD: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LGPD, we use or process personal information in accordance with the following legal bases:</w:t>
      </w:r>
    </w:p>
    <w:p>
      <w:pPr>
        <w:spacing w:after="0" w:line="216" w:lineRule="exact"/>
        <w:rPr>
          <w:sz w:val="20"/>
          <w:szCs w:val="20"/>
          <w:color w:val="auto"/>
        </w:rPr>
      </w:pPr>
    </w:p>
    <w:p>
      <w:pPr>
        <w:ind w:left="1500" w:hanging="743"/>
        <w:spacing w:after="0"/>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for complying with social security requirements, or health and safety obligations that we must comply with as your employer or to a third party (e.g. the taxation authorities);</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18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regular exercise of our rights in administrative, judicial or arbitration proceedings</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life or physical integrity, for example by providing your health information to a doctor in a medical emergency;</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our DPO.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Rights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LGPD, individuals have certain rights related to their personal data, subject to other limitations in this law, as follows:</w:t>
      </w:r>
    </w:p>
    <w:p>
      <w:pPr>
        <w:spacing w:after="0" w:line="216" w:lineRule="exact"/>
        <w:rPr>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of the existence of data processing;</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to your personal data;</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Correction of incomplete, inaccurate, or out-of-date data</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Anonymization, blocking, or deletion of unnecessary or excessive data, or data processed in non-compliance with LGPD;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Portability of data to another service or product provider, subject to our commercial or industrial secrets;</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Deletion of personal data processed with basis on your consent, to the extent permitted by the LGPD;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the entities with whom we have shared personal data;</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the possibility of denying consent and consequences of such denial;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107" w:name="page108"/>
    <w:bookmarkEnd w:id="107"/>
    <w:p>
      <w:pPr>
        <w:ind w:left="1500" w:hanging="743"/>
        <w:spacing w:after="0"/>
        <w:tabs>
          <w:tab w:leader="none" w:pos="15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of consent;</w:t>
      </w:r>
    </w:p>
    <w:p>
      <w:pPr>
        <w:spacing w:after="0" w:line="215" w:lineRule="exact"/>
        <w:rPr>
          <w:rFonts w:ascii="Times New Roman" w:cs="Times New Roman" w:eastAsia="Times New Roman" w:hAnsi="Times New Roman"/>
          <w:sz w:val="20"/>
          <w:szCs w:val="20"/>
          <w:color w:val="auto"/>
        </w:rPr>
      </w:pPr>
    </w:p>
    <w:p>
      <w:pPr>
        <w:ind w:left="1500" w:right="260" w:hanging="743"/>
        <w:spacing w:after="0" w:line="269" w:lineRule="auto"/>
        <w:tabs>
          <w:tab w:leader="none" w:pos="15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Objection to any processing of personal data to the extent that we rely on legal bases other than your consent, in case of violation of the LGPD;</w:t>
      </w:r>
    </w:p>
    <w:p>
      <w:pPr>
        <w:spacing w:after="0" w:line="159" w:lineRule="exact"/>
        <w:rPr>
          <w:rFonts w:ascii="Times New Roman" w:cs="Times New Roman" w:eastAsia="Times New Roman" w:hAnsi="Times New Roman"/>
          <w:sz w:val="20"/>
          <w:szCs w:val="20"/>
          <w:color w:val="auto"/>
        </w:rPr>
      </w:pPr>
    </w:p>
    <w:p>
      <w:pPr>
        <w:ind w:left="1500" w:right="60" w:hanging="743"/>
        <w:spacing w:after="0" w:line="254" w:lineRule="auto"/>
        <w:tabs>
          <w:tab w:leader="none" w:pos="15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Revision of decisions taken solely on the basis of automated processing of your personal data which affects your interests, including decisions intended to define personal, professional, consumer or credit profile or aspects of your personality; and</w:t>
      </w:r>
    </w:p>
    <w:p>
      <w:pPr>
        <w:spacing w:after="0" w:line="174" w:lineRule="exact"/>
        <w:rPr>
          <w:rFonts w:ascii="Times New Roman" w:cs="Times New Roman" w:eastAsia="Times New Roman" w:hAnsi="Times New Roman"/>
          <w:sz w:val="20"/>
          <w:szCs w:val="20"/>
          <w:color w:val="auto"/>
        </w:rPr>
      </w:pPr>
    </w:p>
    <w:p>
      <w:pPr>
        <w:ind w:left="1500" w:right="460" w:hanging="743"/>
        <w:spacing w:after="0" w:line="269" w:lineRule="auto"/>
        <w:tabs>
          <w:tab w:leader="none" w:pos="150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Lodging a complaint with the National Authority (“ANPD”) if you consider that the processing of your personal data infringes the LGPD provisions.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of Personal Information</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Please find below consolidated information on cross-border transfer of personal data that we may carry out under LGPD, as set out in Section 5 of this Notice:</w:t>
      </w:r>
    </w:p>
    <w:p>
      <w:pPr>
        <w:spacing w:after="0" w:line="51" w:lineRule="exact"/>
        <w:rPr>
          <w:sz w:val="20"/>
          <w:szCs w:val="20"/>
          <w:color w:val="auto"/>
        </w:rPr>
      </w:pPr>
    </w:p>
    <w:p>
      <w:pPr>
        <w:jc w:val="both"/>
        <w:ind w:left="760" w:hanging="378"/>
        <w:spacing w:after="0" w:line="254" w:lineRule="auto"/>
        <w:tabs>
          <w:tab w:leader="none" w:pos="7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Duration and Specific Purpose of the Cross-border Transfer: We may transfer personal information relating to you from Brazil via our internal networks, for the purposes described in Annex 1 of this Notice, and your Personal Data will be retained in relation to the international transfer as described in Section 7 of this Notice.</w:t>
      </w:r>
    </w:p>
    <w:p>
      <w:pPr>
        <w:spacing w:after="0" w:line="66"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of Destination: Your Personal Data may be stored or accessed in any of the countries where we operate, including Canada, the United States, Mexico, the European Union, India, and the Philippines.</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controller: See Section 1 of this Notice.</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shared used and the purpose of sharing: See purposes described in Annex 1 of this Notice.</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responsibilities of the processing agents and the security measures adopted: the data controller shall be responsible for (i) publishing information on the cross- border transfer; (ii) responding to data subjects’ requests; and (iii) notifying ANPD and data subjects of security incidents which may cause significant risk or damage to data subjects. See security measures described in Section 6 of this Notice.</w:t>
      </w:r>
    </w:p>
    <w:p>
      <w:pPr>
        <w:spacing w:after="0" w:line="71"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data subject and the means of exercising them: See Individual rights listed above and contact information for submitting requests in section 11 of this Notice.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16" w:lineRule="exact"/>
        <w:rPr>
          <w:sz w:val="20"/>
          <w:szCs w:val="20"/>
          <w:color w:val="auto"/>
        </w:rPr>
      </w:pPr>
    </w:p>
    <w:p>
      <w:pPr>
        <w:ind w:left="2600" w:right="2640" w:firstLine="335"/>
        <w:spacing w:after="0" w:line="300" w:lineRule="auto"/>
        <w:rPr>
          <w:sz w:val="20"/>
          <w:szCs w:val="20"/>
          <w:color w:val="auto"/>
        </w:rPr>
      </w:pPr>
      <w:r>
        <w:rPr>
          <w:rFonts w:ascii="Times New Roman" w:cs="Times New Roman" w:eastAsia="Times New Roman" w:hAnsi="Times New Roman"/>
          <w:sz w:val="19"/>
          <w:szCs w:val="19"/>
          <w:b w:val="1"/>
          <w:bCs w:val="1"/>
          <w:color w:val="auto"/>
        </w:rPr>
        <w:t>WILLIS TOWERS WATSON PUBLIC LIMITED COMPANY 2012 EQUITY INCENTIVE PLAN, AS AMENDED AND RESTATED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SHARE UNIT GRANT NOTICE</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Willis Towers Watson Public Limited Company, a corporation organized under the laws of Ireland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individual listed below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an award of Performance-Based Restricted Share Units (the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as described in this Performance-Based Restricted Share Unit Grant Notice (this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subject to the terms and conditions of the Plan and the Performance-Based Restricted Share Unit Award Agreement attached hereto, including any additional terms and conditions set forth in any appendix applicable in the Colleague’s country and any other schedule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both of which are incorporated into this Grant Notice by reference. Capitalized terms not specifically defined in this Grant Notice or the Agreement have the meanings given to them in the Plan.</w:t>
      </w:r>
    </w:p>
    <w:p>
      <w:pPr>
        <w:spacing w:after="0" w:line="199" w:lineRule="exact"/>
        <w:rPr>
          <w:sz w:val="20"/>
          <w:szCs w:val="20"/>
          <w:color w:val="auto"/>
        </w:rPr>
      </w:pPr>
    </w:p>
    <w:tbl>
      <w:tblPr>
        <w:tblLayout w:type="fixed"/>
        <w:tblInd w:w="760" w:type="dxa"/>
        <w:tblCellMar>
          <w:top w:w="0" w:type="dxa"/>
          <w:left w:w="0" w:type="dxa"/>
          <w:bottom w:w="0" w:type="dxa"/>
          <w:right w:w="0" w:type="dxa"/>
        </w:tblCellMar>
      </w:tblPr>
      <w:tr>
        <w:trPr>
          <w:trHeight w:val="262"/>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Colleague:</w:t>
            </w:r>
          </w:p>
        </w:tc>
        <w:tc>
          <w:tcPr>
            <w:tcW w:w="736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&lt;first_name&gt; &lt;last_name&gt;</w:t>
            </w:r>
          </w:p>
        </w:tc>
      </w:tr>
      <w:tr>
        <w:trPr>
          <w:trHeight w:val="445"/>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736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&lt;Grant Date&gt;</w:t>
            </w:r>
          </w:p>
        </w:tc>
      </w:tr>
      <w:tr>
        <w:trPr>
          <w:trHeight w:val="446"/>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Acceptance Due Date:</w:t>
            </w:r>
          </w:p>
        </w:tc>
        <w:tc>
          <w:tcPr>
            <w:tcW w:w="736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rPr>
              <w:t>&lt;Accept by Date&gt;</w:t>
            </w:r>
          </w:p>
        </w:tc>
      </w:tr>
      <w:tr>
        <w:trPr>
          <w:trHeight w:val="465"/>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Target Award:</w:t>
            </w:r>
          </w:p>
        </w:tc>
        <w:tc>
          <w:tcPr>
            <w:tcW w:w="7360" w:type="dxa"/>
            <w:vAlign w:val="bottom"/>
            <w:gridSpan w:val="3"/>
          </w:tcPr>
          <w:p>
            <w:pPr>
              <w:ind w:left="1080"/>
              <w:spacing w:after="0"/>
              <w:rPr>
                <w:sz w:val="20"/>
                <w:szCs w:val="20"/>
                <w:color w:val="auto"/>
              </w:rPr>
            </w:pPr>
            <w:r>
              <w:rPr>
                <w:rFonts w:ascii="Times New Roman" w:cs="Times New Roman" w:eastAsia="Times New Roman" w:hAnsi="Times New Roman"/>
                <w:sz w:val="22"/>
                <w:szCs w:val="22"/>
                <w:color w:val="auto"/>
              </w:rPr>
              <w:t>&lt;PSUs_awarded&gt;</w:t>
            </w:r>
          </w:p>
        </w:tc>
      </w:tr>
      <w:tr>
        <w:trPr>
          <w:trHeight w:val="411"/>
        </w:trPr>
        <w:tc>
          <w:tcPr>
            <w:tcW w:w="29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736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w w:val="99"/>
              </w:rPr>
              <w:t>The PSUs that are determined to constitute Earned PSUs as of the Earned Date</w:t>
            </w:r>
          </w:p>
        </w:tc>
      </w:tr>
      <w:tr>
        <w:trPr>
          <w:trHeight w:val="229"/>
        </w:trPr>
        <w:tc>
          <w:tcPr>
            <w:tcW w:w="2960" w:type="dxa"/>
            <w:vAlign w:val="bottom"/>
          </w:tcPr>
          <w:p>
            <w:pPr>
              <w:spacing w:after="0"/>
              <w:rPr>
                <w:sz w:val="19"/>
                <w:szCs w:val="19"/>
                <w:color w:val="auto"/>
              </w:rPr>
            </w:pPr>
          </w:p>
        </w:tc>
        <w:tc>
          <w:tcPr>
            <w:tcW w:w="7360" w:type="dxa"/>
            <w:vAlign w:val="bottom"/>
            <w:gridSpan w:val="3"/>
          </w:tcPr>
          <w:p>
            <w:pPr>
              <w:ind w:left="1080"/>
              <w:spacing w:after="0"/>
              <w:rPr>
                <w:sz w:val="20"/>
                <w:szCs w:val="20"/>
                <w:color w:val="auto"/>
              </w:rPr>
            </w:pPr>
            <w:r>
              <w:rPr>
                <w:rFonts w:ascii="Times New Roman" w:cs="Times New Roman" w:eastAsia="Times New Roman" w:hAnsi="Times New Roman"/>
                <w:sz w:val="20"/>
                <w:szCs w:val="20"/>
                <w:color w:val="auto"/>
                <w:w w:val="98"/>
              </w:rPr>
              <w:t>(as defined in Sections 1.7 and 1.5 of the Agreement, respectively) shall vest in</w:t>
            </w:r>
          </w:p>
        </w:tc>
      </w:tr>
      <w:tr>
        <w:trPr>
          <w:trHeight w:val="212"/>
        </w:trPr>
        <w:tc>
          <w:tcPr>
            <w:tcW w:w="2960" w:type="dxa"/>
            <w:vAlign w:val="bottom"/>
          </w:tcPr>
          <w:p>
            <w:pPr>
              <w:spacing w:after="0"/>
              <w:rPr>
                <w:sz w:val="18"/>
                <w:szCs w:val="18"/>
                <w:color w:val="auto"/>
              </w:rPr>
            </w:pPr>
          </w:p>
        </w:tc>
        <w:tc>
          <w:tcPr>
            <w:tcW w:w="7360" w:type="dxa"/>
            <w:vAlign w:val="bottom"/>
            <w:gridSpan w:val="3"/>
          </w:tcPr>
          <w:p>
            <w:pPr>
              <w:ind w:left="1080"/>
              <w:spacing w:after="0" w:line="212" w:lineRule="exact"/>
              <w:rPr>
                <w:sz w:val="20"/>
                <w:szCs w:val="20"/>
                <w:color w:val="auto"/>
              </w:rPr>
            </w:pPr>
            <w:r>
              <w:rPr>
                <w:rFonts w:ascii="Times New Roman" w:cs="Times New Roman" w:eastAsia="Times New Roman" w:hAnsi="Times New Roman"/>
                <w:sz w:val="20"/>
                <w:szCs w:val="20"/>
                <w:color w:val="auto"/>
              </w:rPr>
              <w:t>full on the third anniversary of the Grant Date (the “Vesting Date”).</w:t>
            </w:r>
          </w:p>
        </w:tc>
      </w:tr>
      <w:tr>
        <w:trPr>
          <w:trHeight w:val="20"/>
        </w:trPr>
        <w:tc>
          <w:tcPr>
            <w:tcW w:w="29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By accepting (whether in writing, electronically or otherwise in the manner specified in the Colleague’s online account with the Company’s designated broker/stock plan administrator) the PSUs, the Colleague agrees to be bound by the terms of this Grant Notice, the Plan, and the Agreement (collectively, the “</w:t>
      </w:r>
      <w:r>
        <w:rPr>
          <w:rFonts w:ascii="Times New Roman" w:cs="Times New Roman" w:eastAsia="Times New Roman" w:hAnsi="Times New Roman"/>
          <w:sz w:val="20"/>
          <w:szCs w:val="20"/>
          <w:u w:val="single" w:color="auto"/>
          <w:color w:val="auto"/>
        </w:rPr>
        <w:t>Grant Documents</w:t>
      </w:r>
      <w:r>
        <w:rPr>
          <w:rFonts w:ascii="Times New Roman" w:cs="Times New Roman" w:eastAsia="Times New Roman" w:hAnsi="Times New Roman"/>
          <w:sz w:val="20"/>
          <w:szCs w:val="20"/>
          <w:color w:val="auto"/>
        </w:rPr>
        <w:t>”). The Colleague acknowledges that the Colleague (i) has reviewed the Grant Documents in their entirety, (ii) has had an opportunity to obtain the advice of counsel prior to executing this Grant Notice, and (iii) fully understands all provisions of the Grant Documents.</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Colleague further agrees to execute and deliver or electronically accept this Grant Notice and the RCA (as defined in Section 1.21 of the Agreement) within 60 days of the Grant Date. Except as may otherwise be provided by the Committee, in its sole discretion, the PSUs shall be forfeited automatically on the last date of the acceptance period set forth in the foregoing sentence if the Colleague fails to execute and deliver or electronically accept the Grant Notice or the RCA by such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09" w:name="page110"/>
    <w:bookmarkEnd w:id="109"/>
    <w:p>
      <w:pPr>
        <w:ind w:left="760"/>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Grant Notice as of the last date written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10795</wp:posOffset>
            </wp:positionV>
            <wp:extent cx="66262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tabs>
          <w:tab w:leader="none" w:pos="780" w:val="left"/>
          <w:tab w:leader="none" w:pos="6060" w:val="left"/>
        </w:tabs>
        <w:rPr>
          <w:sz w:val="20"/>
          <w:szCs w:val="20"/>
          <w:color w:val="auto"/>
        </w:rPr>
      </w:pPr>
      <w:r>
        <w:rPr>
          <w:rFonts w:ascii="Times New Roman" w:cs="Times New Roman" w:eastAsia="Times New Roman" w:hAnsi="Times New Roman"/>
          <w:sz w:val="22"/>
          <w:szCs w:val="22"/>
          <w:color w:val="auto"/>
        </w:rPr>
        <w:t>Name:</w:t>
        <w:tab/>
        <w:t>Kristy Banas</w:t>
      </w:r>
      <w:r>
        <w:rPr>
          <w:sz w:val="20"/>
          <w:szCs w:val="20"/>
          <w:color w:val="auto"/>
        </w:rPr>
        <w:tab/>
      </w:r>
      <w:r>
        <w:rPr>
          <w:rFonts w:ascii="Times New Roman" w:cs="Times New Roman" w:eastAsia="Times New Roman" w:hAnsi="Times New Roman"/>
          <w:sz w:val="22"/>
          <w:szCs w:val="22"/>
          <w:color w:val="auto"/>
        </w:rPr>
        <w:t>Date</w:t>
      </w: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Title:</w:t>
        <w:tab/>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6060" w:val="left"/>
        </w:tabs>
        <w:rPr>
          <w:sz w:val="20"/>
          <w:szCs w:val="20"/>
          <w:color w:val="auto"/>
        </w:rPr>
      </w:pPr>
      <w:r>
        <w:rPr>
          <w:rFonts w:ascii="Times New Roman" w:cs="Times New Roman" w:eastAsia="Times New Roman" w:hAnsi="Times New Roman"/>
          <w:sz w:val="22"/>
          <w:szCs w:val="22"/>
          <w:color w:val="auto"/>
        </w:rPr>
        <w:t>&lt;first_name&gt; &lt;last_name&gt;</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4" w:right="1440" w:bottom="1440" w:gutter="0" w:footer="0" w:header="0"/>
        </w:sectPr>
      </w:pPr>
    </w:p>
    <w:bookmarkStart w:id="110" w:name="page111"/>
    <w:bookmarkEnd w:id="110"/>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2012 EQUITY INCENTIVE PLAN, AS AMENDED AND RESTATED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OFFICERS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Unless otherwise defined in Article I of this Performance-Based Restricted Share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any capitalized terms used herein will have the same meanings ascribed to them in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or the Performance-Based Restricted Share Unit Grant Notice (the “</w:t>
      </w: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and collectively with the Plan and the Agreement, the “</w:t>
      </w:r>
      <w:r>
        <w:rPr>
          <w:rFonts w:ascii="Times New Roman" w:cs="Times New Roman" w:eastAsia="Times New Roman" w:hAnsi="Times New Roman"/>
          <w:sz w:val="20"/>
          <w:szCs w:val="20"/>
          <w:u w:val="single" w:color="auto"/>
          <w:color w:val="auto"/>
        </w:rPr>
        <w:t>Grant Documents</w:t>
      </w:r>
      <w:r>
        <w:rPr>
          <w:rFonts w:ascii="Times New Roman" w:cs="Times New Roman" w:eastAsia="Times New Roman" w:hAnsi="Times New Roman"/>
          <w:sz w:val="20"/>
          <w:szCs w:val="20"/>
          <w:color w:val="auto"/>
        </w:rPr>
        <w:t>”) to which this Agreement is attached. Further, for purposes of this Agreement, the plural pronoun shall include the singular, where the context so indicates.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409A CIC Event</w:t>
      </w:r>
      <w:r>
        <w:rPr>
          <w:rFonts w:ascii="Times New Roman" w:cs="Times New Roman" w:eastAsia="Times New Roman" w:hAnsi="Times New Roman"/>
          <w:sz w:val="20"/>
          <w:szCs w:val="20"/>
          <w:color w:val="auto"/>
        </w:rPr>
        <w:t>” shall have the meaning ascribed to such term in Section 2.6(b) hereof.</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shall have the meaning ascribed to such term or similar term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Good Caus</w:t>
      </w:r>
      <w:r>
        <w:rPr>
          <w:rFonts w:ascii="Times New Roman" w:cs="Times New Roman" w:eastAsia="Times New Roman" w:hAnsi="Times New Roman"/>
          <w:sz w:val="20"/>
          <w:szCs w:val="20"/>
          <w:color w:val="auto"/>
        </w:rPr>
        <w:t>e”) in the Colleague’s employment, retention or similar agreement, if any, with the Company, a Subsidiary or a Designated Associate Company, and, in the absence of an employment, retention or similar agreement or such definition in the employment, retention or similar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retention or similar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or any other form of harassment, having been provided reasonable notice of such a violation (notice required only if curable as determined by the Board) and ten (10) days after the Colleague’s receipt of such notice to cure or correct such violation.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Dividend Equivalent Amount</w:t>
      </w:r>
      <w:r>
        <w:rPr>
          <w:rFonts w:ascii="Times New Roman" w:cs="Times New Roman" w:eastAsia="Times New Roman" w:hAnsi="Times New Roman"/>
          <w:sz w:val="20"/>
          <w:szCs w:val="20"/>
          <w:color w:val="auto"/>
        </w:rPr>
        <w:t>” shall have the meaning ascribed to such term in Section 2.3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Dividend Equivalent Units</w:t>
      </w:r>
      <w:r>
        <w:rPr>
          <w:rFonts w:ascii="Times New Roman" w:cs="Times New Roman" w:eastAsia="Times New Roman" w:hAnsi="Times New Roman"/>
          <w:sz w:val="20"/>
          <w:szCs w:val="20"/>
          <w:color w:val="auto"/>
        </w:rPr>
        <w:t>” shall have the meaning ascribed to such term in Section 2.3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Earned Date</w:t>
      </w:r>
      <w:r>
        <w:rPr>
          <w:rFonts w:ascii="Times New Roman" w:cs="Times New Roman" w:eastAsia="Times New Roman" w:hAnsi="Times New Roman"/>
          <w:sz w:val="20"/>
          <w:szCs w:val="20"/>
          <w:color w:val="auto"/>
        </w:rPr>
        <w:t>” shall mean the date the Committee determines the attainment level of the Performance Objectives.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Earned Dividend Equivalent Units</w:t>
      </w:r>
      <w:r>
        <w:rPr>
          <w:rFonts w:ascii="Times New Roman" w:cs="Times New Roman" w:eastAsia="Times New Roman" w:hAnsi="Times New Roman"/>
          <w:sz w:val="20"/>
          <w:szCs w:val="20"/>
          <w:color w:val="auto"/>
        </w:rPr>
        <w:t>” shall have the meaning ascribed to such term in Section 2.3 hereof.</w:t>
      </w:r>
    </w:p>
    <w:p>
      <w:pPr>
        <w:spacing w:after="0" w:line="216" w:lineRule="exact"/>
        <w:rPr>
          <w:sz w:val="20"/>
          <w:szCs w:val="20"/>
          <w:color w:val="auto"/>
        </w:rPr>
      </w:pPr>
    </w:p>
    <w:p>
      <w:pPr>
        <w:ind w:right="680"/>
        <w:spacing w:after="0" w:line="295" w:lineRule="auto"/>
        <w:rPr>
          <w:sz w:val="20"/>
          <w:szCs w:val="20"/>
          <w:color w:val="auto"/>
        </w:rPr>
      </w:pPr>
      <w:r>
        <w:rPr>
          <w:rFonts w:ascii="Times New Roman" w:cs="Times New Roman" w:eastAsia="Times New Roman" w:hAnsi="Times New Roman"/>
          <w:sz w:val="19"/>
          <w:szCs w:val="19"/>
          <w:u w:val="single" w:color="auto"/>
          <w:color w:val="auto"/>
        </w:rPr>
        <w:t>Section 1.7</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u w:val="single" w:color="auto"/>
          <w:color w:val="auto"/>
        </w:rPr>
        <w:t>Earned PSUs</w:t>
      </w:r>
      <w:r>
        <w:rPr>
          <w:rFonts w:ascii="Times New Roman" w:cs="Times New Roman" w:eastAsia="Times New Roman" w:hAnsi="Times New Roman"/>
          <w:sz w:val="19"/>
          <w:szCs w:val="19"/>
          <w:color w:val="auto"/>
        </w:rPr>
        <w:t>” shall mean the number of PSUs that are determined to be earned based on the attainment level of the Performance Objectives set forth in Schedule B of this Agreement and eligible to vest in accordance with the provisions of Article II.</w:t>
      </w:r>
    </w:p>
    <w:p>
      <w:pPr>
        <w:spacing w:after="0" w:line="13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Employer</w:t>
      </w:r>
      <w:r>
        <w:rPr>
          <w:rFonts w:ascii="Times New Roman" w:cs="Times New Roman" w:eastAsia="Times New Roman" w:hAnsi="Times New Roman"/>
          <w:sz w:val="20"/>
          <w:szCs w:val="20"/>
          <w:color w:val="auto"/>
        </w:rPr>
        <w:t>” shall mean the Company, or if different, the Subsidiary or Designated Associate Company that employs the Colleague.</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shall have the meaning ascribed to such term or similar term in the employment, retention or similar agreement, if any, with the Company, a Subsidiary or a Designated Associate Company; in the absence of an employment, retention or similar agreement or such term in the employment, retention or similar agreement, it shall mean that one or more of the following events has occurred without the Colleague’s written consent: (i) a material adverse diminution in the Colleague’s position, authority or responsibilities or the assignment to Colleague of duties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1" w:name="page112"/>
    <w:bookmarkEnd w:id="111"/>
    <w:p>
      <w:pPr>
        <w:jc w:val="both"/>
        <w:spacing w:after="0" w:line="243" w:lineRule="auto"/>
        <w:rPr>
          <w:sz w:val="20"/>
          <w:szCs w:val="20"/>
          <w:color w:val="auto"/>
        </w:rPr>
      </w:pPr>
      <w:r>
        <w:rPr>
          <w:rFonts w:ascii="Times New Roman" w:cs="Times New Roman" w:eastAsia="Times New Roman" w:hAnsi="Times New Roman"/>
          <w:sz w:val="20"/>
          <w:szCs w:val="20"/>
          <w:color w:val="auto"/>
        </w:rPr>
        <w:t>responsibilities which are materially inconsistent with the Colleague’s position; (ii) a material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shall have the meaning ascribed to such term in the Grant Notice.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Group Termination Event</w:t>
      </w:r>
      <w:r>
        <w:rPr>
          <w:rFonts w:ascii="Times New Roman" w:cs="Times New Roman" w:eastAsia="Times New Roman" w:hAnsi="Times New Roman"/>
          <w:sz w:val="20"/>
          <w:szCs w:val="20"/>
          <w:color w:val="auto"/>
        </w:rPr>
        <w:t>” shall mean an involuntary termination of Service that is part of a group termination of employment, including, but not limited to, terminations resulting from the sale of a business or division, outsourcing of an entire function, reduction in workforce or closing of an office.</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Job Elimination</w:t>
      </w:r>
      <w:r>
        <w:rPr>
          <w:rFonts w:ascii="Times New Roman" w:cs="Times New Roman" w:eastAsia="Times New Roman" w:hAnsi="Times New Roman"/>
          <w:sz w:val="20"/>
          <w:szCs w:val="20"/>
          <w:color w:val="auto"/>
        </w:rPr>
        <w:t>” shall mean an involuntary termination of employment by reason of job elimination, substantial change in the nature of Colleague’s position, or job relocation.</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Legacy Company</w:t>
      </w:r>
      <w:r>
        <w:rPr>
          <w:rFonts w:ascii="Times New Roman" w:cs="Times New Roman" w:eastAsia="Times New Roman" w:hAnsi="Times New Roman"/>
          <w:sz w:val="20"/>
          <w:szCs w:val="20"/>
          <w:color w:val="auto"/>
        </w:rPr>
        <w:t>” shall mean Towers Watson &amp; Co. or Willis Group Holdings Public Limited Company and any predecessor companies or affiliates of any of the foregoing.</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Long-Term Incentive Program</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LTIP</w:t>
      </w:r>
      <w:r>
        <w:rPr>
          <w:rFonts w:ascii="Times New Roman" w:cs="Times New Roman" w:eastAsia="Times New Roman" w:hAnsi="Times New Roman"/>
          <w:sz w:val="20"/>
          <w:szCs w:val="20"/>
          <w:color w:val="auto"/>
        </w:rPr>
        <w:t>” is a program adopted with respect to calendar years 2026 to 2028 by the Committee under which equity awards and/or cash awards may be granted to certain eligible employees of the Company, its Subsidiaries or its Designated Associate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Nominal Value</w:t>
      </w:r>
      <w:r>
        <w:rPr>
          <w:rFonts w:ascii="Times New Roman" w:cs="Times New Roman" w:eastAsia="Times New Roman" w:hAnsi="Times New Roman"/>
          <w:sz w:val="20"/>
          <w:szCs w:val="20"/>
          <w:color w:val="auto"/>
        </w:rPr>
        <w:t>” shall mean $0.000304635 per Share.</w:t>
      </w:r>
    </w:p>
    <w:p>
      <w:pPr>
        <w:spacing w:after="0" w:line="21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Performance-Based Restricted Share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shall mean a conditional right to receive Shares, including Fractional Share Interests, pursuant to the terms of the Grant Documents.</w:t>
      </w:r>
    </w:p>
    <w:p>
      <w:pPr>
        <w:spacing w:after="0" w:line="159"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Performance Objectives</w:t>
      </w:r>
      <w:r>
        <w:rPr>
          <w:rFonts w:ascii="Times New Roman" w:cs="Times New Roman" w:eastAsia="Times New Roman" w:hAnsi="Times New Roman"/>
          <w:sz w:val="20"/>
          <w:szCs w:val="20"/>
          <w:color w:val="auto"/>
        </w:rPr>
        <w:t>” shall mean the performance objectives that are referenced in Section 2.5(a) and set forth in Schedule B to this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Performance Period</w:t>
      </w:r>
      <w:r>
        <w:rPr>
          <w:rFonts w:ascii="Times New Roman" w:cs="Times New Roman" w:eastAsia="Times New Roman" w:hAnsi="Times New Roman"/>
          <w:sz w:val="20"/>
          <w:szCs w:val="20"/>
          <w:color w:val="auto"/>
        </w:rPr>
        <w:t>” shall mean January 1, 2026 through December 31, 2028.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Qualifying Retiree</w:t>
      </w:r>
      <w:r>
        <w:rPr>
          <w:rFonts w:ascii="Times New Roman" w:cs="Times New Roman" w:eastAsia="Times New Roman" w:hAnsi="Times New Roman"/>
          <w:sz w:val="20"/>
          <w:szCs w:val="20"/>
          <w:color w:val="auto"/>
        </w:rPr>
        <w:t>” shall have the meaning ascribed to such term in Section 3.2 hereof.</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1.20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Qualifying Retirement</w:t>
      </w:r>
      <w:r>
        <w:rPr>
          <w:rFonts w:ascii="Times New Roman" w:cs="Times New Roman" w:eastAsia="Times New Roman" w:hAnsi="Times New Roman"/>
          <w:sz w:val="20"/>
          <w:szCs w:val="20"/>
          <w:color w:val="auto"/>
        </w:rPr>
        <w:t>” shall mean either (i) a voluntary termination of the Colleague’s Service by the Colleague, or (ii) a Job Elimination, Group Termination Event or other involuntary termination of the Colleague’s Service by the Employer arising under similar circumstances, as determined in the sole discretion of the Committee, in each case, after the Colleague’s attainment of either (a) the age of 55 and the Colleague’s completion of 10 Years of Service, or (b) the age of 65 and the Colleague’s completion of 5 Years of Service, provided that the Committee has not determined, in its sole discretion, that a basis exists for the Colleague’s termination of Service for Cause or a basis other than a Job Elimination or a Group Termination Event at the time of such termination of Service.</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RCA</w:t>
      </w:r>
      <w:r>
        <w:rPr>
          <w:rFonts w:ascii="Times New Roman" w:cs="Times New Roman" w:eastAsia="Times New Roman" w:hAnsi="Times New Roman"/>
          <w:sz w:val="20"/>
          <w:szCs w:val="20"/>
          <w:color w:val="auto"/>
        </w:rPr>
        <w:t>” shall mean the Agreement of Restrictive Covenants and Other Obligations for Employees in the United States, or Outside the United States, as applicable, which is made available to the Colleague via the Colleague’s online account with the Company’s designated broker/stock plan administrator.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Retirement Compliance Officers</w:t>
      </w:r>
      <w:r>
        <w:rPr>
          <w:rFonts w:ascii="Times New Roman" w:cs="Times New Roman" w:eastAsia="Times New Roman" w:hAnsi="Times New Roman"/>
          <w:sz w:val="20"/>
          <w:szCs w:val="20"/>
          <w:color w:val="auto"/>
        </w:rPr>
        <w:t>” shall have the meaning ascribed to such term in Section 3.2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Retirement Disclosure</w:t>
      </w:r>
      <w:r>
        <w:rPr>
          <w:rFonts w:ascii="Times New Roman" w:cs="Times New Roman" w:eastAsia="Times New Roman" w:hAnsi="Times New Roman"/>
          <w:sz w:val="20"/>
          <w:szCs w:val="20"/>
          <w:color w:val="auto"/>
        </w:rPr>
        <w:t>” shall have the meaning ascribed to such term in Section 3.2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Retirement Noncompliance Event</w:t>
      </w:r>
      <w:r>
        <w:rPr>
          <w:rFonts w:ascii="Times New Roman" w:cs="Times New Roman" w:eastAsia="Times New Roman" w:hAnsi="Times New Roman"/>
          <w:sz w:val="20"/>
          <w:szCs w:val="20"/>
          <w:color w:val="auto"/>
        </w:rPr>
        <w:t>” shall have the meaning ascribed to such term in Section 3.2 hereof.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shall have the meaning ascribed to such term in Section 2.6(b) hereof.</w:t>
      </w:r>
    </w:p>
    <w:p>
      <w:pPr>
        <w:spacing w:after="0" w:line="216"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Service</w:t>
      </w:r>
      <w:r>
        <w:rPr>
          <w:rFonts w:ascii="Times New Roman" w:cs="Times New Roman" w:eastAsia="Times New Roman" w:hAnsi="Times New Roman"/>
          <w:sz w:val="20"/>
          <w:szCs w:val="20"/>
          <w:color w:val="auto"/>
        </w:rPr>
        <w:t>” shall mean service as an Employee with (or, subject to approval by the Committee, as a Consultant to) the Company, or a Subsidiary or Designated Associate Company thereof.</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shall mean Ordinary Shares of the Company, Nominal Value per Share, which may be authorized but unissued. References in this Agreement to Shares shall also mean and include Fractional Share Interests when used in the context of references to Shares underlying the PSUs or issuable pursuant to PSUs unless the Agreement expressly provides otherwise or the context clearly suggests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Target Award</w:t>
      </w:r>
      <w:r>
        <w:rPr>
          <w:rFonts w:ascii="Times New Roman" w:cs="Times New Roman" w:eastAsia="Times New Roman" w:hAnsi="Times New Roman"/>
          <w:sz w:val="20"/>
          <w:szCs w:val="20"/>
          <w:color w:val="auto"/>
        </w:rPr>
        <w:t>” shall mean the target number of PSUs specified in the Grant Notice.</w:t>
      </w:r>
    </w:p>
    <w:p>
      <w:pPr>
        <w:spacing w:after="0" w:line="216"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unless otherwise determined by the Committee, in its sole discretion, the later of (i) the last day of the Colleague’s active Service or (ii) the last day of any notice period or garden leave, as provided for under the Colleague’s employment, retention or similar agreement, if any, or local law; provided, however, that in the case of United States taxpayers, the Termination Date shall mean a date that will allow the PSUs to comply with Section 409A of the Code.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shall have the meaning ascribed to such term in the Grant Notice.</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Years of Service</w:t>
      </w:r>
      <w:r>
        <w:rPr>
          <w:rFonts w:ascii="Times New Roman" w:cs="Times New Roman" w:eastAsia="Times New Roman" w:hAnsi="Times New Roman"/>
          <w:sz w:val="20"/>
          <w:szCs w:val="20"/>
          <w:color w:val="auto"/>
        </w:rPr>
        <w:t>” shall mean the total number of full years in which the Colleague has been in Service with the Company, a Subsidiary or Designated Associate Company thereof, and a Legacy Company, including all years of Service provided prior to a termination of prior Service where the break in Service did not exceed five (5) years. For purposes of this definition, a Year of Service shall mean a 365-day period (or 366-day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GRANT OF PERFORMANCE-BASED RESTRICTED SHARE UNITS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Grant of the Performance-Based Restricted Share Units</w:t>
      </w:r>
      <w:r>
        <w:rPr>
          <w:rFonts w:ascii="Times New Roman" w:cs="Times New Roman" w:eastAsia="Times New Roman" w:hAnsi="Times New Roman"/>
          <w:sz w:val="20"/>
          <w:szCs w:val="20"/>
          <w:color w:val="auto"/>
        </w:rPr>
        <w:t>. The Company has awarded the Colleague a number of PSUs equal to the Target Award, representing the right to vest in the Earned PSUs, subject to the terms and conditions of the Grant Notice, the Plan, and the additional terms and conditions set forth in this Agreement and the restrictive covenants set forth in the RCA. The Colleague agrees that the grant of PSUs is sufficient consideration for the Colleague entering into the RCA.</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PSU Payment</w:t>
      </w:r>
      <w:r>
        <w:rPr>
          <w:rFonts w:ascii="Times New Roman" w:cs="Times New Roman" w:eastAsia="Times New Roman" w:hAnsi="Times New Roman"/>
          <w:sz w:val="20"/>
          <w:szCs w:val="20"/>
          <w:color w:val="auto"/>
        </w:rPr>
        <w:t>. In accordance with Section 7(d)(ii) of the Plan, the Shares to be issued upon vesting and settlement of the PSUs must be fully paid up prior to issuance of such Shares (including, in the interest of clarity, each issuance of Fractional Share Interests) by payment of the Nominal Value per Share. The Committee shall ensure that payment of the Nominal Value for any Shares underlying the PSUs is received by it on behalf of the Colleague at the time the PSUs are settled from a non-Irish Subsidiary or other source and shall establish any procedures or protocols necessary to ensure that payment is timely received.</w:t>
      </w:r>
    </w:p>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On each date that a cash dividend is paid to holders of Shares from the Grant Date through the date immediately prior to the date the PSUs are settled, an amount (the “</w:t>
      </w:r>
      <w:r>
        <w:rPr>
          <w:rFonts w:ascii="Times New Roman" w:cs="Times New Roman" w:eastAsia="Times New Roman" w:hAnsi="Times New Roman"/>
          <w:sz w:val="20"/>
          <w:szCs w:val="20"/>
          <w:u w:val="single" w:color="auto"/>
          <w:color w:val="auto"/>
        </w:rPr>
        <w:t>Dividend Equivalent Amount</w:t>
      </w:r>
      <w:r>
        <w:rPr>
          <w:rFonts w:ascii="Times New Roman" w:cs="Times New Roman" w:eastAsia="Times New Roman" w:hAnsi="Times New Roman"/>
          <w:sz w:val="20"/>
          <w:szCs w:val="20"/>
          <w:color w:val="auto"/>
        </w:rPr>
        <w:t>”) equal to the cash dividend that is paid on each Share, multiplied by the Target Award (including PSUs over Fractional Share Interests) and any Dividend Equivalent Units (as defined below) that remain unvested and outstanding as of the dividend payment record date, will be credited to the Colleague, and such credited amount will be converted into an additional number of PSUs (including PSUs over Fractional Share Interests resulting from the foregoing calculation) determined by dividing the Dividend Equivalent Amount by the Fair Market Value of a Share on the date of the dividend payment (“</w:t>
      </w:r>
      <w:r>
        <w:rPr>
          <w:rFonts w:ascii="Times New Roman" w:cs="Times New Roman" w:eastAsia="Times New Roman" w:hAnsi="Times New Roman"/>
          <w:sz w:val="20"/>
          <w:szCs w:val="20"/>
          <w:u w:val="single" w:color="auto"/>
          <w:color w:val="auto"/>
        </w:rPr>
        <w:t>Dividend Equivalent Units</w:t>
      </w:r>
      <w:r>
        <w:rPr>
          <w:rFonts w:ascii="Times New Roman" w:cs="Times New Roman" w:eastAsia="Times New Roman" w:hAnsi="Times New Roman"/>
          <w:sz w:val="20"/>
          <w:szCs w:val="20"/>
          <w:color w:val="auto"/>
        </w:rPr>
        <w:t>”). At the end of the Performance Period, the number of Dividend Equivalent Units will be adjusted to reflect a number of Dividend Equivalent Units that is calculated based on the formula described above, but replacing the Target Award with the number of Earned PSUs (such adjusted number, the “</w:t>
      </w:r>
      <w:r>
        <w:rPr>
          <w:rFonts w:ascii="Times New Roman" w:cs="Times New Roman" w:eastAsia="Times New Roman" w:hAnsi="Times New Roman"/>
          <w:sz w:val="20"/>
          <w:szCs w:val="20"/>
          <w:u w:val="single" w:color="auto"/>
          <w:color w:val="auto"/>
        </w:rPr>
        <w:t>Earned Dividend Equivalent Units</w:t>
      </w:r>
      <w:r>
        <w:rPr>
          <w:rFonts w:ascii="Times New Roman" w:cs="Times New Roman" w:eastAsia="Times New Roman" w:hAnsi="Times New Roman"/>
          <w:sz w:val="20"/>
          <w:szCs w:val="20"/>
          <w:color w:val="auto"/>
        </w:rPr>
        <w:t>”). During the period beginning immediately following the last day of the Performance Period and ending on the date the Earned PSUs are paid pursuant to Section 2.6(a) below, Dividend Equivalent Units will accrue on any Earned PSUs and any Earned Dividend Equivalent Units. Dividend Equivalent Units and Earned Dividend Equivalent Units will be subject to the same conditions as the underlying PSUs with respect to which Dividend Equivalent Units and Earned Dividend Equivalent Units were credited, including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3" w:name="page114"/>
    <w:bookmarkEnd w:id="113"/>
    <w:p>
      <w:pPr>
        <w:ind w:right="20"/>
        <w:spacing w:after="0" w:line="254" w:lineRule="auto"/>
        <w:rPr>
          <w:sz w:val="20"/>
          <w:szCs w:val="20"/>
          <w:color w:val="auto"/>
        </w:rPr>
      </w:pPr>
      <w:r>
        <w:rPr>
          <w:rFonts w:ascii="Times New Roman" w:cs="Times New Roman" w:eastAsia="Times New Roman" w:hAnsi="Times New Roman"/>
          <w:sz w:val="20"/>
          <w:szCs w:val="20"/>
          <w:color w:val="auto"/>
        </w:rPr>
        <w:t>without limitation, the vesting condition and the provisions governing time and form of settlement applicable to the underlying PSUs. Unless expressly provided otherwise, as used elsewhere in this Agreement, references to PSUs in this Agreement shall also include Dividend Equivalent Units and Earned Dividend Equivalent Units that have been credited to the Colleague pursuant to this Section 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Earned PSU Determination; Vesting</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57"/>
        <w:spacing w:after="0" w:line="264" w:lineRule="auto"/>
        <w:tabs>
          <w:tab w:leader="none" w:pos="101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Determination of Earned PSUs</w:t>
      </w:r>
      <w:r>
        <w:rPr>
          <w:rFonts w:ascii="Times New Roman" w:cs="Times New Roman" w:eastAsia="Times New Roman" w:hAnsi="Times New Roman"/>
          <w:sz w:val="19"/>
          <w:szCs w:val="19"/>
          <w:color w:val="auto"/>
        </w:rPr>
        <w:t>. As of the Earned Date, the Committee shall determine the attainment level of the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Performance Objectives set forth in Schedule B to this Agreement, and based on such determination, shall determine the number of PSUs that shall constitute Earned PSUs. Anything to the contrary in this Section 2.4 and Schedule B to this Agreement notwithstanding, the Committee retains sole discretion to determine the number of PSUs that shall constitute Earned PSUs. Any PSUs that are not determined by the Committee to constitute Earned PSUs on the Earned Date, except as otherwise provided under Section 2.5, shall be forfeited immediately.</w:t>
      </w:r>
    </w:p>
    <w:p>
      <w:pPr>
        <w:spacing w:after="0" w:line="161" w:lineRule="exact"/>
        <w:rPr>
          <w:rFonts w:ascii="Times New Roman" w:cs="Times New Roman" w:eastAsia="Times New Roman" w:hAnsi="Times New Roman"/>
          <w:sz w:val="19"/>
          <w:szCs w:val="19"/>
          <w:color w:val="auto"/>
        </w:rPr>
      </w:pPr>
    </w:p>
    <w:p>
      <w:pPr>
        <w:jc w:val="both"/>
        <w:ind w:firstLine="757"/>
        <w:spacing w:after="0" w:line="256" w:lineRule="auto"/>
        <w:tabs>
          <w:tab w:leader="none" w:pos="101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Vesting</w:t>
      </w:r>
      <w:r>
        <w:rPr>
          <w:rFonts w:ascii="Times New Roman" w:cs="Times New Roman" w:eastAsia="Times New Roman" w:hAnsi="Times New Roman"/>
          <w:sz w:val="20"/>
          <w:szCs w:val="20"/>
          <w:color w:val="auto"/>
        </w:rPr>
        <w:t>. Except as otherwise provided in Section 2.5 hereof or the terms of the Colleague’s employment, retention or similar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if any, the PSUs that are determined to constitute Earned PSUs as of the Earned Date shall vest on the Vesting Date, subject to the Colleague’s continued Service through the Vesting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Forfeiture; Employment Termination; Change in Control.</w:t>
      </w:r>
    </w:p>
    <w:p>
      <w:pPr>
        <w:spacing w:after="0" w:line="212" w:lineRule="exact"/>
        <w:rPr>
          <w:sz w:val="20"/>
          <w:szCs w:val="20"/>
          <w:color w:val="auto"/>
        </w:rPr>
      </w:pPr>
    </w:p>
    <w:p>
      <w:pPr>
        <w:jc w:val="both"/>
        <w:ind w:firstLine="757"/>
        <w:spacing w:after="0" w:line="257"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Forfeiture upon Termination</w:t>
      </w:r>
      <w:r>
        <w:rPr>
          <w:rFonts w:ascii="Times New Roman" w:cs="Times New Roman" w:eastAsia="Times New Roman" w:hAnsi="Times New Roman"/>
          <w:sz w:val="20"/>
          <w:szCs w:val="20"/>
          <w:color w:val="auto"/>
        </w:rPr>
        <w:t>. Except as otherwise provided in this Section 2.5 or the terms of the Colleague’s employment,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retention or similar agreement in the event of the Colleague’s termination of Service prior to the </w:t>
      </w:r>
      <w:r>
        <w:rPr>
          <w:rFonts w:ascii="Times New Roman" w:cs="Times New Roman" w:eastAsia="Times New Roman" w:hAnsi="Times New Roman"/>
          <w:sz w:val="21"/>
          <w:szCs w:val="21"/>
          <w:color w:val="auto"/>
        </w:rPr>
        <w:t>Vesting</w:t>
      </w:r>
      <w:r>
        <w:rPr>
          <w:rFonts w:ascii="Times New Roman" w:cs="Times New Roman" w:eastAsia="Times New Roman" w:hAnsi="Times New Roman"/>
          <w:sz w:val="20"/>
          <w:szCs w:val="20"/>
          <w:color w:val="auto"/>
        </w:rPr>
        <w:t xml:space="preserve"> Date, any Earned PSUs that are unvested as of the Termination Date shall be forfeited immediately as of the Termination Date by the Colleague.</w:t>
      </w:r>
    </w:p>
    <w:p>
      <w:pPr>
        <w:spacing w:after="0" w:line="16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Qualifying Retirement</w:t>
      </w:r>
      <w:r>
        <w:rPr>
          <w:rFonts w:ascii="Times New Roman" w:cs="Times New Roman" w:eastAsia="Times New Roman" w:hAnsi="Times New Roman"/>
          <w:sz w:val="20"/>
          <w:szCs w:val="20"/>
          <w:color w:val="auto"/>
        </w:rPr>
        <w:t>. In the event of the Colleague’s termination of Service after the first anniversary of the Grant Date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prior to the Vesting Date due to a Qualifying Retirement, a number of PSUs equal to the Earned PSUs shall vest on the Vesting Date, subject to the Colleague’s compliance with the restrictive covenants legally applicable to the Colleague and other obligations contemplated under Sections 3.1 and 3.2 hereof, as determined in the sole discretion of the Committee. If the Committee determines in its sole discretion that the Colleague has violated the restrictive covenants and other obligations under Sections 3.1 and 3.2 hereof, any PSUs that are unvested as of the date of the Committee’s determination shall be forfeited immediately. For the avoidance of any doubt, the provisions of this Section 2.5(b) shall prevail over the provisions of Sections 2.5(c) and (d) hereof.</w:t>
      </w:r>
    </w:p>
    <w:p>
      <w:pPr>
        <w:spacing w:after="0" w:line="179"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 Involuntary Termination</w:t>
      </w:r>
      <w:r>
        <w:rPr>
          <w:rFonts w:ascii="Times New Roman" w:cs="Times New Roman" w:eastAsia="Times New Roman" w:hAnsi="Times New Roman"/>
          <w:sz w:val="20"/>
          <w:szCs w:val="20"/>
          <w:color w:val="auto"/>
        </w:rPr>
        <w:t>. In the event the PSUs are assumed or otherwise substituted or replaced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successor corporation or an affiliate thereof in connection with a Change of Control and the Colleague’s Service is terminated (i) by the successor corporation or an affiliate employing the Colleague without Cause or (ii) by the Colleague for Good Reason, in each case, within the 24-month period commencing on the effective date of a Change of Control, a number of PSUs equal to the Target Award shall vest as of the Termination Date.</w:t>
      </w:r>
    </w:p>
    <w:p>
      <w:pPr>
        <w:spacing w:after="0" w:line="180"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Non-Change in Control Involuntary Termination</w:t>
      </w:r>
      <w:r>
        <w:rPr>
          <w:rFonts w:ascii="Times New Roman" w:cs="Times New Roman" w:eastAsia="Times New Roman" w:hAnsi="Times New Roman"/>
          <w:sz w:val="20"/>
          <w:szCs w:val="20"/>
          <w:color w:val="auto"/>
        </w:rPr>
        <w:t>. In the event of the Colleague’s (i) termination of Service without Cause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Employer or (ii) termination of Service by the Colleague for Good Reason, in each case, after the first anniversary of the Grant Date and prior to the effective date of a Change of Control or after the 24-month period commencing on the effective date of a Change of Control, a pro rata number of PSUs shall vest on the Vesting Date equal to the product of the number of Earned PSUs, multiplied by a fraction, the numerator of which shall be equal to the number of completed days of continuous Service from the Grant Date through the Termination Date, and the denominator of which shall be equal to the total number of days contained in the period commencing on (and inclusive of) the Grant Date and ending on (and inclusive of) the Vesting Date. The vesting acceleration benefit provided under this Section 2.5(d) shall be subject to the Colleague’s compliance with the restrictive covenants legally applicable to the Colleague and other obligations contemplated under Section 3.1 hereof, as determined in the sole discretion of the Committee.</w:t>
      </w:r>
    </w:p>
    <w:p>
      <w:pPr>
        <w:spacing w:after="0" w:line="185"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Death/Disability</w:t>
      </w:r>
      <w:r>
        <w:rPr>
          <w:rFonts w:ascii="Times New Roman" w:cs="Times New Roman" w:eastAsia="Times New Roman" w:hAnsi="Times New Roman"/>
          <w:sz w:val="20"/>
          <w:szCs w:val="20"/>
          <w:color w:val="auto"/>
        </w:rPr>
        <w:t>. In the event of the Colleague’s termination of Service as a result of the Colleague’s Permanent Disability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death, a number of PSUs equal to the Earned PSUs shall vest as of the Vesting Date.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4" w:name="page115"/>
    <w:bookmarkEnd w:id="114"/>
    <w:p>
      <w:pPr>
        <w:jc w:val="both"/>
        <w:ind w:firstLine="757"/>
        <w:spacing w:after="0" w:line="256" w:lineRule="auto"/>
        <w:tabs>
          <w:tab w:leader="none" w:pos="101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Pursuant to Section 12 of the Plan, in the event the PSUs are not assumed or otherwise substituted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replaced by the successor corporation or an affiliate thereof in connection with a Change of Control, a number of PSUs equal to the Target Award shall vest immediately prior to the effective date of the Change of Control.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57"/>
        <w:spacing w:after="0" w:line="246" w:lineRule="auto"/>
        <w:tabs>
          <w:tab w:leader="none" w:pos="10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General Settlement Provisions</w:t>
      </w:r>
      <w:r>
        <w:rPr>
          <w:rFonts w:ascii="Times New Roman" w:cs="Times New Roman" w:eastAsia="Times New Roman" w:hAnsi="Times New Roman"/>
          <w:sz w:val="20"/>
          <w:szCs w:val="20"/>
          <w:color w:val="auto"/>
        </w:rPr>
        <w:t>. Except as otherwise provided in Section 2.6(b) hereof, PSUs that become vested shall be settled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Shares (including, in the interest of clarity, Fractional Share Interests underlying the vested PSUs or that result from the withholding of less than a whole Share pursuant to Section 2.8) on the Vesting Date or, if earlier, upon an accelerated vesting event pursuant to Sections 2.5(c) or (f) hereof, or as soon as practicable, but not later than 31 days, thereafter. Notwithstanding the foregoing, a Fractional Share Interest may be paid in cash or rounded to the extent provided in Schedule A for the Colleague’s country or to the extent otherwise determined by the Committee in its sole discretion.</w:t>
      </w:r>
    </w:p>
    <w:p>
      <w:pPr>
        <w:spacing w:after="0" w:line="178"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Section 409A Settlement Timing Requirements</w:t>
      </w:r>
      <w:r>
        <w:rPr>
          <w:rFonts w:ascii="Times New Roman" w:cs="Times New Roman" w:eastAsia="Times New Roman" w:hAnsi="Times New Roman"/>
          <w:sz w:val="19"/>
          <w:szCs w:val="19"/>
          <w:color w:val="auto"/>
        </w:rPr>
        <w:t>. Notwithstanding the foregoing, if the PSUs are considered non-qualified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deferred compensation subject to Section 409A of the Code, as determined in the sole discretion of the Company, and the Colleague is a U.S. Taxpayer, PSUs that are no longer subject to a substantial risk of forfeiture, as determined in accordance with Section 409A of the Code, shall be settled, without regard to the vesting schedule set forth above, on the earliest to occur of (i) the Vesting Date, (ii) a “change in control event” within the meaning of U.S. Treas. Reg. § 1.409A-3(i)(5) (a “</w:t>
      </w:r>
      <w:r>
        <w:rPr>
          <w:rFonts w:ascii="Times New Roman" w:cs="Times New Roman" w:eastAsia="Times New Roman" w:hAnsi="Times New Roman"/>
          <w:sz w:val="19"/>
          <w:szCs w:val="19"/>
          <w:u w:val="single" w:color="auto"/>
          <w:color w:val="auto"/>
        </w:rPr>
        <w:t>409A CIC Event</w:t>
      </w:r>
      <w:r>
        <w:rPr>
          <w:rFonts w:ascii="Times New Roman" w:cs="Times New Roman" w:eastAsia="Times New Roman" w:hAnsi="Times New Roman"/>
          <w:sz w:val="19"/>
          <w:szCs w:val="19"/>
          <w:color w:val="auto"/>
        </w:rPr>
        <w:t>”), and (iii) a “separation from service” within the meaning of Section 409A of the Code (a “</w:t>
      </w:r>
      <w:r>
        <w:rPr>
          <w:rFonts w:ascii="Times New Roman" w:cs="Times New Roman" w:eastAsia="Times New Roman" w:hAnsi="Times New Roman"/>
          <w:sz w:val="19"/>
          <w:szCs w:val="19"/>
          <w:u w:val="single" w:color="auto"/>
          <w:color w:val="auto"/>
        </w:rPr>
        <w:t>Separation from Service</w:t>
      </w:r>
      <w:r>
        <w:rPr>
          <w:rFonts w:ascii="Times New Roman" w:cs="Times New Roman" w:eastAsia="Times New Roman" w:hAnsi="Times New Roman"/>
          <w:sz w:val="19"/>
          <w:szCs w:val="19"/>
          <w:color w:val="auto"/>
        </w:rPr>
        <w:t>”) that occurs following a 409A CIC Event, provided that if the Colleague is a “specified employee” within the meaning of Section 409A of the Code on the date the Colleague experiences a Separation from Service, then the PSUs shall instead be settled on the first business day of the seventh month following the Colleague’s Separation from Service, to the extent such delayed payment is required in order to avoid a prohibited distribution under Section 409A of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Rights as Shareholder</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757"/>
        <w:spacing w:after="0" w:line="256" w:lineRule="auto"/>
        <w:tabs>
          <w:tab w:leader="none" w:pos="101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Whole Shares</w:t>
      </w:r>
      <w:r>
        <w:rPr>
          <w:rFonts w:ascii="Times New Roman" w:cs="Times New Roman" w:eastAsia="Times New Roman" w:hAnsi="Times New Roman"/>
          <w:sz w:val="20"/>
          <w:szCs w:val="20"/>
          <w:color w:val="auto"/>
        </w:rPr>
        <w:t>. The Colleague shall not be, nor have any of the rights or privileges of, a shareholder of the Company in respect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Shares that may be received upon the settlement of the PSUs unless and until certificates representing such Shares or their electronic equivalent shall have been issued by the Company to the Colleague.</w:t>
      </w:r>
    </w:p>
    <w:p>
      <w:pPr>
        <w:spacing w:after="0" w:line="168"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Fractional Share Interest</w:t>
      </w:r>
      <w:r>
        <w:rPr>
          <w:rFonts w:ascii="Times New Roman" w:cs="Times New Roman" w:eastAsia="Times New Roman" w:hAnsi="Times New Roman"/>
          <w:sz w:val="20"/>
          <w:szCs w:val="20"/>
          <w:color w:val="auto"/>
        </w:rPr>
        <w:t>s. In the event a Fractional Share Interest is issued, the Colleague shall have with respect to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Fractional Share Interest the right to receive dividends payable with respect to a Share that are proportionate to the interest the Fractional Share Interest bears to a whole Share, but the Colleague shall otherwise not be, nor have any of the other rights or privileges of, a shareholder of the Company, including the right to vote, in respect of any Fractional Share Interests held by the Colleague until the Fractional Share Interests issued to a Colleague aggregate to a whole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and/or any dividend equivalents; and (2) do not commit to and are under no obligation to structure the terms of the grant or any aspect of the PSUs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Prior to any relevant taxable or tax withholding event, as applicable, the Colleague agrees to make adequate arrangements satisfactory to the Company and/or the Employer to satisfy all Tax-Related Items.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5" w:name="page116"/>
    <w:bookmarkEnd w:id="115"/>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In this regard, the Colleague authorizes the Company and/or the Employer, or their respective agents, in their discretion, to satisfy the obligations with regard to all Tax-Related Items by withholding in Shares (including less than a whole Share) to be issued upon settlement of the PSUs,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PSUs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PSUs, the Colleague authorizes the Company and/or the Employer, or their respective agents, to (i) withhold from the Colleague’s wages or other cash amounts payable to the Colleague from the Company or the Employer, (ii) sell on the Colleague’s behalf a number of Shares (including less than a whole Share)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PSUs, notwithstanding that a number of Shares are held back solely for the purpose of paying the Tax-Related Items.</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 The Shares underlying the Earned PSUs to be issued hereunder shall be previously authorized but unissued Shares. Such Shares shall be fully paid. The Company shall not be required to issue Shares allotted upon the applicable date of the settlement of the PSUs prior to fulfillment of all of the following conditions: (a) the obtaining of approval or other clearance from any state, federal, local or foreign governmental agency which the Committee shall, in its absolute discretion, determine to be necessary or advisable; and (b) the Colleague has paid or made arrangements to pay the Tax-Related Items pursuant to Section 2.8 hereof. Without limiting the generality of the foregoing, the Committee may require an opinion of counsel reasonably acceptable to it to the effect that any subsequent transfer of Shares acquired on the settlement of PSUs does not violate the Exchange Act and may issue stop-transfer orders covering such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ADDITIONAL TERMS AND CONDITIONS APPLICABLE TO PSUs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Restrictive Covenants and Other Obligations</w:t>
      </w:r>
      <w:r>
        <w:rPr>
          <w:rFonts w:ascii="Times New Roman" w:cs="Times New Roman" w:eastAsia="Times New Roman" w:hAnsi="Times New Roman"/>
          <w:sz w:val="20"/>
          <w:szCs w:val="20"/>
          <w:color w:val="auto"/>
        </w:rPr>
        <w:t>. In consideration of the grant of PSUs, the Colleague shall agree to the restrictive covenants and other obligations contained in the RCA. In the event the Colleague fails to execute and deliver or electronically accept the RCA in the manner and within the period specified in the Grant Notice, the Committee may, in its sole discretion, cancel the PSUs.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Continued Vesting Requirements Applicable to Qualifying Retirees</w:t>
      </w:r>
      <w:r>
        <w:rPr>
          <w:rFonts w:ascii="Times New Roman" w:cs="Times New Roman" w:eastAsia="Times New Roman" w:hAnsi="Times New Roman"/>
          <w:sz w:val="20"/>
          <w:szCs w:val="20"/>
          <w:color w:val="auto"/>
        </w:rPr>
        <w:t>. For any Colleague whose termination of Service with the Company constitutes a Qualifying Retirement (“</w:t>
      </w:r>
      <w:r>
        <w:rPr>
          <w:rFonts w:ascii="Times New Roman" w:cs="Times New Roman" w:eastAsia="Times New Roman" w:hAnsi="Times New Roman"/>
          <w:sz w:val="20"/>
          <w:szCs w:val="20"/>
          <w:u w:val="single" w:color="auto"/>
          <w:color w:val="auto"/>
        </w:rPr>
        <w:t>Qualifying Retiree</w:t>
      </w:r>
      <w:r>
        <w:rPr>
          <w:rFonts w:ascii="Times New Roman" w:cs="Times New Roman" w:eastAsia="Times New Roman" w:hAnsi="Times New Roman"/>
          <w:sz w:val="20"/>
          <w:szCs w:val="20"/>
          <w:color w:val="auto"/>
        </w:rPr>
        <w:t>”), in order for the Qualifying Retiree to continue to vest in the PSUs in accordance with the provisions of Section 2.5(b) hereof, the Qualifying Retiree shall furnish to the Company on an annual basis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Vesting Date; and (ii) a statement confirming that the Qualifying Retiree has not disclosed or used any Confidential Information as prohibited by the RCA (together with the statement described in Section 3.2(i), the “</w:t>
      </w:r>
      <w:r>
        <w:rPr>
          <w:rFonts w:ascii="Times New Roman" w:cs="Times New Roman" w:eastAsia="Times New Roman" w:hAnsi="Times New Roman"/>
          <w:sz w:val="20"/>
          <w:szCs w:val="20"/>
          <w:u w:val="single" w:color="auto"/>
          <w:color w:val="auto"/>
        </w:rPr>
        <w:t>Retirement Disclosure</w:t>
      </w:r>
      <w:r>
        <w:rPr>
          <w:rFonts w:ascii="Times New Roman" w:cs="Times New Roman" w:eastAsia="Times New Roman" w:hAnsi="Times New Roman"/>
          <w:sz w:val="20"/>
          <w:szCs w:val="20"/>
          <w:color w:val="auto"/>
        </w:rPr>
        <w:t>”). In the event that a Qualifying Retiree does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6" w:name="page117"/>
    <w:bookmarkEnd w:id="116"/>
    <w:p>
      <w:pPr>
        <w:jc w:val="both"/>
        <w:spacing w:after="0" w:line="241" w:lineRule="auto"/>
        <w:rPr>
          <w:sz w:val="20"/>
          <w:szCs w:val="20"/>
          <w:color w:val="auto"/>
        </w:rPr>
      </w:pPr>
      <w:r>
        <w:rPr>
          <w:rFonts w:ascii="Times New Roman" w:cs="Times New Roman" w:eastAsia="Times New Roman" w:hAnsi="Times New Roman"/>
          <w:sz w:val="20"/>
          <w:szCs w:val="20"/>
          <w:color w:val="auto"/>
        </w:rPr>
        <w:t>not make the required Retirement Disclosure, or the Company’s Chief Executive Officer, Chief Human Resources Officer, and General Counsel (jointly), or the Committee Chair, in the case of the current or any former Chief Executive Officer of the Company (the “</w:t>
      </w:r>
      <w:r>
        <w:rPr>
          <w:rFonts w:ascii="Times New Roman" w:cs="Times New Roman" w:eastAsia="Times New Roman" w:hAnsi="Times New Roman"/>
          <w:sz w:val="20"/>
          <w:szCs w:val="20"/>
          <w:u w:val="single" w:color="auto"/>
          <w:color w:val="auto"/>
        </w:rPr>
        <w:t>Retirement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Compliance Officers</w:t>
      </w:r>
      <w:r>
        <w:rPr>
          <w:rFonts w:ascii="Times New Roman" w:cs="Times New Roman" w:eastAsia="Times New Roman" w:hAnsi="Times New Roman"/>
          <w:sz w:val="20"/>
          <w:szCs w:val="20"/>
          <w:color w:val="auto"/>
        </w:rPr>
        <w:t>”)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w:t>
      </w:r>
      <w:r>
        <w:rPr>
          <w:rFonts w:ascii="Times New Roman" w:cs="Times New Roman" w:eastAsia="Times New Roman" w:hAnsi="Times New Roman"/>
          <w:sz w:val="20"/>
          <w:szCs w:val="20"/>
          <w:u w:val="single" w:color="auto"/>
          <w:color w:val="auto"/>
        </w:rPr>
        <w:t>Retirement Noncompliance Event</w:t>
      </w:r>
      <w:r>
        <w:rPr>
          <w:rFonts w:ascii="Times New Roman" w:cs="Times New Roman" w:eastAsia="Times New Roman" w:hAnsi="Times New Roman"/>
          <w:sz w:val="20"/>
          <w:szCs w:val="20"/>
          <w:color w:val="auto"/>
        </w:rPr>
        <w:t>”), the Retirement Compliance Officers may determine, in their sole and absolute discretion in accordance with applicable law in those states or jurisdictions where such a provision is lawful, that all vesting under Section 2.5(b)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PSUs in accordance with the provisions of Section 2.5(b).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Clawback / Repayment</w:t>
      </w:r>
      <w:r>
        <w:rPr>
          <w:rFonts w:ascii="Times New Roman" w:cs="Times New Roman" w:eastAsia="Times New Roman" w:hAnsi="Times New Roman"/>
          <w:sz w:val="20"/>
          <w:szCs w:val="20"/>
          <w:color w:val="auto"/>
        </w:rPr>
        <w:t>. The PSUs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PSU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PSU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PSUs to re-convey, transfer, surrender or otherwise return such Shares and/or other amounts to the Company upon the Company’s enforcement of this Section 3.3.</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Confidentiality Obligation</w:t>
      </w:r>
      <w:r>
        <w:rPr>
          <w:rFonts w:ascii="Times New Roman" w:cs="Times New Roman" w:eastAsia="Times New Roman" w:hAnsi="Times New Roman"/>
          <w:sz w:val="20"/>
          <w:szCs w:val="20"/>
          <w:color w:val="auto"/>
        </w:rPr>
        <w:t>. The Colleague understands and agrees that the terms under which the PSUs shall be determined to constitute Earned PSUs (as described in Section 2.4 hereof and in Schedule B) are confidential and the Colleague agrees not to disclose, reproduce or distribute such confidential information concerning the Company, except as required in the course of the Colleague’s employment with the Employer, without the prior written consent of the Company. The Colleague’s failure to abide by this condition may result in the immediate cancellation of the PSUs.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OTHER TERMS</w:t>
      </w:r>
    </w:p>
    <w:p>
      <w:pPr>
        <w:spacing w:after="0"/>
        <w:rPr>
          <w:sz w:val="20"/>
          <w:szCs w:val="20"/>
          <w:color w:val="auto"/>
        </w:rPr>
      </w:pP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Nature of PSU Award</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accepting the PSUs, the Colleague acknowledges, understands and agrees to the following:</w:t>
      </w:r>
    </w:p>
    <w:p>
      <w:pPr>
        <w:spacing w:after="0" w:line="212" w:lineRule="exact"/>
        <w:rPr>
          <w:sz w:val="20"/>
          <w:szCs w:val="20"/>
          <w:color w:val="auto"/>
        </w:rPr>
      </w:pPr>
    </w:p>
    <w:p>
      <w:pPr>
        <w:ind w:right="20" w:firstLine="757"/>
        <w:spacing w:after="0" w:line="273" w:lineRule="auto"/>
        <w:tabs>
          <w:tab w:leader="none" w:pos="101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Voluntary and Discretionary</w:t>
      </w:r>
      <w:r>
        <w:rPr>
          <w:rFonts w:ascii="Times New Roman" w:cs="Times New Roman" w:eastAsia="Times New Roman" w:hAnsi="Times New Roman"/>
          <w:sz w:val="20"/>
          <w:szCs w:val="20"/>
          <w:color w:val="auto"/>
        </w:rPr>
        <w:t>. The Plan is established voluntarily by the Company, is discretionary in nature and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amended, suspended or terminated by the Company at any time, to the extent permitted by the Plan.</w:t>
      </w:r>
    </w:p>
    <w:p>
      <w:pPr>
        <w:spacing w:after="0" w:line="151"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Administration of the Plan and Payment Obligations</w:t>
      </w:r>
      <w:r>
        <w:rPr>
          <w:rFonts w:ascii="Times New Roman" w:cs="Times New Roman" w:eastAsia="Times New Roman" w:hAnsi="Times New Roman"/>
          <w:sz w:val="20"/>
          <w:szCs w:val="20"/>
          <w:color w:val="auto"/>
        </w:rPr>
        <w:t>. The Plan is operated and the PSUs are granted solely by the Company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only the Company is a party to this Agreement. Accordingly, any rights the Colleague may have under this Agreement, including related to the issuance of Shares pursuant to the PSUs, may be raised only against the Company. No Subsidiary nor Designated Associate Company (including, but not limited to, the Employer) has any obligation to make any payment of any kind under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7" w:name="page118"/>
    <w:bookmarkEnd w:id="117"/>
    <w:p>
      <w:pPr>
        <w:jc w:val="both"/>
        <w:ind w:firstLine="757"/>
        <w:spacing w:after="0" w:line="256" w:lineRule="auto"/>
        <w:tabs>
          <w:tab w:leader="none" w:pos="101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Acquired Rights</w:t>
      </w:r>
      <w:r>
        <w:rPr>
          <w:rFonts w:ascii="Times New Roman" w:cs="Times New Roman" w:eastAsia="Times New Roman" w:hAnsi="Times New Roman"/>
          <w:sz w:val="20"/>
          <w:szCs w:val="20"/>
          <w:color w:val="auto"/>
        </w:rPr>
        <w:t>. The PSU award is exceptional, voluntary and occasional and does not create any contractual or other right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receive future PSU awards, or benefits in lieu of PSU awards, even if PSUs have been granted in the past. Further, all decisions with respect to future PSUs or other grants, if any, will be at the sole discretion of the Company.</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Participation</w:t>
      </w:r>
      <w:r>
        <w:rPr>
          <w:rFonts w:ascii="Times New Roman" w:cs="Times New Roman" w:eastAsia="Times New Roman" w:hAnsi="Times New Roman"/>
          <w:sz w:val="20"/>
          <w:szCs w:val="20"/>
          <w:color w:val="auto"/>
        </w:rPr>
        <w:t>. The Colleague’s participation in the Plan is voluntary.</w:t>
      </w:r>
    </w:p>
    <w:p>
      <w:pPr>
        <w:spacing w:after="0" w:line="215"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 Part of Salary</w:t>
      </w:r>
      <w:r>
        <w:rPr>
          <w:rFonts w:ascii="Times New Roman" w:cs="Times New Roman" w:eastAsia="Times New Roman" w:hAnsi="Times New Roman"/>
          <w:sz w:val="20"/>
          <w:szCs w:val="20"/>
          <w:color w:val="auto"/>
        </w:rPr>
        <w:t>. The PSUs and any Shares acquired under the Plan, and the income and the value of same, are (i) not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intended to replace any pension rights or compensation under any pension arrangement, and (ii)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75"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Services as a Director. </w:t>
      </w:r>
      <w:r>
        <w:rPr>
          <w:rFonts w:ascii="Times New Roman" w:cs="Times New Roman" w:eastAsia="Times New Roman" w:hAnsi="Times New Roman"/>
          <w:sz w:val="20"/>
          <w:szCs w:val="20"/>
          <w:color w:val="auto"/>
        </w:rPr>
        <w:t>Unless otherwise agreed with the Company, the PSUs and the Shares subject to the PSUs,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income and value of same, are not granted as consideration for, or in connection with, services the Colleague may provide as a director of any Subsidiary or affiliate.</w:t>
      </w:r>
    </w:p>
    <w:p>
      <w:pPr>
        <w:spacing w:after="0" w:line="16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Uncertain Value</w:t>
      </w:r>
      <w:r>
        <w:rPr>
          <w:rFonts w:ascii="Times New Roman" w:cs="Times New Roman" w:eastAsia="Times New Roman" w:hAnsi="Times New Roman"/>
          <w:sz w:val="19"/>
          <w:szCs w:val="19"/>
          <w:color w:val="auto"/>
        </w:rPr>
        <w:t>. The future value of the Shares underlying the PSUs is unknown, indeterminable, and cannot be predicted with</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certainty.</w:t>
      </w:r>
    </w:p>
    <w:p>
      <w:pPr>
        <w:spacing w:after="0" w:line="189" w:lineRule="exact"/>
        <w:rPr>
          <w:rFonts w:ascii="Times New Roman" w:cs="Times New Roman" w:eastAsia="Times New Roman" w:hAnsi="Times New Roman"/>
          <w:sz w:val="19"/>
          <w:szCs w:val="19"/>
          <w:color w:val="auto"/>
        </w:rPr>
      </w:pPr>
    </w:p>
    <w:p>
      <w:pPr>
        <w:jc w:val="both"/>
        <w:ind w:firstLine="757"/>
        <w:spacing w:after="0" w:line="245" w:lineRule="auto"/>
        <w:tabs>
          <w:tab w:leader="none" w:pos="101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Entitlements</w:t>
      </w:r>
      <w:r>
        <w:rPr>
          <w:rFonts w:ascii="Times New Roman" w:cs="Times New Roman" w:eastAsia="Times New Roman" w:hAnsi="Times New Roman"/>
          <w:sz w:val="20"/>
          <w:szCs w:val="20"/>
          <w:color w:val="auto"/>
        </w:rPr>
        <w:t>. No claim or entitlement to compensation or damages shall arise from forfeiture of the PSUs or the underlying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resulting from (i) the application of the clawback provisions of Section 3.3 hereof, or (ii) the Colleague’s termination of Service (for any reason whatsoever, whether or not later found to be invalid or in breach of employment laws in the jurisdiction where the Colleague is employed or the terms of their employment agreement, if any). Further, 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Change of Control or similar event affecting the Shares of the Company.</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 No Advice Regarding Grant. The Company, its Subsidiaries and Designated Associate Companies are not providing any tax, legal or financial advice, nor is the Company making any recommendations regarding the Colleague’s participation in the Plan, the issuance of Shares upon vesting of the PSUs or sale of the Shares. The Colleague should consult with their own personal tax, legal and financial advisors regarding their participation in the Plan before taking any action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-471170</wp:posOffset>
            </wp:positionV>
            <wp:extent cx="14770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477010" cy="8890"/>
                    </a:xfrm>
                    <a:prstGeom prst="rect">
                      <a:avLst/>
                    </a:prstGeom>
                    <a:noFill/>
                  </pic:spPr>
                </pic:pic>
              </a:graphicData>
            </a:graphic>
          </wp:anchor>
        </w:drawing>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Limitation on Obligations</w:t>
      </w:r>
      <w:r>
        <w:rPr>
          <w:rFonts w:ascii="Times New Roman" w:cs="Times New Roman" w:eastAsia="Times New Roman" w:hAnsi="Times New Roman"/>
          <w:sz w:val="20"/>
          <w:szCs w:val="20"/>
          <w:color w:val="auto"/>
        </w:rPr>
        <w:t>. The Company’s obligation with respect to the PSUs granted hereunder is limited solely to the issuance to the Colleague of Shares within the period when such Shares are due to be issued hereunder, and in no event shall the Company become obligated to pay cash in respect of such obligation. The PSUs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The Company is located at 51 Lime Street, London, EC3M 7DQ, England and Wales and grants employees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C to this Agreement.</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PSUs. In its absolute discretion, the Committee may at any time and from time to time exercise any and all rights and duties of the Committee under the Plan and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PSUs Not Transferable; Fractional Share Interests Not Transferable to other Broker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57"/>
        <w:spacing w:after="0" w:line="246" w:lineRule="auto"/>
        <w:tabs>
          <w:tab w:leader="none" w:pos="101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PSUs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Fractional Share Interest issued hereunder shall remain in the Colleague’s account at the Company’s broker until the disposition of the Fractional Share Interest and shall not become transferrable to another broker until any Fractional Share Interests issued to a Colleague aggregate to a whole Share.</w:t>
      </w:r>
    </w:p>
    <w:p>
      <w:pPr>
        <w:spacing w:after="0" w:line="17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The provisions of this Agreement shall be binding upon and accrue to the benefit of the parties hereto and their respective heirs, legal representatives, successors and assigns.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Employment or Service Rights</w:t>
      </w:r>
      <w:r>
        <w:rPr>
          <w:rFonts w:ascii="Times New Roman" w:cs="Times New Roman" w:eastAsia="Times New Roman" w:hAnsi="Times New Roman"/>
          <w:sz w:val="20"/>
          <w:szCs w:val="20"/>
          <w:color w:val="auto"/>
        </w:rPr>
        <w:t>. Subject to the terms of the RCA, the rights and obligations of the Colleague under the terms of their Service shall not be affected by their participation in the Plan or any right which they may have to participate in it. The PSUs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PSUs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General Counsel of the Company at the Company’s principal office, and any notice to be given to the Colleague shall be addressed to the Colleague at the Colleague’s last address reflected on the Company’s records. By a notice given pursuant to this Section 4.9,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comparable non-U.S. postal service.</w:t>
      </w:r>
    </w:p>
    <w:p>
      <w:pPr>
        <w:spacing w:after="0" w:line="18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Applicability of Plan</w:t>
      </w:r>
      <w:r>
        <w:rPr>
          <w:rFonts w:ascii="Times New Roman" w:cs="Times New Roman" w:eastAsia="Times New Roman" w:hAnsi="Times New Roman"/>
          <w:sz w:val="20"/>
          <w:szCs w:val="20"/>
          <w:color w:val="auto"/>
        </w:rPr>
        <w:t>. The PSUs and the Shares underlying the PSUs shall be subject to all of the terms and provisions of the Plan, to the extent applicable to the PSUs and the underlying Shares. In the event of any conflict between this Agreement and the Plan, the terms of the Plan shall control.</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construed in accordance with, the laws of Ireland without regard to its conflicts of law provisions; provided, however, that the RCA shall be governed by, and construed in accordance with, the laws specified in that agreement without regard to conflicts of law provisions.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4.14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Venue</w:t>
      </w:r>
      <w:r>
        <w:rPr>
          <w:rFonts w:ascii="Times New Roman" w:cs="Times New Roman" w:eastAsia="Times New Roman" w:hAnsi="Times New Roman"/>
          <w:sz w:val="20"/>
          <w:szCs w:val="20"/>
          <w:color w:val="auto"/>
        </w:rPr>
        <w:t>. 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19" w:name="page120"/>
    <w:bookmarkEnd w:id="119"/>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Choice of Language</w:t>
      </w:r>
      <w:r>
        <w:rPr>
          <w:rFonts w:ascii="Times New Roman" w:cs="Times New Roman" w:eastAsia="Times New Roman" w:hAnsi="Times New Roman"/>
          <w:sz w:val="20"/>
          <w:szCs w:val="20"/>
          <w:color w:val="auto"/>
        </w:rPr>
        <w:t>. 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4.17</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The PSUs shall be subject to any special provisions set forth in Schedule A for the Colleague’s country of residence, if any. If the Colleague relocates to one of the countries included in Schedule A prior to the vesting of the PSUs,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PSUs and the Shares acquired upon vesting of the PSUs, to the extent the Company determines it is necessary or advisable for legal or administrative reasons, and to require the Colleague to sign any additional agreements or undertakings that may be necessary to accomplish the foregoing.</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4.20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Insider Trading / Market Abuse Laws</w:t>
      </w:r>
      <w:r>
        <w:rPr>
          <w:rFonts w:ascii="Times New Roman" w:cs="Times New Roman" w:eastAsia="Times New Roman" w:hAnsi="Times New Roman"/>
          <w:sz w:val="20"/>
          <w:szCs w:val="20"/>
          <w:color w:val="auto"/>
        </w:rPr>
        <w:t>. 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including, for the avoidance of doubt, the Company’s Insider Trading Policy, as may be in effect from time to time.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4.21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Foreign Asset/Account Reporting Requirements and Exchange Controls</w:t>
      </w:r>
      <w:r>
        <w:rPr>
          <w:rFonts w:ascii="Times New Roman" w:cs="Times New Roman" w:eastAsia="Times New Roman" w:hAnsi="Times New Roman"/>
          <w:sz w:val="20"/>
          <w:szCs w:val="20"/>
          <w:color w:val="auto"/>
        </w:rPr>
        <w:t>. 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20" w:name="page121"/>
    <w:bookmarkEnd w:id="120"/>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4.22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Currency Exchange Risk</w:t>
      </w:r>
      <w:r>
        <w:rPr>
          <w:rFonts w:ascii="Times New Roman" w:cs="Times New Roman" w:eastAsia="Times New Roman" w:hAnsi="Times New Roman"/>
          <w:sz w:val="20"/>
          <w:szCs w:val="20"/>
          <w:color w:val="auto"/>
        </w:rPr>
        <w:t>. Neither the Company, the Employer nor any Subsidiary or Designated Associate Company shall be liable for any foreign exchange rate fluctuation between the Colleague’s local currency and the United States Dollar that may affect the value of the PSUs or of any amounts due to the Colleague pursuant to the settlement of the PSUs or the subsequent sale of any Shares acquired upon settlement.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4.23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4.24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deemed to be an original and all of which together shall constitute one and the same instrument.</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4.25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For purposes of United States taxpayers, it is intended that the terms of the PSUs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PSUs that are intended to be exempt from, or compliant with, Section 409A of the Code are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PSUs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APPENDIX TO RESTRICTED SHARE UNIT AWARD AGREEMENT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Share Units)</w:t>
      </w:r>
    </w:p>
    <w:p>
      <w:pPr>
        <w:spacing w:after="0" w:line="190" w:lineRule="exact"/>
        <w:rPr>
          <w:sz w:val="20"/>
          <w:szCs w:val="20"/>
          <w:color w:val="auto"/>
        </w:rPr>
      </w:pPr>
    </w:p>
    <w:p>
      <w:pPr>
        <w:ind w:left="2620" w:right="2620" w:firstLine="286"/>
        <w:spacing w:after="0" w:line="300" w:lineRule="auto"/>
        <w:rPr>
          <w:sz w:val="20"/>
          <w:szCs w:val="20"/>
          <w:color w:val="auto"/>
        </w:rPr>
      </w:pPr>
      <w:r>
        <w:rPr>
          <w:rFonts w:ascii="Times New Roman" w:cs="Times New Roman" w:eastAsia="Times New Roman" w:hAnsi="Times New Roman"/>
          <w:sz w:val="19"/>
          <w:szCs w:val="19"/>
          <w:b w:val="1"/>
          <w:bCs w:val="1"/>
          <w:color w:val="auto"/>
        </w:rPr>
        <w:t>WILLIS TOWERS WATSON PUBLIC LIMITED COMPANY 2012 EQUITY INCENTIVE PLAN, AS AMENDED AND RESTATED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Agreement or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Schedule A includes additional terms and conditions that govern the PSUs granted to the Colleague under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applicable Performance-Based Restricted Share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if the Colleague resides in one of the countries listed below. This Schedule A forms part of the Agreement. Capitalized terms used but not defined herein shall have the meanings ascribed to them in the Agreement or the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Section 1.20 and Section 2.5(b) of the Agreement, if the Company receives a legal opinion that there has been a legal judgment and/or legal development in the Colleague’s jurisdiction that likely would result in the favorable treatment that applies to the PSUs as a result of the Colleague’s retirement or reaching a certain age being unlawful and/or discriminatory, the favorable treatment contemplated under Section 1.20 and Section 2.5(b) shall not apply and Section 2.5 shall apply to the Colleague without giving effect to Section 2.5(b).</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Schedule A also includes information based on the securities, exchange control and other laws in effect in the Colleague’s country as of March 2026.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PSUs vest under the Plan.</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addition, the information is general in nature. The Company is not providing the Colleague with any tax advice with respect to the PSUs.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20"/>
          <w:szCs w:val="20"/>
          <w:i w:val="1"/>
          <w:iCs w:val="1"/>
          <w:color w:val="auto"/>
        </w:rPr>
        <w:t>Accordingly, the Colleague should seek appropriate professional advice as to how the tax or other laws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Colleague’s country apply to the Colleague’s situation.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This provision supplements Section 2.6(a) of the Agreement:</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PSUs do not provide any right for the Colleague to receive a cash payment and the PSUs will be settled in Shares only.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Director Reporting Obligation</w:t>
      </w:r>
      <w:r>
        <w:rPr>
          <w:rFonts w:ascii="Times New Roman" w:cs="Times New Roman" w:eastAsia="Times New Roman" w:hAnsi="Times New Roman"/>
          <w:sz w:val="20"/>
          <w:szCs w:val="20"/>
          <w:color w:val="auto"/>
        </w:rPr>
        <w:t>. If the Colleague is a director, shadow director (described below)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PSU Payment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This provision supplements Section 2.6(a) of the Agreement:</w:t>
      </w:r>
    </w:p>
    <w:p>
      <w:pPr>
        <w:spacing w:after="0" w:line="21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PSUs do not provide any right for the Colleague to receive a cash payment and the PSUs will be settled in Shares only.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following provisions supplement Section 2.8 of the Agreement: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Without limitation to Section 2.8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2.8 of the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 OF AMERICA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Under the Foreign Account Tax Compliance Act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United States taxpayers who hold Shares or rights to acquire Shares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PSUs) may be required to report certain information related to their holdings to the extent the aggregate value of the PSUs/Shares exceeds certain thresholds (depending on the Colleague’s filing status) with the Colleague’s annual tax return. The Colleague should consult with their personal tax or legal advisor regarding any FATCA reporting requirements with respect to the PSUs or any Shares acquired under the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OBJECTIVES FOR 2026-2028 LTIP PSUs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same meanings assigned to them in the Plan and the Award Agreement. In addition, the following terms used in this Schedule B shall have the meanings set forth below:</w:t>
      </w:r>
    </w:p>
    <w:p>
      <w:pPr>
        <w:spacing w:after="0" w:line="15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Ending Share Value</w:t>
      </w:r>
      <w:r>
        <w:rPr>
          <w:rFonts w:ascii="Times New Roman" w:cs="Times New Roman" w:eastAsia="Times New Roman" w:hAnsi="Times New Roman"/>
          <w:sz w:val="20"/>
          <w:szCs w:val="20"/>
          <w:color w:val="auto"/>
        </w:rPr>
        <w:t>” means the product of (a) the Ending Share Price, multiplied by (b) the sum of one Ordinary Share, or the shares of the Peer Group, as applicable, plus the number of whole and fractional Ordinary Shares, or the shares of the Peer Group, as applicable, calculated based on deemed reinvestment of dividends in Ordinary Shares, or the shares of the Peer Group, as applicable, on the ex-dividend date.</w:t>
      </w:r>
    </w:p>
    <w:p>
      <w:pPr>
        <w:spacing w:after="0" w:line="17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Net Revenue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or “ANR”</w:t>
      </w:r>
      <w:r>
        <w:rPr>
          <w:rFonts w:ascii="Times New Roman" w:cs="Times New Roman" w:eastAsia="Times New Roman" w:hAnsi="Times New Roman"/>
          <w:sz w:val="20"/>
          <w:szCs w:val="20"/>
          <w:color w:val="auto"/>
        </w:rPr>
        <w:t xml:space="preserve"> means total “Revenue” generated by the Company during each of the fiscal years comprising the Performance Period determined based on the methodology applied by the Company in its Form 10-K for the last fiscal year of the Performance Period. Adjusted Net Revenue will be determined on a “Constant Currency” basis, which will reflect prevailing exchange rates during the Performance Period, and on an organic basis to reflect the impact of acquisitions and divestitures.</w:t>
      </w:r>
    </w:p>
    <w:p>
      <w:pPr>
        <w:spacing w:after="0" w:line="17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Net Revenue Growth” or “ANR Growth</w:t>
      </w:r>
      <w:r>
        <w:rPr>
          <w:rFonts w:ascii="Times New Roman" w:cs="Times New Roman" w:eastAsia="Times New Roman" w:hAnsi="Times New Roman"/>
          <w:sz w:val="20"/>
          <w:szCs w:val="20"/>
          <w:color w:val="auto"/>
        </w:rPr>
        <w:t>” means the average of the Company’s annual organic growth in Adjusted Net Revenue during the Performance Period (commencing on the first date of the Performance Period to the last date of the Performance Period) as reflected in the organic growth figures determined based on the methodology applied by the Company in its Form 10-K for the last fiscal year comprising the Performance Period. This will be determined on a “Constant Currency” basis which represents the year over year change in the Company’s revenue growth excluding the impact of foreign currency fluctuations; and on an organic basis to exclude the impact of acquisitions and divestitures.</w:t>
      </w:r>
    </w:p>
    <w:p>
      <w:pPr>
        <w:spacing w:after="0" w:line="179"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Operating Margin (or AOM)</w:t>
      </w:r>
      <w:r>
        <w:rPr>
          <w:rFonts w:ascii="Times New Roman" w:cs="Times New Roman" w:eastAsia="Times New Roman" w:hAnsi="Times New Roman"/>
          <w:sz w:val="20"/>
          <w:szCs w:val="20"/>
          <w:color w:val="auto"/>
        </w:rPr>
        <w:t>” means “Income from operations” generated by the Company during the Performance Period determined based on the methodology applied by the Company in its Form 10-K for the last fiscal year of the Performance Period and adjusted for the items defined in the Form 10-K for the Performance Period, divided by Adjusted Net Revenue.</w:t>
      </w:r>
    </w:p>
    <w:p>
      <w:pPr>
        <w:spacing w:after="0" w:line="16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Operating Margin Improvement” or “AOM Improvement</w:t>
      </w:r>
      <w:r>
        <w:rPr>
          <w:rFonts w:ascii="Times New Roman" w:cs="Times New Roman" w:eastAsia="Times New Roman" w:hAnsi="Times New Roman"/>
          <w:sz w:val="20"/>
          <w:szCs w:val="20"/>
          <w:color w:val="auto"/>
        </w:rPr>
        <w:t>” means the average of the basis point increases for the AOM for each year from 2026 through the end of the Performance Period. Total AOM Improvement targets and results will be modified for acquisitions and divestitures closed during the Performance Period.</w:t>
      </w:r>
    </w:p>
    <w:p>
      <w:pPr>
        <w:spacing w:after="0" w:line="16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Annualized Total Shareholder Return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u w:val="single" w:color="auto"/>
          <w:color w:val="auto"/>
        </w:rPr>
        <w:t>TSR</w:t>
      </w:r>
      <w:r>
        <w:rPr>
          <w:rFonts w:ascii="Times New Roman" w:cs="Times New Roman" w:eastAsia="Times New Roman" w:hAnsi="Times New Roman"/>
          <w:sz w:val="20"/>
          <w:szCs w:val="20"/>
          <w:color w:val="auto"/>
        </w:rPr>
        <w:t>” means (A) the quotient of (i) the Adjusted Ending Share Value minus the Beginning Share Price, divided by (ii) the Beginning Share Price, divided by (B) 3. Annualized Total Shareholder Return expressed as a formula shall be as follows: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Annualized Total Shareholder Return </w:t>
      </w:r>
      <w:r>
        <w:rPr>
          <w:rFonts w:ascii="Times New Roman" w:cs="Times New Roman" w:eastAsia="Times New Roman" w:hAnsi="Times New Roman"/>
          <w:sz w:val="20"/>
          <w:szCs w:val="20"/>
          <w:color w:val="auto"/>
        </w:rPr>
        <w:t>= (</w:t>
      </w:r>
      <w:r>
        <w:rPr>
          <w:sz w:val="1"/>
          <w:szCs w:val="1"/>
          <w:color w:val="auto"/>
        </w:rPr>
        <w:drawing>
          <wp:inline distT="0" distB="0" distL="0" distR="0">
            <wp:extent cx="2546350" cy="24003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46350" cy="24003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 (1/3)</w:t>
      </w:r>
    </w:p>
    <w:p>
      <w:pPr>
        <w:spacing w:after="0" w:line="20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Beginning Share Price</w:t>
      </w:r>
      <w:r>
        <w:rPr>
          <w:rFonts w:ascii="Times New Roman" w:cs="Times New Roman" w:eastAsia="Times New Roman" w:hAnsi="Times New Roman"/>
          <w:sz w:val="20"/>
          <w:szCs w:val="20"/>
          <w:color w:val="auto"/>
        </w:rPr>
        <w:t>” means the average closing price of Ordinary Shares or the shares of the Peer Group, as applicable, for the 30 trading days (or such fewer number of trading days during which shares of the Peer Group were trading during the 30 trading-day period) ending on the first trading date of the Performance Period.</w:t>
      </w:r>
    </w:p>
    <w:p>
      <w:pPr>
        <w:spacing w:after="0" w:line="1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“Ending Share Price” </w:t>
      </w:r>
      <w:r>
        <w:rPr>
          <w:rFonts w:ascii="Times New Roman" w:cs="Times New Roman" w:eastAsia="Times New Roman" w:hAnsi="Times New Roman"/>
          <w:sz w:val="20"/>
          <w:szCs w:val="20"/>
          <w:color w:val="auto"/>
        </w:rPr>
        <w:t>means the average closing price of Ordinary Shares or shares of Peer Group, as applicable, for last 30 trading days 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and including last day of Performance Period.</w:t>
      </w:r>
    </w:p>
    <w:p>
      <w:pPr>
        <w:spacing w:after="0" w:line="1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Peer Group</w:t>
      </w:r>
      <w:r>
        <w:rPr>
          <w:rFonts w:ascii="Times New Roman" w:cs="Times New Roman" w:eastAsia="Times New Roman" w:hAnsi="Times New Roman"/>
          <w:sz w:val="20"/>
          <w:szCs w:val="20"/>
          <w:color w:val="auto"/>
        </w:rPr>
        <w:t>” means the companies comprising the S&amp;P 500 on the last day of the Performance Period and whose shares were actively trading during the entire Performance Period (and, in the interest of clarity, without regard to whether the shares of the Peer Group company were traded during the entire 30 trading-day period used to determine the Beginning Share Price).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means January 1, 2026 – December 31, 2028.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5" w:name="page126"/>
    <w:bookmarkEnd w:id="125"/>
    <w:p>
      <w:pPr>
        <w:ind w:right="2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TSR Modifier</w:t>
      </w:r>
      <w:r>
        <w:rPr>
          <w:rFonts w:ascii="Times New Roman" w:cs="Times New Roman" w:eastAsia="Times New Roman" w:hAnsi="Times New Roman"/>
          <w:sz w:val="20"/>
          <w:szCs w:val="20"/>
          <w:color w:val="auto"/>
        </w:rPr>
        <w:t>” means the percentage by which the combined attainment level of the AOM Improvement and ANR Growth goals will be modified based on the TSR Relative Performance Percentile.</w:t>
      </w:r>
    </w:p>
    <w:p>
      <w:pPr>
        <w:spacing w:after="0" w:line="152"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TSR Relative Performance Percentile</w:t>
      </w:r>
      <w:r>
        <w:rPr>
          <w:rFonts w:ascii="Times New Roman" w:cs="Times New Roman" w:eastAsia="Times New Roman" w:hAnsi="Times New Roman"/>
          <w:sz w:val="20"/>
          <w:szCs w:val="20"/>
          <w:color w:val="auto"/>
        </w:rPr>
        <w:t>” means the percentile rank of the Company’s TSR relative to the TSR of the Company’s Peer Group for the Performance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Determination of Earned PSUs</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number of Earned PSUs eligible to vest shall be determined based on the attainment level of the Company’s Adjusted Operating Margin Improvement and Adjusted Net Revenue Growth, as modified by the TSR Modifier, in each case, as measured over the Performance Period, as determined on the Earned Date in accordance with the formula and performance attainment payout levels set forth below, with performance that is attained between the specified performance attainment levels calculated based on linear interpolation.</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performance goals and /or the determination of the attainment level may be adjusted, in the sole discretion of the Committee, to eliminate the effect of any acquisition, divestiture, corporate reorganization, restructuring, spin-off or similar corporate transaction completed during the Performance Period. Further, if the methodology used to report the performance metrics underlying the performance goals (</w:t>
      </w:r>
      <w:r>
        <w:rPr>
          <w:rFonts w:ascii="Times New Roman" w:cs="Times New Roman" w:eastAsia="Times New Roman" w:hAnsi="Times New Roman"/>
          <w:sz w:val="20"/>
          <w:szCs w:val="20"/>
          <w:b w:val="1"/>
          <w:bCs w:val="1"/>
          <w:i w:val="1"/>
          <w:iCs w:val="1"/>
          <w:color w:val="auto"/>
        </w:rPr>
        <w:t>e.g.</w:t>
      </w:r>
      <w:r>
        <w:rPr>
          <w:rFonts w:ascii="Times New Roman" w:cs="Times New Roman" w:eastAsia="Times New Roman" w:hAnsi="Times New Roman"/>
          <w:sz w:val="20"/>
          <w:szCs w:val="20"/>
          <w:color w:val="auto"/>
        </w:rPr>
        <w:t>, “Revenue,” organic growth figures, “Income from operations”) in the Form 10-K for the last fiscal year of the Performance Period changes in any respect from the methodology that was used as of the date that the performance goals were established and approved, the performance goals and/or the determination of the attainment level of the performance goals may be adjusted, in the sole discretion of the Committee, to reflect what the Committee determines the performance goals and/or attainment level would have been had the revised reporting methodology been in effect at the time the performance goals were established.</w:t>
      </w:r>
    </w:p>
    <w:p>
      <w:pPr>
        <w:spacing w:after="0" w:line="18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In no case may the number of PSUs eligible to vest exceed 200% of the sum of the Target Award and any Dividend Equivalent Units that accrued with respect to the Target Award as of the Vesting Date.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Earned PSUs shall equal:</w:t>
      </w:r>
    </w:p>
    <w:p>
      <w:pPr>
        <w:spacing w:after="0" w:line="212" w:lineRule="exact"/>
        <w:rPr>
          <w:sz w:val="20"/>
          <w:szCs w:val="20"/>
          <w:color w:val="auto"/>
        </w:rPr>
      </w:pPr>
    </w:p>
    <w:p>
      <w:pPr>
        <w:ind w:left="120" w:hanging="112"/>
        <w:spacing w:after="0"/>
        <w:tabs>
          <w:tab w:leader="none" w:pos="12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(B) ] </w:t>
      </w:r>
      <w:r>
        <w:rPr>
          <w:rFonts w:ascii="Times New Roman" w:cs="Times New Roman" w:eastAsia="Times New Roman" w:hAnsi="Times New Roman"/>
          <w:sz w:val="20"/>
          <w:szCs w:val="20"/>
          <w:color w:val="auto"/>
        </w:rPr>
        <w:t>x</w:t>
      </w: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auto"/>
        </w:rPr>
        <w:t>1 +</w:t>
      </w:r>
      <w:r>
        <w:rPr>
          <w:rFonts w:ascii="Times New Roman" w:cs="Times New Roman" w:eastAsia="Times New Roman" w:hAnsi="Times New Roman"/>
          <w:sz w:val="20"/>
          <w:szCs w:val="20"/>
          <w:b w:val="1"/>
          <w:bCs w:val="1"/>
          <w:color w:val="auto"/>
        </w:rPr>
        <w:t xml:space="preserve"> (C)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where</w:t>
      </w:r>
    </w:p>
    <w:p>
      <w:pPr>
        <w:spacing w:after="0" w:line="215" w:lineRule="exact"/>
        <w:rPr>
          <w:rFonts w:ascii="Times New Roman" w:cs="Times New Roman" w:eastAsia="Times New Roman" w:hAnsi="Times New Roman"/>
          <w:sz w:val="20"/>
          <w:szCs w:val="20"/>
          <w:b w:val="1"/>
          <w:bCs w:val="1"/>
          <w:color w:val="auto"/>
        </w:rPr>
      </w:pPr>
    </w:p>
    <w:p>
      <w:pPr>
        <w:ind w:left="700" w:hanging="318"/>
        <w:spacing w:after="0"/>
        <w:tabs>
          <w:tab w:leader="none" w:pos="700" w:val="left"/>
        </w:tabs>
        <w:numPr>
          <w:ilvl w:val="1"/>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The Target Award, </w:t>
      </w:r>
      <w:r>
        <w:rPr>
          <w:rFonts w:ascii="Times New Roman" w:cs="Times New Roman" w:eastAsia="Times New Roman" w:hAnsi="Times New Roman"/>
          <w:sz w:val="20"/>
          <w:szCs w:val="20"/>
          <w:b w:val="1"/>
          <w:bCs w:val="1"/>
          <w:i w:val="1"/>
          <w:iCs w:val="1"/>
          <w:u w:val="single" w:color="auto"/>
          <w:color w:val="auto"/>
        </w:rPr>
        <w:t>multiplied</w:t>
      </w:r>
      <w:r>
        <w:rPr>
          <w:rFonts w:ascii="Times New Roman" w:cs="Times New Roman" w:eastAsia="Times New Roman" w:hAnsi="Times New Roman"/>
          <w:sz w:val="20"/>
          <w:szCs w:val="20"/>
          <w:color w:val="auto"/>
        </w:rPr>
        <w:t xml:space="preserve"> by 50%, </w:t>
      </w:r>
      <w:r>
        <w:rPr>
          <w:rFonts w:ascii="Times New Roman" w:cs="Times New Roman" w:eastAsia="Times New Roman" w:hAnsi="Times New Roman"/>
          <w:sz w:val="20"/>
          <w:szCs w:val="20"/>
          <w:b w:val="1"/>
          <w:bCs w:val="1"/>
          <w:i w:val="1"/>
          <w:iCs w:val="1"/>
          <w:u w:val="single" w:color="auto"/>
          <w:color w:val="auto"/>
        </w:rPr>
        <w:t>multiplied</w:t>
      </w:r>
      <w:r>
        <w:rPr>
          <w:rFonts w:ascii="Times New Roman" w:cs="Times New Roman" w:eastAsia="Times New Roman" w:hAnsi="Times New Roman"/>
          <w:sz w:val="20"/>
          <w:szCs w:val="20"/>
          <w:color w:val="auto"/>
        </w:rPr>
        <w:t xml:space="preserve"> by the AOM Improvement Payout Percentage</w:t>
      </w:r>
    </w:p>
    <w:p>
      <w:pPr>
        <w:spacing w:after="0" w:line="215" w:lineRule="exact"/>
        <w:rPr>
          <w:rFonts w:ascii="Times New Roman" w:cs="Times New Roman" w:eastAsia="Times New Roman" w:hAnsi="Times New Roman"/>
          <w:sz w:val="20"/>
          <w:szCs w:val="20"/>
          <w:b w:val="1"/>
          <w:bCs w:val="1"/>
          <w:color w:val="auto"/>
        </w:rPr>
      </w:pPr>
    </w:p>
    <w:p>
      <w:pPr>
        <w:ind w:left="700" w:hanging="318"/>
        <w:spacing w:after="0"/>
        <w:tabs>
          <w:tab w:leader="none" w:pos="700" w:val="left"/>
        </w:tabs>
        <w:numPr>
          <w:ilvl w:val="1"/>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The Target Award, </w:t>
      </w:r>
      <w:r>
        <w:rPr>
          <w:rFonts w:ascii="Times New Roman" w:cs="Times New Roman" w:eastAsia="Times New Roman" w:hAnsi="Times New Roman"/>
          <w:sz w:val="20"/>
          <w:szCs w:val="20"/>
          <w:b w:val="1"/>
          <w:bCs w:val="1"/>
          <w:i w:val="1"/>
          <w:iCs w:val="1"/>
          <w:u w:val="single" w:color="auto"/>
          <w:color w:val="auto"/>
        </w:rPr>
        <w:t>multiplied</w:t>
      </w:r>
      <w:r>
        <w:rPr>
          <w:rFonts w:ascii="Times New Roman" w:cs="Times New Roman" w:eastAsia="Times New Roman" w:hAnsi="Times New Roman"/>
          <w:sz w:val="20"/>
          <w:szCs w:val="20"/>
          <w:color w:val="auto"/>
        </w:rPr>
        <w:t xml:space="preserve"> by 50%, </w:t>
      </w:r>
      <w:r>
        <w:rPr>
          <w:rFonts w:ascii="Times New Roman" w:cs="Times New Roman" w:eastAsia="Times New Roman" w:hAnsi="Times New Roman"/>
          <w:sz w:val="20"/>
          <w:szCs w:val="20"/>
          <w:b w:val="1"/>
          <w:bCs w:val="1"/>
          <w:i w:val="1"/>
          <w:iCs w:val="1"/>
          <w:u w:val="single" w:color="auto"/>
          <w:color w:val="auto"/>
        </w:rPr>
        <w:t>multiplied</w:t>
      </w:r>
      <w:r>
        <w:rPr>
          <w:rFonts w:ascii="Times New Roman" w:cs="Times New Roman" w:eastAsia="Times New Roman" w:hAnsi="Times New Roman"/>
          <w:sz w:val="20"/>
          <w:szCs w:val="20"/>
          <w:color w:val="auto"/>
        </w:rPr>
        <w:t xml:space="preserve"> by the ANR Growth Payout Percentage</w:t>
      </w:r>
    </w:p>
    <w:p>
      <w:pPr>
        <w:spacing w:after="0" w:line="219" w:lineRule="exact"/>
        <w:rPr>
          <w:rFonts w:ascii="Times New Roman" w:cs="Times New Roman" w:eastAsia="Times New Roman" w:hAnsi="Times New Roman"/>
          <w:sz w:val="20"/>
          <w:szCs w:val="20"/>
          <w:b w:val="1"/>
          <w:bCs w:val="1"/>
          <w:color w:val="auto"/>
        </w:rPr>
      </w:pPr>
    </w:p>
    <w:p>
      <w:pPr>
        <w:ind w:left="700" w:hanging="318"/>
        <w:spacing w:after="0"/>
        <w:tabs>
          <w:tab w:leader="none" w:pos="700" w:val="left"/>
        </w:tabs>
        <w:numPr>
          <w:ilvl w:val="1"/>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The TSR Modifier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Performance Goals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Adjusted Operating Margin Improvement Performance Objectives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0" w:type="dxa"/>
            <w:vAlign w:val="bottom"/>
            <w:tcBorders>
              <w:right w:val="single" w:sz="8" w:color="auto"/>
            </w:tcBorders>
          </w:tcPr>
          <w:p>
            <w:pPr>
              <w:spacing w:after="0"/>
              <w:rPr>
                <w:sz w:val="19"/>
                <w:szCs w:val="19"/>
                <w:color w:val="auto"/>
              </w:rPr>
            </w:pPr>
          </w:p>
        </w:tc>
        <w:tc>
          <w:tcPr>
            <w:tcW w:w="2260" w:type="dxa"/>
            <w:vAlign w:val="bottom"/>
            <w:tcBorders>
              <w:top w:val="single" w:sz="8" w:color="auto"/>
              <w:right w:val="single" w:sz="8" w:color="auto"/>
            </w:tcBorders>
            <w:gridSpan w:val="2"/>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500" w:type="dxa"/>
            <w:vAlign w:val="bottom"/>
            <w:tcBorders>
              <w:top w:val="single" w:sz="8" w:color="auto"/>
            </w:tcBorders>
            <w:shd w:val="clear" w:color="auto" w:fill="F2F2F2"/>
          </w:tcPr>
          <w:p>
            <w:pPr>
              <w:spacing w:after="0"/>
              <w:rPr>
                <w:sz w:val="19"/>
                <w:szCs w:val="19"/>
                <w:color w:val="auto"/>
              </w:rPr>
            </w:pPr>
          </w:p>
        </w:tc>
        <w:tc>
          <w:tcPr>
            <w:tcW w:w="2300" w:type="dxa"/>
            <w:vAlign w:val="bottom"/>
            <w:tcBorders>
              <w:top w:val="single" w:sz="8" w:color="auto"/>
              <w:right w:val="single" w:sz="8" w:color="auto"/>
            </w:tcBorders>
            <w:gridSpan w:val="3"/>
            <w:vMerge w:val="restart"/>
            <w:shd w:val="clear" w:color="auto" w:fill="F2F2F2"/>
          </w:tcPr>
          <w:p>
            <w:pPr>
              <w:jc w:val="center"/>
              <w:ind w:right="560"/>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2860" w:type="dxa"/>
            <w:vAlign w:val="bottom"/>
            <w:tcBorders>
              <w:top w:val="single" w:sz="8" w:color="auto"/>
              <w:right w:val="single" w:sz="8" w:color="auto"/>
            </w:tcBorders>
            <w:gridSpan w:val="2"/>
            <w:vMerge w:val="restart"/>
            <w:shd w:val="clear" w:color="auto" w:fill="F2F2F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AOM Improvement</w:t>
            </w:r>
          </w:p>
        </w:tc>
        <w:tc>
          <w:tcPr>
            <w:tcW w:w="2820" w:type="dxa"/>
            <w:vAlign w:val="bottom"/>
            <w:tcBorders>
              <w:top w:val="single" w:sz="8" w:color="auto"/>
              <w:right w:val="single" w:sz="8" w:color="auto"/>
            </w:tcBorders>
            <w:shd w:val="clear" w:color="auto" w:fill="F2F2F2"/>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AOM Improvement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4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continue"/>
            <w:shd w:val="clear" w:color="auto" w:fill="F2F2F2"/>
          </w:tcPr>
          <w:p>
            <w:pPr>
              <w:spacing w:after="0"/>
              <w:rPr>
                <w:sz w:val="9"/>
                <w:szCs w:val="9"/>
                <w:color w:val="auto"/>
              </w:rPr>
            </w:pPr>
          </w:p>
        </w:tc>
        <w:tc>
          <w:tcPr>
            <w:tcW w:w="500" w:type="dxa"/>
            <w:vAlign w:val="bottom"/>
            <w:shd w:val="clear" w:color="auto" w:fill="F2F2F2"/>
          </w:tcPr>
          <w:p>
            <w:pPr>
              <w:spacing w:after="0"/>
              <w:rPr>
                <w:sz w:val="9"/>
                <w:szCs w:val="9"/>
                <w:color w:val="auto"/>
              </w:rPr>
            </w:pPr>
          </w:p>
        </w:tc>
        <w:tc>
          <w:tcPr>
            <w:tcW w:w="2300" w:type="dxa"/>
            <w:vAlign w:val="bottom"/>
            <w:tcBorders>
              <w:right w:val="single" w:sz="8" w:color="auto"/>
            </w:tcBorders>
            <w:gridSpan w:val="3"/>
            <w:vMerge w:val="continue"/>
            <w:shd w:val="clear" w:color="auto" w:fill="F2F2F2"/>
          </w:tcPr>
          <w:p>
            <w:pPr>
              <w:spacing w:after="0"/>
              <w:rPr>
                <w:sz w:val="9"/>
                <w:szCs w:val="9"/>
                <w:color w:val="auto"/>
              </w:rPr>
            </w:pPr>
          </w:p>
        </w:tc>
        <w:tc>
          <w:tcPr>
            <w:tcW w:w="2860" w:type="dxa"/>
            <w:vAlign w:val="bottom"/>
            <w:tcBorders>
              <w:right w:val="single" w:sz="8" w:color="auto"/>
            </w:tcBorders>
            <w:gridSpan w:val="2"/>
            <w:vMerge w:val="continue"/>
            <w:shd w:val="clear" w:color="auto" w:fill="F2F2F2"/>
          </w:tcPr>
          <w:p>
            <w:pPr>
              <w:spacing w:after="0"/>
              <w:rPr>
                <w:sz w:val="9"/>
                <w:szCs w:val="9"/>
                <w:color w:val="auto"/>
              </w:rPr>
            </w:pPr>
          </w:p>
        </w:tc>
        <w:tc>
          <w:tcPr>
            <w:tcW w:w="28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Payout Percentage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0" w:type="dxa"/>
            <w:vAlign w:val="bottom"/>
            <w:tcBorders>
              <w:right w:val="single" w:sz="8" w:color="auto"/>
            </w:tcBorders>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1560" w:type="dxa"/>
            <w:vAlign w:val="bottom"/>
            <w:tcBorders>
              <w:right w:val="single" w:sz="8" w:color="auto"/>
            </w:tcBorders>
            <w:vMerge w:val="restart"/>
            <w:shd w:val="clear" w:color="auto" w:fill="F2F2F2"/>
          </w:tcPr>
          <w:p>
            <w:pPr>
              <w:jc w:val="center"/>
              <w:ind w:right="681"/>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500" w:type="dxa"/>
            <w:vAlign w:val="bottom"/>
            <w:shd w:val="clear" w:color="auto" w:fill="F2F2F2"/>
          </w:tcPr>
          <w:p>
            <w:pPr>
              <w:spacing w:after="0"/>
              <w:rPr>
                <w:sz w:val="10"/>
                <w:szCs w:val="10"/>
                <w:color w:val="auto"/>
              </w:rPr>
            </w:pPr>
          </w:p>
        </w:tc>
        <w:tc>
          <w:tcPr>
            <w:tcW w:w="2300" w:type="dxa"/>
            <w:vAlign w:val="bottom"/>
            <w:tcBorders>
              <w:right w:val="single" w:sz="8" w:color="auto"/>
            </w:tcBorders>
            <w:gridSpan w:val="3"/>
            <w:vMerge w:val="restart"/>
            <w:shd w:val="clear" w:color="auto" w:fill="F2F2F2"/>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9"/>
              </w:rPr>
              <w:t>(as % of Target)</w:t>
            </w:r>
          </w:p>
        </w:tc>
        <w:tc>
          <w:tcPr>
            <w:tcW w:w="2860" w:type="dxa"/>
            <w:vAlign w:val="bottom"/>
            <w:tcBorders>
              <w:right w:val="single" w:sz="8" w:color="auto"/>
            </w:tcBorders>
            <w:gridSpan w:val="2"/>
            <w:vMerge w:val="restart"/>
            <w:shd w:val="clear" w:color="auto" w:fill="F2F2F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Performance Objectives</w:t>
            </w:r>
          </w:p>
        </w:tc>
        <w:tc>
          <w:tcPr>
            <w:tcW w:w="2820" w:type="dxa"/>
            <w:vAlign w:val="bottom"/>
            <w:tcBorders>
              <w:right w:val="single" w:sz="8" w:color="auto"/>
            </w:tcBorders>
            <w:vMerge w:val="continue"/>
            <w:shd w:val="clear" w:color="auto" w:fill="F2F2F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20" w:type="dxa"/>
            <w:vAlign w:val="bottom"/>
            <w:tcBorders>
              <w:right w:val="single" w:sz="8" w:color="auto"/>
            </w:tcBorders>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1560" w:type="dxa"/>
            <w:vAlign w:val="bottom"/>
            <w:tcBorders>
              <w:right w:val="single" w:sz="8" w:color="auto"/>
            </w:tcBorders>
            <w:vMerge w:val="continue"/>
            <w:shd w:val="clear" w:color="auto" w:fill="F2F2F2"/>
          </w:tcPr>
          <w:p>
            <w:pPr>
              <w:spacing w:after="0"/>
              <w:rPr>
                <w:sz w:val="12"/>
                <w:szCs w:val="12"/>
                <w:color w:val="auto"/>
              </w:rPr>
            </w:pPr>
          </w:p>
        </w:tc>
        <w:tc>
          <w:tcPr>
            <w:tcW w:w="500" w:type="dxa"/>
            <w:vAlign w:val="bottom"/>
            <w:shd w:val="clear" w:color="auto" w:fill="F2F2F2"/>
          </w:tcPr>
          <w:p>
            <w:pPr>
              <w:spacing w:after="0"/>
              <w:rPr>
                <w:sz w:val="12"/>
                <w:szCs w:val="12"/>
                <w:color w:val="auto"/>
              </w:rPr>
            </w:pPr>
          </w:p>
        </w:tc>
        <w:tc>
          <w:tcPr>
            <w:tcW w:w="2300" w:type="dxa"/>
            <w:vAlign w:val="bottom"/>
            <w:tcBorders>
              <w:right w:val="single" w:sz="8" w:color="auto"/>
            </w:tcBorders>
            <w:gridSpan w:val="3"/>
            <w:vMerge w:val="continue"/>
            <w:shd w:val="clear" w:color="auto" w:fill="F2F2F2"/>
          </w:tcPr>
          <w:p>
            <w:pPr>
              <w:spacing w:after="0"/>
              <w:rPr>
                <w:sz w:val="12"/>
                <w:szCs w:val="12"/>
                <w:color w:val="auto"/>
              </w:rPr>
            </w:pPr>
          </w:p>
        </w:tc>
        <w:tc>
          <w:tcPr>
            <w:tcW w:w="2860" w:type="dxa"/>
            <w:vAlign w:val="bottom"/>
            <w:tcBorders>
              <w:right w:val="single" w:sz="8" w:color="auto"/>
            </w:tcBorders>
            <w:gridSpan w:val="2"/>
            <w:vMerge w:val="continue"/>
            <w:shd w:val="clear" w:color="auto" w:fill="F2F2F2"/>
          </w:tcPr>
          <w:p>
            <w:pPr>
              <w:spacing w:after="0"/>
              <w:rPr>
                <w:sz w:val="12"/>
                <w:szCs w:val="12"/>
                <w:color w:val="auto"/>
              </w:rPr>
            </w:pPr>
          </w:p>
        </w:tc>
        <w:tc>
          <w:tcPr>
            <w:tcW w:w="28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(as a % of Target)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20" w:type="dxa"/>
            <w:vAlign w:val="bottom"/>
            <w:tcBorders>
              <w:right w:val="single" w:sz="8" w:color="auto"/>
            </w:tcBorders>
          </w:tcPr>
          <w:p>
            <w:pPr>
              <w:spacing w:after="0"/>
              <w:rPr>
                <w:sz w:val="11"/>
                <w:szCs w:val="11"/>
                <w:color w:val="auto"/>
              </w:rPr>
            </w:pPr>
          </w:p>
        </w:tc>
        <w:tc>
          <w:tcPr>
            <w:tcW w:w="700" w:type="dxa"/>
            <w:vAlign w:val="bottom"/>
            <w:tcBorders>
              <w:bottom w:val="single" w:sz="8" w:color="auto"/>
            </w:tcBorders>
            <w:shd w:val="clear" w:color="auto" w:fill="F2F2F2"/>
          </w:tcPr>
          <w:p>
            <w:pPr>
              <w:spacing w:after="0"/>
              <w:rPr>
                <w:sz w:val="11"/>
                <w:szCs w:val="11"/>
                <w:color w:val="auto"/>
              </w:rPr>
            </w:pPr>
          </w:p>
        </w:tc>
        <w:tc>
          <w:tcPr>
            <w:tcW w:w="1560" w:type="dxa"/>
            <w:vAlign w:val="bottom"/>
            <w:tcBorders>
              <w:bottom w:val="single" w:sz="8" w:color="auto"/>
              <w:right w:val="single" w:sz="8" w:color="auto"/>
            </w:tcBorders>
            <w:shd w:val="clear" w:color="auto" w:fill="F2F2F2"/>
          </w:tcPr>
          <w:p>
            <w:pPr>
              <w:spacing w:after="0"/>
              <w:rPr>
                <w:sz w:val="11"/>
                <w:szCs w:val="11"/>
                <w:color w:val="auto"/>
              </w:rPr>
            </w:pPr>
          </w:p>
        </w:tc>
        <w:tc>
          <w:tcPr>
            <w:tcW w:w="500" w:type="dxa"/>
            <w:vAlign w:val="bottom"/>
            <w:tcBorders>
              <w:bottom w:val="single" w:sz="8" w:color="auto"/>
            </w:tcBorders>
            <w:shd w:val="clear" w:color="auto" w:fill="F2F2F2"/>
          </w:tcPr>
          <w:p>
            <w:pPr>
              <w:spacing w:after="0"/>
              <w:rPr>
                <w:sz w:val="11"/>
                <w:szCs w:val="11"/>
                <w:color w:val="auto"/>
              </w:rPr>
            </w:pPr>
          </w:p>
        </w:tc>
        <w:tc>
          <w:tcPr>
            <w:tcW w:w="1160" w:type="dxa"/>
            <w:vAlign w:val="bottom"/>
            <w:tcBorders>
              <w:bottom w:val="single" w:sz="8" w:color="auto"/>
              <w:right w:val="single" w:sz="8" w:color="F2F2F2"/>
            </w:tcBorders>
            <w:shd w:val="clear" w:color="auto" w:fill="F2F2F2"/>
          </w:tcPr>
          <w:p>
            <w:pPr>
              <w:spacing w:after="0"/>
              <w:rPr>
                <w:sz w:val="11"/>
                <w:szCs w:val="11"/>
                <w:color w:val="auto"/>
              </w:rPr>
            </w:pPr>
          </w:p>
        </w:tc>
        <w:tc>
          <w:tcPr>
            <w:tcW w:w="60" w:type="dxa"/>
            <w:vAlign w:val="bottom"/>
            <w:tcBorders>
              <w:bottom w:val="single" w:sz="8" w:color="auto"/>
            </w:tcBorders>
            <w:shd w:val="clear" w:color="auto" w:fill="F2F2F2"/>
          </w:tcPr>
          <w:p>
            <w:pPr>
              <w:spacing w:after="0"/>
              <w:rPr>
                <w:sz w:val="11"/>
                <w:szCs w:val="11"/>
                <w:color w:val="auto"/>
              </w:rPr>
            </w:pPr>
          </w:p>
        </w:tc>
        <w:tc>
          <w:tcPr>
            <w:tcW w:w="1080" w:type="dxa"/>
            <w:vAlign w:val="bottom"/>
            <w:tcBorders>
              <w:bottom w:val="single" w:sz="8" w:color="auto"/>
              <w:right w:val="single" w:sz="8" w:color="auto"/>
            </w:tcBorders>
            <w:shd w:val="clear" w:color="auto" w:fill="F2F2F2"/>
          </w:tcPr>
          <w:p>
            <w:pPr>
              <w:spacing w:after="0"/>
              <w:rPr>
                <w:sz w:val="11"/>
                <w:szCs w:val="11"/>
                <w:color w:val="auto"/>
              </w:rPr>
            </w:pPr>
          </w:p>
        </w:tc>
        <w:tc>
          <w:tcPr>
            <w:tcW w:w="2760" w:type="dxa"/>
            <w:vAlign w:val="bottom"/>
            <w:tcBorders>
              <w:bottom w:val="single" w:sz="8" w:color="auto"/>
              <w:right w:val="single" w:sz="8" w:color="F2F2F2"/>
            </w:tcBorders>
            <w:shd w:val="clear" w:color="auto" w:fill="F2F2F2"/>
          </w:tcPr>
          <w:p>
            <w:pPr>
              <w:spacing w:after="0"/>
              <w:rPr>
                <w:sz w:val="11"/>
                <w:szCs w:val="11"/>
                <w:color w:val="auto"/>
              </w:rPr>
            </w:pPr>
          </w:p>
        </w:tc>
        <w:tc>
          <w:tcPr>
            <w:tcW w:w="100" w:type="dxa"/>
            <w:vAlign w:val="bottom"/>
            <w:tcBorders>
              <w:bottom w:val="single" w:sz="8" w:color="auto"/>
              <w:right w:val="single" w:sz="8" w:color="auto"/>
            </w:tcBorders>
            <w:shd w:val="clear" w:color="auto" w:fill="F2F2F2"/>
          </w:tcPr>
          <w:p>
            <w:pPr>
              <w:spacing w:after="0"/>
              <w:rPr>
                <w:sz w:val="11"/>
                <w:szCs w:val="11"/>
                <w:color w:val="auto"/>
              </w:rPr>
            </w:pPr>
          </w:p>
        </w:tc>
        <w:tc>
          <w:tcPr>
            <w:tcW w:w="2820" w:type="dxa"/>
            <w:vAlign w:val="bottom"/>
            <w:tcBorders>
              <w:bottom w:val="single" w:sz="8" w:color="auto"/>
              <w:right w:val="single" w:sz="8" w:color="auto"/>
            </w:tcBorders>
            <w:vMerge w:val="continue"/>
            <w:shd w:val="clear" w:color="auto" w:fill="F2F2F2"/>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0" w:type="dxa"/>
            <w:vAlign w:val="bottom"/>
            <w:tcBorders>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gridSpan w:val="2"/>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Maximum</w:t>
            </w:r>
          </w:p>
        </w:tc>
        <w:tc>
          <w:tcPr>
            <w:tcW w:w="5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gridSpan w:val="3"/>
          </w:tcPr>
          <w:p>
            <w:pPr>
              <w:jc w:val="right"/>
              <w:ind w:right="1060"/>
              <w:spacing w:after="0" w:line="207" w:lineRule="exact"/>
              <w:rPr>
                <w:sz w:val="20"/>
                <w:szCs w:val="20"/>
                <w:color w:val="auto"/>
              </w:rPr>
            </w:pPr>
            <w:r>
              <w:rPr>
                <w:rFonts w:ascii="Times New Roman" w:cs="Times New Roman" w:eastAsia="Times New Roman" w:hAnsi="Times New Roman"/>
                <w:sz w:val="20"/>
                <w:szCs w:val="20"/>
                <w:color w:val="auto"/>
              </w:rPr>
              <w:t>≥ 171.4%</w:t>
            </w:r>
          </w:p>
        </w:tc>
        <w:tc>
          <w:tcPr>
            <w:tcW w:w="2860" w:type="dxa"/>
            <w:vAlign w:val="bottom"/>
            <w:tcBorders>
              <w:bottom w:val="single" w:sz="8" w:color="auto"/>
              <w:right w:val="single" w:sz="8" w:color="auto"/>
            </w:tcBorders>
            <w:gridSpan w:val="2"/>
          </w:tcPr>
          <w:p>
            <w:pPr>
              <w:jc w:val="right"/>
              <w:ind w:right="1160"/>
              <w:spacing w:after="0" w:line="207" w:lineRule="exact"/>
              <w:rPr>
                <w:sz w:val="20"/>
                <w:szCs w:val="20"/>
                <w:color w:val="auto"/>
              </w:rPr>
            </w:pPr>
            <w:r>
              <w:rPr>
                <w:rFonts w:ascii="Times New Roman" w:cs="Times New Roman" w:eastAsia="Times New Roman" w:hAnsi="Times New Roman"/>
                <w:sz w:val="20"/>
                <w:szCs w:val="20"/>
                <w:color w:val="auto"/>
              </w:rPr>
              <w:t>≥ 1.2%</w:t>
            </w:r>
          </w:p>
        </w:tc>
        <w:tc>
          <w:tcPr>
            <w:tcW w:w="282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700" w:type="dxa"/>
            <w:vAlign w:val="bottom"/>
            <w:tcBorders>
              <w:bottom w:val="single" w:sz="8" w:color="auto"/>
            </w:tcBorders>
            <w:shd w:val="clear" w:color="auto" w:fill="F2F2F2"/>
          </w:tcPr>
          <w:p>
            <w:pPr>
              <w:spacing w:after="0"/>
              <w:rPr>
                <w:sz w:val="19"/>
                <w:szCs w:val="19"/>
                <w:color w:val="auto"/>
              </w:rPr>
            </w:pPr>
          </w:p>
        </w:tc>
        <w:tc>
          <w:tcPr>
            <w:tcW w:w="1560" w:type="dxa"/>
            <w:vAlign w:val="bottom"/>
            <w:tcBorders>
              <w:bottom w:val="single" w:sz="8" w:color="auto"/>
              <w:right w:val="single" w:sz="8" w:color="auto"/>
            </w:tcBorders>
            <w:shd w:val="clear" w:color="auto" w:fill="F2F2F2"/>
          </w:tcPr>
          <w:p>
            <w:pPr>
              <w:jc w:val="center"/>
              <w:ind w:right="701"/>
              <w:spacing w:after="0" w:line="223" w:lineRule="exact"/>
              <w:rPr>
                <w:sz w:val="20"/>
                <w:szCs w:val="20"/>
                <w:color w:val="auto"/>
              </w:rPr>
            </w:pPr>
            <w:r>
              <w:rPr>
                <w:rFonts w:ascii="Times New Roman" w:cs="Times New Roman" w:eastAsia="Times New Roman" w:hAnsi="Times New Roman"/>
                <w:sz w:val="20"/>
                <w:szCs w:val="20"/>
                <w:color w:val="auto"/>
                <w:w w:val="99"/>
              </w:rPr>
              <w:t>Target</w:t>
            </w:r>
          </w:p>
        </w:tc>
        <w:tc>
          <w:tcPr>
            <w:tcW w:w="500" w:type="dxa"/>
            <w:vAlign w:val="bottom"/>
            <w:tcBorders>
              <w:bottom w:val="single" w:sz="8" w:color="auto"/>
            </w:tcBorders>
            <w:shd w:val="clear" w:color="auto" w:fill="F2F2F2"/>
          </w:tcPr>
          <w:p>
            <w:pPr>
              <w:spacing w:after="0"/>
              <w:rPr>
                <w:sz w:val="19"/>
                <w:szCs w:val="19"/>
                <w:color w:val="auto"/>
              </w:rPr>
            </w:pPr>
          </w:p>
        </w:tc>
        <w:tc>
          <w:tcPr>
            <w:tcW w:w="2300" w:type="dxa"/>
            <w:vAlign w:val="bottom"/>
            <w:tcBorders>
              <w:bottom w:val="single" w:sz="8" w:color="auto"/>
              <w:right w:val="single" w:sz="8" w:color="auto"/>
            </w:tcBorders>
            <w:gridSpan w:val="3"/>
            <w:shd w:val="clear" w:color="auto" w:fill="F2F2F2"/>
          </w:tcPr>
          <w:p>
            <w:pPr>
              <w:jc w:val="right"/>
              <w:ind w:right="1060"/>
              <w:spacing w:after="0" w:line="223" w:lineRule="exact"/>
              <w:rPr>
                <w:sz w:val="20"/>
                <w:szCs w:val="20"/>
                <w:color w:val="auto"/>
              </w:rPr>
            </w:pPr>
            <w:r>
              <w:rPr>
                <w:rFonts w:ascii="Times New Roman" w:cs="Times New Roman" w:eastAsia="Times New Roman" w:hAnsi="Times New Roman"/>
                <w:sz w:val="20"/>
                <w:szCs w:val="20"/>
                <w:color w:val="auto"/>
              </w:rPr>
              <w:t>100.0%</w:t>
            </w:r>
          </w:p>
        </w:tc>
        <w:tc>
          <w:tcPr>
            <w:tcW w:w="2760" w:type="dxa"/>
            <w:vAlign w:val="bottom"/>
            <w:tcBorders>
              <w:bottom w:val="single" w:sz="8" w:color="auto"/>
              <w:right w:val="single" w:sz="8" w:color="F2F2F2"/>
            </w:tcBorders>
            <w:shd w:val="clear" w:color="auto" w:fill="F2F2F2"/>
          </w:tcPr>
          <w:p>
            <w:pPr>
              <w:jc w:val="right"/>
              <w:ind w:right="981"/>
              <w:spacing w:after="0" w:line="223" w:lineRule="exact"/>
              <w:rPr>
                <w:sz w:val="20"/>
                <w:szCs w:val="20"/>
                <w:color w:val="auto"/>
              </w:rPr>
            </w:pPr>
            <w:r>
              <w:rPr>
                <w:rFonts w:ascii="Times New Roman" w:cs="Times New Roman" w:eastAsia="Times New Roman" w:hAnsi="Times New Roman"/>
                <w:sz w:val="20"/>
                <w:szCs w:val="20"/>
                <w:color w:val="auto"/>
              </w:rPr>
              <w:t>0.7%</w:t>
            </w:r>
          </w:p>
        </w:tc>
        <w:tc>
          <w:tcPr>
            <w:tcW w:w="100" w:type="dxa"/>
            <w:vAlign w:val="bottom"/>
            <w:tcBorders>
              <w:bottom w:val="single" w:sz="8" w:color="auto"/>
              <w:right w:val="single" w:sz="8" w:color="auto"/>
            </w:tcBorders>
            <w:shd w:val="clear" w:color="auto" w:fill="F2F2F2"/>
          </w:tcPr>
          <w:p>
            <w:pPr>
              <w:spacing w:after="0"/>
              <w:rPr>
                <w:sz w:val="19"/>
                <w:szCs w:val="19"/>
                <w:color w:val="auto"/>
              </w:rPr>
            </w:pPr>
          </w:p>
        </w:tc>
        <w:tc>
          <w:tcPr>
            <w:tcW w:w="2820" w:type="dxa"/>
            <w:vAlign w:val="bottom"/>
            <w:tcBorders>
              <w:bottom w:val="single" w:sz="8" w:color="auto"/>
              <w:right w:val="single" w:sz="8" w:color="auto"/>
            </w:tcBorders>
            <w:shd w:val="clear" w:color="auto" w:fill="F2F2F2"/>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tcPr>
          <w:p>
            <w:pPr>
              <w:jc w:val="center"/>
              <w:ind w:right="1"/>
              <w:spacing w:after="0" w:line="223" w:lineRule="exact"/>
              <w:rPr>
                <w:sz w:val="20"/>
                <w:szCs w:val="20"/>
                <w:color w:val="auto"/>
              </w:rPr>
            </w:pPr>
            <w:r>
              <w:rPr>
                <w:rFonts w:ascii="Times New Roman" w:cs="Times New Roman" w:eastAsia="Times New Roman" w:hAnsi="Times New Roman"/>
                <w:sz w:val="20"/>
                <w:szCs w:val="20"/>
                <w:color w:val="auto"/>
                <w:w w:val="98"/>
              </w:rPr>
              <w:t>Threshold</w:t>
            </w:r>
          </w:p>
        </w:tc>
        <w:tc>
          <w:tcPr>
            <w:tcW w:w="500" w:type="dxa"/>
            <w:vAlign w:val="bottom"/>
            <w:tcBorders>
              <w:bottom w:val="single" w:sz="8" w:color="auto"/>
            </w:tcBorders>
          </w:tcPr>
          <w:p>
            <w:pPr>
              <w:spacing w:after="0"/>
              <w:rPr>
                <w:sz w:val="19"/>
                <w:szCs w:val="19"/>
                <w:color w:val="auto"/>
              </w:rPr>
            </w:pPr>
          </w:p>
        </w:tc>
        <w:tc>
          <w:tcPr>
            <w:tcW w:w="2300" w:type="dxa"/>
            <w:vAlign w:val="bottom"/>
            <w:tcBorders>
              <w:bottom w:val="single" w:sz="8" w:color="auto"/>
              <w:right w:val="single" w:sz="8" w:color="auto"/>
            </w:tcBorders>
            <w:gridSpan w:val="3"/>
          </w:tcPr>
          <w:p>
            <w:pPr>
              <w:jc w:val="right"/>
              <w:ind w:right="1060"/>
              <w:spacing w:after="0" w:line="223" w:lineRule="exact"/>
              <w:rPr>
                <w:sz w:val="20"/>
                <w:szCs w:val="20"/>
                <w:color w:val="auto"/>
              </w:rPr>
            </w:pPr>
            <w:r>
              <w:rPr>
                <w:rFonts w:ascii="Times New Roman" w:cs="Times New Roman" w:eastAsia="Times New Roman" w:hAnsi="Times New Roman"/>
                <w:sz w:val="20"/>
                <w:szCs w:val="20"/>
                <w:color w:val="auto"/>
              </w:rPr>
              <w:t>28.6%</w:t>
            </w:r>
          </w:p>
        </w:tc>
        <w:tc>
          <w:tcPr>
            <w:tcW w:w="2760" w:type="dxa"/>
            <w:vAlign w:val="bottom"/>
            <w:tcBorders>
              <w:bottom w:val="single" w:sz="8" w:color="auto"/>
            </w:tcBorders>
          </w:tcPr>
          <w:p>
            <w:pPr>
              <w:jc w:val="right"/>
              <w:ind w:right="981"/>
              <w:spacing w:after="0" w:line="223" w:lineRule="exact"/>
              <w:rPr>
                <w:sz w:val="20"/>
                <w:szCs w:val="20"/>
                <w:color w:val="auto"/>
              </w:rPr>
            </w:pPr>
            <w:r>
              <w:rPr>
                <w:rFonts w:ascii="Times New Roman" w:cs="Times New Roman" w:eastAsia="Times New Roman" w:hAnsi="Times New Roman"/>
                <w:sz w:val="20"/>
                <w:szCs w:val="20"/>
                <w:color w:val="auto"/>
              </w:rPr>
              <w:t>0.2%</w:t>
            </w:r>
          </w:p>
        </w:tc>
        <w:tc>
          <w:tcPr>
            <w:tcW w:w="1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tcPr>
          <w:p>
            <w:pPr>
              <w:jc w:val="center"/>
              <w:ind w:right="1"/>
              <w:spacing w:after="0" w:line="223" w:lineRule="exact"/>
              <w:rPr>
                <w:sz w:val="20"/>
                <w:szCs w:val="20"/>
                <w:color w:val="auto"/>
              </w:rPr>
            </w:pPr>
            <w:r>
              <w:rPr>
                <w:rFonts w:ascii="Times New Roman" w:cs="Times New Roman" w:eastAsia="Times New Roman" w:hAnsi="Times New Roman"/>
                <w:sz w:val="20"/>
                <w:szCs w:val="20"/>
                <w:color w:val="auto"/>
                <w:w w:val="98"/>
              </w:rPr>
              <w:t>&lt; Threshold</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&lt; 28.6%</w:t>
            </w:r>
          </w:p>
        </w:tc>
        <w:tc>
          <w:tcPr>
            <w:tcW w:w="108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tcBorders>
          </w:tcPr>
          <w:p>
            <w:pPr>
              <w:jc w:val="right"/>
              <w:ind w:right="961"/>
              <w:spacing w:after="0" w:line="223" w:lineRule="exact"/>
              <w:rPr>
                <w:sz w:val="20"/>
                <w:szCs w:val="20"/>
                <w:color w:val="auto"/>
              </w:rPr>
            </w:pPr>
            <w:r>
              <w:rPr>
                <w:rFonts w:ascii="Times New Roman" w:cs="Times New Roman" w:eastAsia="Times New Roman" w:hAnsi="Times New Roman"/>
                <w:sz w:val="20"/>
                <w:szCs w:val="20"/>
                <w:color w:val="auto"/>
              </w:rPr>
              <w:t>&lt; 0.2%</w:t>
            </w:r>
          </w:p>
        </w:tc>
        <w:tc>
          <w:tcPr>
            <w:tcW w:w="1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4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Adjusted Net Revenue Growth Performance Objectives</w:t>
            </w: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20" w:type="dxa"/>
            <w:vAlign w:val="bottom"/>
            <w:tcBorders>
              <w:right w:val="single" w:sz="8" w:color="auto"/>
            </w:tcBorders>
          </w:tcPr>
          <w:p>
            <w:pPr>
              <w:spacing w:after="0"/>
              <w:rPr>
                <w:sz w:val="15"/>
                <w:szCs w:val="15"/>
                <w:color w:val="auto"/>
              </w:rPr>
            </w:pPr>
          </w:p>
        </w:tc>
        <w:tc>
          <w:tcPr>
            <w:tcW w:w="700" w:type="dxa"/>
            <w:vAlign w:val="bottom"/>
            <w:tcBorders>
              <w:top w:val="single" w:sz="8" w:color="auto"/>
            </w:tcBorders>
            <w:shd w:val="clear" w:color="auto" w:fill="F2F2F2"/>
          </w:tcPr>
          <w:p>
            <w:pPr>
              <w:spacing w:after="0"/>
              <w:rPr>
                <w:sz w:val="15"/>
                <w:szCs w:val="15"/>
                <w:color w:val="auto"/>
              </w:rPr>
            </w:pPr>
          </w:p>
        </w:tc>
        <w:tc>
          <w:tcPr>
            <w:tcW w:w="1560" w:type="dxa"/>
            <w:vAlign w:val="bottom"/>
            <w:tcBorders>
              <w:top w:val="single" w:sz="8" w:color="auto"/>
              <w:right w:val="single" w:sz="8" w:color="auto"/>
            </w:tcBorders>
            <w:shd w:val="clear" w:color="auto" w:fill="F2F2F2"/>
          </w:tcPr>
          <w:p>
            <w:pPr>
              <w:spacing w:after="0"/>
              <w:rPr>
                <w:sz w:val="15"/>
                <w:szCs w:val="15"/>
                <w:color w:val="auto"/>
              </w:rPr>
            </w:pPr>
          </w:p>
        </w:tc>
        <w:tc>
          <w:tcPr>
            <w:tcW w:w="500" w:type="dxa"/>
            <w:vAlign w:val="bottom"/>
            <w:tcBorders>
              <w:top w:val="single" w:sz="8" w:color="F2F2F2"/>
            </w:tcBorders>
            <w:shd w:val="clear" w:color="auto" w:fill="F2F2F2"/>
          </w:tcPr>
          <w:p>
            <w:pPr>
              <w:spacing w:after="0"/>
              <w:rPr>
                <w:sz w:val="15"/>
                <w:szCs w:val="15"/>
                <w:color w:val="auto"/>
              </w:rPr>
            </w:pPr>
          </w:p>
        </w:tc>
        <w:tc>
          <w:tcPr>
            <w:tcW w:w="2300" w:type="dxa"/>
            <w:vAlign w:val="bottom"/>
            <w:tcBorders>
              <w:top w:val="single" w:sz="8" w:color="F2F2F2"/>
              <w:right w:val="single" w:sz="8" w:color="auto"/>
            </w:tcBorders>
            <w:gridSpan w:val="3"/>
            <w:vMerge w:val="restart"/>
            <w:shd w:val="clear" w:color="auto" w:fill="F2F2F2"/>
          </w:tcPr>
          <w:p>
            <w:pPr>
              <w:jc w:val="center"/>
              <w:ind w:right="560"/>
              <w:spacing w:after="0"/>
              <w:rPr>
                <w:sz w:val="20"/>
                <w:szCs w:val="20"/>
                <w:color w:val="auto"/>
              </w:rPr>
            </w:pPr>
            <w:r>
              <w:rPr>
                <w:rFonts w:ascii="Times New Roman" w:cs="Times New Roman" w:eastAsia="Times New Roman" w:hAnsi="Times New Roman"/>
                <w:sz w:val="20"/>
                <w:szCs w:val="20"/>
                <w:b w:val="1"/>
                <w:bCs w:val="1"/>
                <w:color w:val="auto"/>
                <w:w w:val="98"/>
              </w:rPr>
              <w:t>Performance</w:t>
            </w:r>
          </w:p>
        </w:tc>
        <w:tc>
          <w:tcPr>
            <w:tcW w:w="2860" w:type="dxa"/>
            <w:vAlign w:val="bottom"/>
            <w:tcBorders>
              <w:top w:val="single" w:sz="8" w:color="F2F2F2"/>
              <w:right w:val="single" w:sz="8" w:color="auto"/>
            </w:tcBorders>
            <w:gridSpan w:val="2"/>
            <w:vMerge w:val="restart"/>
            <w:shd w:val="clear" w:color="auto" w:fill="F2F2F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ANR Growth Performance</w:t>
            </w:r>
          </w:p>
        </w:tc>
        <w:tc>
          <w:tcPr>
            <w:tcW w:w="2820" w:type="dxa"/>
            <w:vAlign w:val="bottom"/>
            <w:tcBorders>
              <w:top w:val="single" w:sz="8" w:color="F2F2F2"/>
              <w:right w:val="single" w:sz="8" w:color="auto"/>
            </w:tcBorders>
            <w:shd w:val="clear" w:color="auto" w:fill="F2F2F2"/>
          </w:tcPr>
          <w:p>
            <w:pPr>
              <w:jc w:val="center"/>
              <w:spacing w:after="0" w:line="180" w:lineRule="exact"/>
              <w:rPr>
                <w:sz w:val="20"/>
                <w:szCs w:val="20"/>
                <w:color w:val="auto"/>
              </w:rPr>
            </w:pPr>
            <w:r>
              <w:rPr>
                <w:rFonts w:ascii="Times New Roman" w:cs="Times New Roman" w:eastAsia="Times New Roman" w:hAnsi="Times New Roman"/>
                <w:sz w:val="20"/>
                <w:szCs w:val="20"/>
                <w:b w:val="1"/>
                <w:bCs w:val="1"/>
                <w:color w:val="auto"/>
                <w:w w:val="99"/>
              </w:rPr>
              <w:t>ANR Growth</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42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vMerge w:val="restart"/>
            <w:shd w:val="clear" w:color="auto" w:fill="F2F2F2"/>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Performance Level</w:t>
            </w:r>
          </w:p>
        </w:tc>
        <w:tc>
          <w:tcPr>
            <w:tcW w:w="500" w:type="dxa"/>
            <w:vAlign w:val="bottom"/>
            <w:shd w:val="clear" w:color="auto" w:fill="F2F2F2"/>
          </w:tcPr>
          <w:p>
            <w:pPr>
              <w:spacing w:after="0"/>
              <w:rPr>
                <w:sz w:val="9"/>
                <w:szCs w:val="9"/>
                <w:color w:val="auto"/>
              </w:rPr>
            </w:pPr>
          </w:p>
        </w:tc>
        <w:tc>
          <w:tcPr>
            <w:tcW w:w="2300" w:type="dxa"/>
            <w:vAlign w:val="bottom"/>
            <w:tcBorders>
              <w:right w:val="single" w:sz="8" w:color="auto"/>
            </w:tcBorders>
            <w:gridSpan w:val="3"/>
            <w:vMerge w:val="continue"/>
            <w:shd w:val="clear" w:color="auto" w:fill="F2F2F2"/>
          </w:tcPr>
          <w:p>
            <w:pPr>
              <w:spacing w:after="0"/>
              <w:rPr>
                <w:sz w:val="9"/>
                <w:szCs w:val="9"/>
                <w:color w:val="auto"/>
              </w:rPr>
            </w:pPr>
          </w:p>
        </w:tc>
        <w:tc>
          <w:tcPr>
            <w:tcW w:w="2860" w:type="dxa"/>
            <w:vAlign w:val="bottom"/>
            <w:tcBorders>
              <w:right w:val="single" w:sz="8" w:color="auto"/>
            </w:tcBorders>
            <w:gridSpan w:val="2"/>
            <w:vMerge w:val="continue"/>
            <w:shd w:val="clear" w:color="auto" w:fill="F2F2F2"/>
          </w:tcPr>
          <w:p>
            <w:pPr>
              <w:spacing w:after="0"/>
              <w:rPr>
                <w:sz w:val="9"/>
                <w:szCs w:val="9"/>
                <w:color w:val="auto"/>
              </w:rPr>
            </w:pPr>
          </w:p>
        </w:tc>
        <w:tc>
          <w:tcPr>
            <w:tcW w:w="28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Payout Percentage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2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gridSpan w:val="2"/>
            <w:vMerge w:val="continue"/>
            <w:shd w:val="clear" w:color="auto" w:fill="F2F2F2"/>
          </w:tcPr>
          <w:p>
            <w:pPr>
              <w:spacing w:after="0"/>
              <w:rPr>
                <w:sz w:val="10"/>
                <w:szCs w:val="10"/>
                <w:color w:val="auto"/>
              </w:rPr>
            </w:pPr>
          </w:p>
        </w:tc>
        <w:tc>
          <w:tcPr>
            <w:tcW w:w="500" w:type="dxa"/>
            <w:vAlign w:val="bottom"/>
            <w:shd w:val="clear" w:color="auto" w:fill="F2F2F2"/>
          </w:tcPr>
          <w:p>
            <w:pPr>
              <w:spacing w:after="0"/>
              <w:rPr>
                <w:sz w:val="10"/>
                <w:szCs w:val="10"/>
                <w:color w:val="auto"/>
              </w:rPr>
            </w:pPr>
          </w:p>
        </w:tc>
        <w:tc>
          <w:tcPr>
            <w:tcW w:w="2300" w:type="dxa"/>
            <w:vAlign w:val="bottom"/>
            <w:tcBorders>
              <w:right w:val="single" w:sz="8" w:color="auto"/>
            </w:tcBorders>
            <w:gridSpan w:val="3"/>
            <w:vMerge w:val="restart"/>
            <w:shd w:val="clear" w:color="auto" w:fill="F2F2F2"/>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9"/>
              </w:rPr>
              <w:t>(as % of Target)</w:t>
            </w:r>
          </w:p>
        </w:tc>
        <w:tc>
          <w:tcPr>
            <w:tcW w:w="2860" w:type="dxa"/>
            <w:vAlign w:val="bottom"/>
            <w:tcBorders>
              <w:right w:val="single" w:sz="8" w:color="auto"/>
            </w:tcBorders>
            <w:gridSpan w:val="2"/>
            <w:vMerge w:val="restart"/>
            <w:shd w:val="clear" w:color="auto" w:fill="F2F2F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Objectives</w:t>
            </w:r>
          </w:p>
        </w:tc>
        <w:tc>
          <w:tcPr>
            <w:tcW w:w="2820" w:type="dxa"/>
            <w:vAlign w:val="bottom"/>
            <w:tcBorders>
              <w:right w:val="single" w:sz="8" w:color="auto"/>
            </w:tcBorders>
            <w:vMerge w:val="continue"/>
            <w:shd w:val="clear" w:color="auto" w:fill="F2F2F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20" w:type="dxa"/>
            <w:vAlign w:val="bottom"/>
            <w:tcBorders>
              <w:right w:val="single" w:sz="8" w:color="auto"/>
            </w:tcBorders>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1560" w:type="dxa"/>
            <w:vAlign w:val="bottom"/>
            <w:tcBorders>
              <w:right w:val="single" w:sz="8" w:color="auto"/>
            </w:tcBorders>
            <w:shd w:val="clear" w:color="auto" w:fill="F2F2F2"/>
          </w:tcPr>
          <w:p>
            <w:pPr>
              <w:spacing w:after="0"/>
              <w:rPr>
                <w:sz w:val="12"/>
                <w:szCs w:val="12"/>
                <w:color w:val="auto"/>
              </w:rPr>
            </w:pPr>
          </w:p>
        </w:tc>
        <w:tc>
          <w:tcPr>
            <w:tcW w:w="500" w:type="dxa"/>
            <w:vAlign w:val="bottom"/>
            <w:shd w:val="clear" w:color="auto" w:fill="F2F2F2"/>
          </w:tcPr>
          <w:p>
            <w:pPr>
              <w:spacing w:after="0"/>
              <w:rPr>
                <w:sz w:val="12"/>
                <w:szCs w:val="12"/>
                <w:color w:val="auto"/>
              </w:rPr>
            </w:pPr>
          </w:p>
        </w:tc>
        <w:tc>
          <w:tcPr>
            <w:tcW w:w="2300" w:type="dxa"/>
            <w:vAlign w:val="bottom"/>
            <w:tcBorders>
              <w:right w:val="single" w:sz="8" w:color="auto"/>
            </w:tcBorders>
            <w:gridSpan w:val="3"/>
            <w:vMerge w:val="continue"/>
            <w:shd w:val="clear" w:color="auto" w:fill="F2F2F2"/>
          </w:tcPr>
          <w:p>
            <w:pPr>
              <w:spacing w:after="0"/>
              <w:rPr>
                <w:sz w:val="12"/>
                <w:szCs w:val="12"/>
                <w:color w:val="auto"/>
              </w:rPr>
            </w:pPr>
          </w:p>
        </w:tc>
        <w:tc>
          <w:tcPr>
            <w:tcW w:w="2860" w:type="dxa"/>
            <w:vAlign w:val="bottom"/>
            <w:tcBorders>
              <w:right w:val="single" w:sz="8" w:color="auto"/>
            </w:tcBorders>
            <w:gridSpan w:val="2"/>
            <w:vMerge w:val="continue"/>
            <w:shd w:val="clear" w:color="auto" w:fill="F2F2F2"/>
          </w:tcPr>
          <w:p>
            <w:pPr>
              <w:spacing w:after="0"/>
              <w:rPr>
                <w:sz w:val="12"/>
                <w:szCs w:val="12"/>
                <w:color w:val="auto"/>
              </w:rPr>
            </w:pPr>
          </w:p>
        </w:tc>
        <w:tc>
          <w:tcPr>
            <w:tcW w:w="2820" w:type="dxa"/>
            <w:vAlign w:val="bottom"/>
            <w:tcBorders>
              <w:right w:val="single" w:sz="8" w:color="auto"/>
            </w:tcBorders>
            <w:vMerge w:val="restart"/>
            <w:shd w:val="clear" w:color="auto" w:fill="F2F2F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(as a % of Target)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20" w:type="dxa"/>
            <w:vAlign w:val="bottom"/>
            <w:tcBorders>
              <w:right w:val="single" w:sz="8" w:color="auto"/>
            </w:tcBorders>
          </w:tcPr>
          <w:p>
            <w:pPr>
              <w:spacing w:after="0"/>
              <w:rPr>
                <w:sz w:val="11"/>
                <w:szCs w:val="11"/>
                <w:color w:val="auto"/>
              </w:rPr>
            </w:pPr>
          </w:p>
        </w:tc>
        <w:tc>
          <w:tcPr>
            <w:tcW w:w="700" w:type="dxa"/>
            <w:vAlign w:val="bottom"/>
            <w:tcBorders>
              <w:bottom w:val="single" w:sz="8" w:color="auto"/>
            </w:tcBorders>
            <w:shd w:val="clear" w:color="auto" w:fill="F2F2F2"/>
          </w:tcPr>
          <w:p>
            <w:pPr>
              <w:spacing w:after="0"/>
              <w:rPr>
                <w:sz w:val="11"/>
                <w:szCs w:val="11"/>
                <w:color w:val="auto"/>
              </w:rPr>
            </w:pPr>
          </w:p>
        </w:tc>
        <w:tc>
          <w:tcPr>
            <w:tcW w:w="1560" w:type="dxa"/>
            <w:vAlign w:val="bottom"/>
            <w:tcBorders>
              <w:bottom w:val="single" w:sz="8" w:color="auto"/>
              <w:right w:val="single" w:sz="8" w:color="auto"/>
            </w:tcBorders>
            <w:shd w:val="clear" w:color="auto" w:fill="F2F2F2"/>
          </w:tcPr>
          <w:p>
            <w:pPr>
              <w:spacing w:after="0"/>
              <w:rPr>
                <w:sz w:val="11"/>
                <w:szCs w:val="11"/>
                <w:color w:val="auto"/>
              </w:rPr>
            </w:pPr>
          </w:p>
        </w:tc>
        <w:tc>
          <w:tcPr>
            <w:tcW w:w="500" w:type="dxa"/>
            <w:vAlign w:val="bottom"/>
            <w:tcBorders>
              <w:bottom w:val="single" w:sz="8" w:color="auto"/>
            </w:tcBorders>
            <w:shd w:val="clear" w:color="auto" w:fill="F2F2F2"/>
          </w:tcPr>
          <w:p>
            <w:pPr>
              <w:spacing w:after="0"/>
              <w:rPr>
                <w:sz w:val="11"/>
                <w:szCs w:val="11"/>
                <w:color w:val="auto"/>
              </w:rPr>
            </w:pPr>
          </w:p>
        </w:tc>
        <w:tc>
          <w:tcPr>
            <w:tcW w:w="1160" w:type="dxa"/>
            <w:vAlign w:val="bottom"/>
            <w:tcBorders>
              <w:bottom w:val="single" w:sz="8" w:color="auto"/>
              <w:right w:val="single" w:sz="8" w:color="F2F2F2"/>
            </w:tcBorders>
            <w:shd w:val="clear" w:color="auto" w:fill="F2F2F2"/>
          </w:tcPr>
          <w:p>
            <w:pPr>
              <w:spacing w:after="0"/>
              <w:rPr>
                <w:sz w:val="11"/>
                <w:szCs w:val="11"/>
                <w:color w:val="auto"/>
              </w:rPr>
            </w:pPr>
          </w:p>
        </w:tc>
        <w:tc>
          <w:tcPr>
            <w:tcW w:w="60" w:type="dxa"/>
            <w:vAlign w:val="bottom"/>
            <w:tcBorders>
              <w:bottom w:val="single" w:sz="8" w:color="auto"/>
            </w:tcBorders>
            <w:shd w:val="clear" w:color="auto" w:fill="F2F2F2"/>
          </w:tcPr>
          <w:p>
            <w:pPr>
              <w:spacing w:after="0"/>
              <w:rPr>
                <w:sz w:val="11"/>
                <w:szCs w:val="11"/>
                <w:color w:val="auto"/>
              </w:rPr>
            </w:pPr>
          </w:p>
        </w:tc>
        <w:tc>
          <w:tcPr>
            <w:tcW w:w="1080" w:type="dxa"/>
            <w:vAlign w:val="bottom"/>
            <w:tcBorders>
              <w:bottom w:val="single" w:sz="8" w:color="auto"/>
              <w:right w:val="single" w:sz="8" w:color="auto"/>
            </w:tcBorders>
            <w:shd w:val="clear" w:color="auto" w:fill="F2F2F2"/>
          </w:tcPr>
          <w:p>
            <w:pPr>
              <w:spacing w:after="0"/>
              <w:rPr>
                <w:sz w:val="11"/>
                <w:szCs w:val="11"/>
                <w:color w:val="auto"/>
              </w:rPr>
            </w:pPr>
          </w:p>
        </w:tc>
        <w:tc>
          <w:tcPr>
            <w:tcW w:w="2760" w:type="dxa"/>
            <w:vAlign w:val="bottom"/>
            <w:tcBorders>
              <w:bottom w:val="single" w:sz="8" w:color="auto"/>
              <w:right w:val="single" w:sz="8" w:color="F2F2F2"/>
            </w:tcBorders>
            <w:shd w:val="clear" w:color="auto" w:fill="F2F2F2"/>
          </w:tcPr>
          <w:p>
            <w:pPr>
              <w:spacing w:after="0"/>
              <w:rPr>
                <w:sz w:val="11"/>
                <w:szCs w:val="11"/>
                <w:color w:val="auto"/>
              </w:rPr>
            </w:pPr>
          </w:p>
        </w:tc>
        <w:tc>
          <w:tcPr>
            <w:tcW w:w="100" w:type="dxa"/>
            <w:vAlign w:val="bottom"/>
            <w:tcBorders>
              <w:bottom w:val="single" w:sz="8" w:color="auto"/>
              <w:right w:val="single" w:sz="8" w:color="auto"/>
            </w:tcBorders>
            <w:shd w:val="clear" w:color="auto" w:fill="F2F2F2"/>
          </w:tcPr>
          <w:p>
            <w:pPr>
              <w:spacing w:after="0"/>
              <w:rPr>
                <w:sz w:val="11"/>
                <w:szCs w:val="11"/>
                <w:color w:val="auto"/>
              </w:rPr>
            </w:pPr>
          </w:p>
        </w:tc>
        <w:tc>
          <w:tcPr>
            <w:tcW w:w="2820" w:type="dxa"/>
            <w:vAlign w:val="bottom"/>
            <w:tcBorders>
              <w:bottom w:val="single" w:sz="8" w:color="auto"/>
              <w:right w:val="single" w:sz="8" w:color="auto"/>
            </w:tcBorders>
            <w:vMerge w:val="continue"/>
            <w:shd w:val="clear" w:color="auto" w:fill="F2F2F2"/>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20" w:type="dxa"/>
            <w:vAlign w:val="bottom"/>
            <w:tcBorders>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gridSpan w:val="2"/>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Maximum</w:t>
            </w:r>
          </w:p>
        </w:tc>
        <w:tc>
          <w:tcPr>
            <w:tcW w:w="5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gridSpan w:val="3"/>
          </w:tcPr>
          <w:p>
            <w:pPr>
              <w:jc w:val="right"/>
              <w:ind w:right="1060"/>
              <w:spacing w:after="0" w:line="207" w:lineRule="exact"/>
              <w:rPr>
                <w:sz w:val="20"/>
                <w:szCs w:val="20"/>
                <w:color w:val="auto"/>
              </w:rPr>
            </w:pPr>
            <w:r>
              <w:rPr>
                <w:rFonts w:ascii="Times New Roman" w:cs="Times New Roman" w:eastAsia="Times New Roman" w:hAnsi="Times New Roman"/>
                <w:sz w:val="20"/>
                <w:szCs w:val="20"/>
                <w:color w:val="auto"/>
              </w:rPr>
              <w:t>≥ 131.9%</w:t>
            </w:r>
          </w:p>
        </w:tc>
        <w:tc>
          <w:tcPr>
            <w:tcW w:w="2860" w:type="dxa"/>
            <w:vAlign w:val="bottom"/>
            <w:tcBorders>
              <w:bottom w:val="single" w:sz="8" w:color="auto"/>
              <w:right w:val="single" w:sz="8" w:color="auto"/>
            </w:tcBorders>
            <w:gridSpan w:val="2"/>
          </w:tcPr>
          <w:p>
            <w:pPr>
              <w:jc w:val="right"/>
              <w:ind w:right="1160"/>
              <w:spacing w:after="0" w:line="207" w:lineRule="exact"/>
              <w:rPr>
                <w:sz w:val="20"/>
                <w:szCs w:val="20"/>
                <w:color w:val="auto"/>
              </w:rPr>
            </w:pPr>
            <w:r>
              <w:rPr>
                <w:rFonts w:ascii="Times New Roman" w:cs="Times New Roman" w:eastAsia="Times New Roman" w:hAnsi="Times New Roman"/>
                <w:sz w:val="20"/>
                <w:szCs w:val="20"/>
                <w:color w:val="auto"/>
              </w:rPr>
              <w:t>≥ 6.2%</w:t>
            </w:r>
          </w:p>
        </w:tc>
        <w:tc>
          <w:tcPr>
            <w:tcW w:w="282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700" w:type="dxa"/>
            <w:vAlign w:val="bottom"/>
            <w:tcBorders>
              <w:bottom w:val="single" w:sz="8" w:color="auto"/>
            </w:tcBorders>
            <w:shd w:val="clear" w:color="auto" w:fill="F2F2F2"/>
          </w:tcPr>
          <w:p>
            <w:pPr>
              <w:spacing w:after="0"/>
              <w:rPr>
                <w:sz w:val="19"/>
                <w:szCs w:val="19"/>
                <w:color w:val="auto"/>
              </w:rPr>
            </w:pPr>
          </w:p>
        </w:tc>
        <w:tc>
          <w:tcPr>
            <w:tcW w:w="1560" w:type="dxa"/>
            <w:vAlign w:val="bottom"/>
            <w:tcBorders>
              <w:bottom w:val="single" w:sz="8" w:color="auto"/>
              <w:right w:val="single" w:sz="8" w:color="auto"/>
            </w:tcBorders>
            <w:shd w:val="clear" w:color="auto" w:fill="F2F2F2"/>
          </w:tcPr>
          <w:p>
            <w:pPr>
              <w:jc w:val="center"/>
              <w:ind w:right="701"/>
              <w:spacing w:after="0" w:line="223" w:lineRule="exact"/>
              <w:rPr>
                <w:sz w:val="20"/>
                <w:szCs w:val="20"/>
                <w:color w:val="auto"/>
              </w:rPr>
            </w:pPr>
            <w:r>
              <w:rPr>
                <w:rFonts w:ascii="Times New Roman" w:cs="Times New Roman" w:eastAsia="Times New Roman" w:hAnsi="Times New Roman"/>
                <w:sz w:val="20"/>
                <w:szCs w:val="20"/>
                <w:color w:val="auto"/>
                <w:w w:val="99"/>
              </w:rPr>
              <w:t>Target</w:t>
            </w:r>
          </w:p>
        </w:tc>
        <w:tc>
          <w:tcPr>
            <w:tcW w:w="500" w:type="dxa"/>
            <w:vAlign w:val="bottom"/>
            <w:tcBorders>
              <w:bottom w:val="single" w:sz="8" w:color="auto"/>
            </w:tcBorders>
            <w:shd w:val="clear" w:color="auto" w:fill="F2F2F2"/>
          </w:tcPr>
          <w:p>
            <w:pPr>
              <w:spacing w:after="0"/>
              <w:rPr>
                <w:sz w:val="19"/>
                <w:szCs w:val="19"/>
                <w:color w:val="auto"/>
              </w:rPr>
            </w:pPr>
          </w:p>
        </w:tc>
        <w:tc>
          <w:tcPr>
            <w:tcW w:w="2300" w:type="dxa"/>
            <w:vAlign w:val="bottom"/>
            <w:tcBorders>
              <w:bottom w:val="single" w:sz="8" w:color="auto"/>
              <w:right w:val="single" w:sz="8" w:color="auto"/>
            </w:tcBorders>
            <w:gridSpan w:val="3"/>
            <w:shd w:val="clear" w:color="auto" w:fill="F2F2F2"/>
          </w:tcPr>
          <w:p>
            <w:pPr>
              <w:jc w:val="right"/>
              <w:ind w:right="1060"/>
              <w:spacing w:after="0" w:line="223" w:lineRule="exact"/>
              <w:rPr>
                <w:sz w:val="20"/>
                <w:szCs w:val="20"/>
                <w:color w:val="auto"/>
              </w:rPr>
            </w:pPr>
            <w:r>
              <w:rPr>
                <w:rFonts w:ascii="Times New Roman" w:cs="Times New Roman" w:eastAsia="Times New Roman" w:hAnsi="Times New Roman"/>
                <w:sz w:val="20"/>
                <w:szCs w:val="20"/>
                <w:color w:val="auto"/>
              </w:rPr>
              <w:t>100.0%</w:t>
            </w:r>
          </w:p>
        </w:tc>
        <w:tc>
          <w:tcPr>
            <w:tcW w:w="2760" w:type="dxa"/>
            <w:vAlign w:val="bottom"/>
            <w:tcBorders>
              <w:bottom w:val="single" w:sz="8" w:color="auto"/>
              <w:right w:val="single" w:sz="8" w:color="F2F2F2"/>
            </w:tcBorders>
            <w:shd w:val="clear" w:color="auto" w:fill="F2F2F2"/>
          </w:tcPr>
          <w:p>
            <w:pPr>
              <w:jc w:val="right"/>
              <w:ind w:right="981"/>
              <w:spacing w:after="0" w:line="223" w:lineRule="exact"/>
              <w:rPr>
                <w:sz w:val="20"/>
                <w:szCs w:val="20"/>
                <w:color w:val="auto"/>
              </w:rPr>
            </w:pPr>
            <w:r>
              <w:rPr>
                <w:rFonts w:ascii="Times New Roman" w:cs="Times New Roman" w:eastAsia="Times New Roman" w:hAnsi="Times New Roman"/>
                <w:sz w:val="20"/>
                <w:szCs w:val="20"/>
                <w:color w:val="auto"/>
              </w:rPr>
              <w:t>4.7%</w:t>
            </w:r>
          </w:p>
        </w:tc>
        <w:tc>
          <w:tcPr>
            <w:tcW w:w="100" w:type="dxa"/>
            <w:vAlign w:val="bottom"/>
            <w:tcBorders>
              <w:bottom w:val="single" w:sz="8" w:color="auto"/>
              <w:right w:val="single" w:sz="8" w:color="auto"/>
            </w:tcBorders>
            <w:shd w:val="clear" w:color="auto" w:fill="F2F2F2"/>
          </w:tcPr>
          <w:p>
            <w:pPr>
              <w:spacing w:after="0"/>
              <w:rPr>
                <w:sz w:val="19"/>
                <w:szCs w:val="19"/>
                <w:color w:val="auto"/>
              </w:rPr>
            </w:pPr>
          </w:p>
        </w:tc>
        <w:tc>
          <w:tcPr>
            <w:tcW w:w="2820" w:type="dxa"/>
            <w:vAlign w:val="bottom"/>
            <w:tcBorders>
              <w:bottom w:val="single" w:sz="8" w:color="auto"/>
              <w:right w:val="single" w:sz="8" w:color="auto"/>
            </w:tcBorders>
            <w:shd w:val="clear" w:color="auto" w:fill="F2F2F2"/>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tcPr>
          <w:p>
            <w:pPr>
              <w:jc w:val="center"/>
              <w:ind w:right="1"/>
              <w:spacing w:after="0" w:line="223" w:lineRule="exact"/>
              <w:rPr>
                <w:sz w:val="20"/>
                <w:szCs w:val="20"/>
                <w:color w:val="auto"/>
              </w:rPr>
            </w:pPr>
            <w:r>
              <w:rPr>
                <w:rFonts w:ascii="Times New Roman" w:cs="Times New Roman" w:eastAsia="Times New Roman" w:hAnsi="Times New Roman"/>
                <w:sz w:val="20"/>
                <w:szCs w:val="20"/>
                <w:color w:val="auto"/>
                <w:w w:val="98"/>
              </w:rPr>
              <w:t>Threshold</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63.8%</w:t>
            </w:r>
          </w:p>
        </w:tc>
        <w:tc>
          <w:tcPr>
            <w:tcW w:w="108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tcBorders>
          </w:tcPr>
          <w:p>
            <w:pPr>
              <w:jc w:val="right"/>
              <w:ind w:right="981"/>
              <w:spacing w:after="0" w:line="223" w:lineRule="exact"/>
              <w:rPr>
                <w:sz w:val="20"/>
                <w:szCs w:val="20"/>
                <w:color w:val="auto"/>
              </w:rPr>
            </w:pPr>
            <w:r>
              <w:rPr>
                <w:rFonts w:ascii="Times New Roman" w:cs="Times New Roman" w:eastAsia="Times New Roman" w:hAnsi="Times New Roman"/>
                <w:sz w:val="20"/>
                <w:szCs w:val="20"/>
                <w:color w:val="auto"/>
              </w:rPr>
              <w:t>3.0%</w:t>
            </w:r>
          </w:p>
        </w:tc>
        <w:tc>
          <w:tcPr>
            <w:tcW w:w="1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gridSpan w:val="2"/>
          </w:tcPr>
          <w:p>
            <w:pPr>
              <w:jc w:val="center"/>
              <w:ind w:right="1"/>
              <w:spacing w:after="0" w:line="223" w:lineRule="exact"/>
              <w:rPr>
                <w:sz w:val="20"/>
                <w:szCs w:val="20"/>
                <w:color w:val="auto"/>
              </w:rPr>
            </w:pPr>
            <w:r>
              <w:rPr>
                <w:rFonts w:ascii="Times New Roman" w:cs="Times New Roman" w:eastAsia="Times New Roman" w:hAnsi="Times New Roman"/>
                <w:sz w:val="20"/>
                <w:szCs w:val="20"/>
                <w:color w:val="auto"/>
                <w:w w:val="98"/>
              </w:rPr>
              <w:t>&lt; Threshold</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&lt; 63.8%</w:t>
            </w:r>
          </w:p>
        </w:tc>
        <w:tc>
          <w:tcPr>
            <w:tcW w:w="1080" w:type="dxa"/>
            <w:vAlign w:val="bottom"/>
            <w:tcBorders>
              <w:bottom w:val="single" w:sz="8" w:color="auto"/>
              <w:right w:val="single" w:sz="8" w:color="auto"/>
            </w:tcBorders>
          </w:tcPr>
          <w:p>
            <w:pPr>
              <w:spacing w:after="0"/>
              <w:rPr>
                <w:sz w:val="19"/>
                <w:szCs w:val="19"/>
                <w:color w:val="auto"/>
              </w:rPr>
            </w:pPr>
          </w:p>
        </w:tc>
        <w:tc>
          <w:tcPr>
            <w:tcW w:w="2760" w:type="dxa"/>
            <w:vAlign w:val="bottom"/>
            <w:tcBorders>
              <w:bottom w:val="single" w:sz="8" w:color="auto"/>
            </w:tcBorders>
          </w:tcPr>
          <w:p>
            <w:pPr>
              <w:jc w:val="right"/>
              <w:ind w:right="961"/>
              <w:spacing w:after="0" w:line="223" w:lineRule="exact"/>
              <w:rPr>
                <w:sz w:val="20"/>
                <w:szCs w:val="20"/>
                <w:color w:val="auto"/>
              </w:rPr>
            </w:pPr>
            <w:r>
              <w:rPr>
                <w:rFonts w:ascii="Times New Roman" w:cs="Times New Roman" w:eastAsia="Times New Roman" w:hAnsi="Times New Roman"/>
                <w:sz w:val="20"/>
                <w:szCs w:val="20"/>
                <w:color w:val="auto"/>
              </w:rPr>
              <w:t>&lt; 3.0%</w:t>
            </w:r>
          </w:p>
        </w:tc>
        <w:tc>
          <w:tcPr>
            <w:tcW w:w="10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3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TSR Modifier</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0" w:type="dxa"/>
            <w:vAlign w:val="bottom"/>
            <w:tcBorders>
              <w:top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420" w:type="dxa"/>
            <w:vAlign w:val="bottom"/>
            <w:tcBorders>
              <w:right w:val="single" w:sz="8" w:color="auto"/>
            </w:tcBorders>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2060" w:type="dxa"/>
            <w:vAlign w:val="bottom"/>
            <w:gridSpan w:val="2"/>
            <w:shd w:val="clear" w:color="auto" w:fill="F2F2F2"/>
          </w:tcPr>
          <w:p>
            <w:pPr>
              <w:jc w:val="center"/>
              <w:ind w:left="321"/>
              <w:spacing w:after="0" w:line="200" w:lineRule="exact"/>
              <w:rPr>
                <w:sz w:val="20"/>
                <w:szCs w:val="20"/>
                <w:color w:val="auto"/>
              </w:rPr>
            </w:pPr>
            <w:r>
              <w:rPr>
                <w:rFonts w:ascii="Times New Roman" w:cs="Times New Roman" w:eastAsia="Times New Roman" w:hAnsi="Times New Roman"/>
                <w:sz w:val="20"/>
                <w:szCs w:val="20"/>
                <w:b w:val="1"/>
                <w:bCs w:val="1"/>
                <w:color w:val="auto"/>
                <w:w w:val="98"/>
              </w:rPr>
              <w:t>TSR Relative</w:t>
            </w:r>
          </w:p>
        </w:tc>
        <w:tc>
          <w:tcPr>
            <w:tcW w:w="1160" w:type="dxa"/>
            <w:vAlign w:val="bottom"/>
            <w:tcBorders>
              <w:right w:val="single" w:sz="8" w:color="auto"/>
            </w:tcBorders>
            <w:shd w:val="clear" w:color="auto" w:fill="F2F2F2"/>
          </w:tcPr>
          <w:p>
            <w:pPr>
              <w:spacing w:after="0"/>
              <w:rPr>
                <w:sz w:val="17"/>
                <w:szCs w:val="17"/>
                <w:color w:val="auto"/>
              </w:rPr>
            </w:pPr>
          </w:p>
        </w:tc>
        <w:tc>
          <w:tcPr>
            <w:tcW w:w="60" w:type="dxa"/>
            <w:vAlign w:val="bottom"/>
            <w:shd w:val="clear" w:color="auto" w:fill="F2F2F2"/>
          </w:tcPr>
          <w:p>
            <w:pPr>
              <w:spacing w:after="0"/>
              <w:rPr>
                <w:sz w:val="17"/>
                <w:szCs w:val="17"/>
                <w:color w:val="auto"/>
              </w:rPr>
            </w:pPr>
          </w:p>
        </w:tc>
        <w:tc>
          <w:tcPr>
            <w:tcW w:w="1080" w:type="dxa"/>
            <w:vAlign w:val="bottom"/>
            <w:tcBorders>
              <w:right w:val="single" w:sz="8" w:color="F2F2F2"/>
            </w:tcBorders>
            <w:shd w:val="clear" w:color="auto" w:fill="F2F2F2"/>
          </w:tcPr>
          <w:p>
            <w:pPr>
              <w:spacing w:after="0"/>
              <w:rPr>
                <w:sz w:val="17"/>
                <w:szCs w:val="17"/>
                <w:color w:val="auto"/>
              </w:rPr>
            </w:pPr>
          </w:p>
        </w:tc>
        <w:tc>
          <w:tcPr>
            <w:tcW w:w="2760" w:type="dxa"/>
            <w:vAlign w:val="bottom"/>
            <w:tcBorders>
              <w:right w:val="single" w:sz="8" w:color="auto"/>
            </w:tcBorders>
            <w:vMerge w:val="restart"/>
            <w:shd w:val="clear" w:color="auto" w:fill="F2F2F2"/>
          </w:tcPr>
          <w:p>
            <w:pPr>
              <w:jc w:val="right"/>
              <w:ind w:right="1281"/>
              <w:spacing w:after="0"/>
              <w:rPr>
                <w:sz w:val="20"/>
                <w:szCs w:val="20"/>
                <w:color w:val="auto"/>
              </w:rPr>
            </w:pPr>
            <w:r>
              <w:rPr>
                <w:rFonts w:ascii="Times New Roman" w:cs="Times New Roman" w:eastAsia="Times New Roman" w:hAnsi="Times New Roman"/>
                <w:sz w:val="20"/>
                <w:szCs w:val="20"/>
                <w:b w:val="1"/>
                <w:bCs w:val="1"/>
                <w:color w:val="auto"/>
              </w:rPr>
              <w:t>TSR Modifier</w:t>
            </w: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20" w:type="dxa"/>
            <w:vAlign w:val="bottom"/>
            <w:tcBorders>
              <w:right w:val="single" w:sz="8" w:color="auto"/>
            </w:tcBorders>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3220" w:type="dxa"/>
            <w:vAlign w:val="bottom"/>
            <w:tcBorders>
              <w:right w:val="single" w:sz="8" w:color="auto"/>
            </w:tcBorders>
            <w:gridSpan w:val="3"/>
            <w:vMerge w:val="restart"/>
            <w:shd w:val="clear" w:color="auto" w:fill="F2F2F2"/>
          </w:tcPr>
          <w:p>
            <w:pPr>
              <w:jc w:val="center"/>
              <w:ind w:right="641"/>
              <w:spacing w:after="0"/>
              <w:rPr>
                <w:sz w:val="20"/>
                <w:szCs w:val="20"/>
                <w:color w:val="auto"/>
              </w:rPr>
            </w:pPr>
            <w:r>
              <w:rPr>
                <w:rFonts w:ascii="Times New Roman" w:cs="Times New Roman" w:eastAsia="Times New Roman" w:hAnsi="Times New Roman"/>
                <w:sz w:val="20"/>
                <w:szCs w:val="20"/>
                <w:b w:val="1"/>
                <w:bCs w:val="1"/>
                <w:color w:val="auto"/>
                <w:w w:val="99"/>
              </w:rPr>
              <w:t>Performance Percentile</w:t>
            </w:r>
          </w:p>
        </w:tc>
        <w:tc>
          <w:tcPr>
            <w:tcW w:w="60" w:type="dxa"/>
            <w:vAlign w:val="bottom"/>
            <w:shd w:val="clear" w:color="auto" w:fill="F2F2F2"/>
          </w:tcPr>
          <w:p>
            <w:pPr>
              <w:spacing w:after="0"/>
              <w:rPr>
                <w:sz w:val="12"/>
                <w:szCs w:val="12"/>
                <w:color w:val="auto"/>
              </w:rPr>
            </w:pPr>
          </w:p>
        </w:tc>
        <w:tc>
          <w:tcPr>
            <w:tcW w:w="1080" w:type="dxa"/>
            <w:vAlign w:val="bottom"/>
            <w:tcBorders>
              <w:right w:val="single" w:sz="8" w:color="F2F2F2"/>
            </w:tcBorders>
            <w:shd w:val="clear" w:color="auto" w:fill="F2F2F2"/>
          </w:tcPr>
          <w:p>
            <w:pPr>
              <w:spacing w:after="0"/>
              <w:rPr>
                <w:sz w:val="12"/>
                <w:szCs w:val="12"/>
                <w:color w:val="auto"/>
              </w:rPr>
            </w:pPr>
          </w:p>
        </w:tc>
        <w:tc>
          <w:tcPr>
            <w:tcW w:w="2760" w:type="dxa"/>
            <w:vAlign w:val="bottom"/>
            <w:tcBorders>
              <w:right w:val="single" w:sz="8" w:color="auto"/>
            </w:tcBorders>
            <w:vMerge w:val="continue"/>
            <w:shd w:val="clear" w:color="auto" w:fill="F2F2F2"/>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20" w:type="dxa"/>
            <w:vAlign w:val="bottom"/>
            <w:tcBorders>
              <w:right w:val="single" w:sz="8" w:color="auto"/>
            </w:tcBorders>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3220" w:type="dxa"/>
            <w:vAlign w:val="bottom"/>
            <w:tcBorders>
              <w:bottom w:val="single" w:sz="8" w:color="F2F2F2"/>
              <w:right w:val="single" w:sz="8" w:color="auto"/>
            </w:tcBorders>
            <w:gridSpan w:val="3"/>
            <w:vMerge w:val="continue"/>
            <w:shd w:val="clear" w:color="auto" w:fill="F2F2F2"/>
          </w:tcPr>
          <w:p>
            <w:pPr>
              <w:spacing w:after="0"/>
              <w:rPr>
                <w:sz w:val="16"/>
                <w:szCs w:val="16"/>
                <w:color w:val="auto"/>
              </w:rPr>
            </w:pPr>
          </w:p>
        </w:tc>
        <w:tc>
          <w:tcPr>
            <w:tcW w:w="60" w:type="dxa"/>
            <w:vAlign w:val="bottom"/>
            <w:tcBorders>
              <w:bottom w:val="single" w:sz="8" w:color="F2F2F2"/>
            </w:tcBorders>
            <w:shd w:val="clear" w:color="auto" w:fill="F2F2F2"/>
          </w:tcPr>
          <w:p>
            <w:pPr>
              <w:spacing w:after="0"/>
              <w:rPr>
                <w:sz w:val="16"/>
                <w:szCs w:val="16"/>
                <w:color w:val="auto"/>
              </w:rPr>
            </w:pPr>
          </w:p>
        </w:tc>
        <w:tc>
          <w:tcPr>
            <w:tcW w:w="1080" w:type="dxa"/>
            <w:vAlign w:val="bottom"/>
            <w:tcBorders>
              <w:bottom w:val="single" w:sz="8" w:color="F2F2F2"/>
              <w:right w:val="single" w:sz="8" w:color="F2F2F2"/>
            </w:tcBorders>
            <w:shd w:val="clear" w:color="auto" w:fill="F2F2F2"/>
          </w:tcPr>
          <w:p>
            <w:pPr>
              <w:spacing w:after="0"/>
              <w:rPr>
                <w:sz w:val="16"/>
                <w:szCs w:val="16"/>
                <w:color w:val="auto"/>
              </w:rPr>
            </w:pPr>
          </w:p>
        </w:tc>
        <w:tc>
          <w:tcPr>
            <w:tcW w:w="2760" w:type="dxa"/>
            <w:vAlign w:val="bottom"/>
            <w:tcBorders>
              <w:bottom w:val="single" w:sz="8" w:color="F2F2F2"/>
              <w:right w:val="single" w:sz="8" w:color="auto"/>
            </w:tcBorders>
            <w:shd w:val="clear" w:color="auto" w:fill="F2F2F2"/>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0" w:type="dxa"/>
            <w:vAlign w:val="bottom"/>
            <w:tcBorders>
              <w:right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2"/>
          </w:tcPr>
          <w:p>
            <w:pPr>
              <w:jc w:val="center"/>
              <w:ind w:left="301"/>
              <w:spacing w:after="0" w:line="207" w:lineRule="exact"/>
              <w:rPr>
                <w:sz w:val="20"/>
                <w:szCs w:val="20"/>
                <w:color w:val="auto"/>
              </w:rPr>
            </w:pPr>
            <w:r>
              <w:rPr>
                <w:rFonts w:ascii="Times New Roman" w:cs="Times New Roman" w:eastAsia="Times New Roman" w:hAnsi="Times New Roman"/>
                <w:sz w:val="20"/>
                <w:szCs w:val="20"/>
                <w:color w:val="auto"/>
                <w:w w:val="98"/>
              </w:rPr>
              <w:t>≥ 75th percentile</w:t>
            </w:r>
          </w:p>
        </w:tc>
        <w:tc>
          <w:tcPr>
            <w:tcW w:w="1160" w:type="dxa"/>
            <w:vAlign w:val="bottom"/>
            <w:tcBorders>
              <w:top w:val="single" w:sz="8" w:color="auto"/>
              <w:bottom w:val="single" w:sz="8" w:color="auto"/>
              <w:right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right w:val="single" w:sz="8" w:color="auto"/>
            </w:tcBorders>
          </w:tcPr>
          <w:p>
            <w:pPr>
              <w:jc w:val="center"/>
              <w:ind w:right="1061"/>
              <w:spacing w:after="0" w:line="207" w:lineRule="exact"/>
              <w:rPr>
                <w:sz w:val="20"/>
                <w:szCs w:val="20"/>
                <w:color w:val="auto"/>
              </w:rPr>
            </w:pPr>
            <w:r>
              <w:rPr>
                <w:rFonts w:ascii="Times New Roman" w:cs="Times New Roman" w:eastAsia="Times New Roman" w:hAnsi="Times New Roman"/>
                <w:sz w:val="20"/>
                <w:szCs w:val="20"/>
                <w:color w:val="auto"/>
                <w:w w:val="98"/>
              </w:rPr>
              <w:t>20%</w:t>
            </w: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700" w:type="dxa"/>
            <w:vAlign w:val="bottom"/>
            <w:tcBorders>
              <w:bottom w:val="single" w:sz="8" w:color="auto"/>
            </w:tcBorders>
            <w:shd w:val="clear" w:color="auto" w:fill="F2F2F2"/>
          </w:tcPr>
          <w:p>
            <w:pPr>
              <w:spacing w:after="0"/>
              <w:rPr>
                <w:sz w:val="19"/>
                <w:szCs w:val="19"/>
                <w:color w:val="auto"/>
              </w:rPr>
            </w:pPr>
          </w:p>
        </w:tc>
        <w:tc>
          <w:tcPr>
            <w:tcW w:w="2060" w:type="dxa"/>
            <w:vAlign w:val="bottom"/>
            <w:tcBorders>
              <w:bottom w:val="single" w:sz="8" w:color="auto"/>
            </w:tcBorders>
            <w:gridSpan w:val="2"/>
            <w:shd w:val="clear" w:color="auto" w:fill="F2F2F2"/>
          </w:tcPr>
          <w:p>
            <w:pPr>
              <w:jc w:val="center"/>
              <w:ind w:left="301"/>
              <w:spacing w:after="0" w:line="223" w:lineRule="exact"/>
              <w:rPr>
                <w:sz w:val="20"/>
                <w:szCs w:val="20"/>
                <w:color w:val="auto"/>
              </w:rPr>
            </w:pPr>
            <w:r>
              <w:rPr>
                <w:rFonts w:ascii="Times New Roman" w:cs="Times New Roman" w:eastAsia="Times New Roman" w:hAnsi="Times New Roman"/>
                <w:sz w:val="20"/>
                <w:szCs w:val="20"/>
                <w:color w:val="auto"/>
                <w:w w:val="98"/>
              </w:rPr>
              <w:t>50th percentile</w:t>
            </w:r>
          </w:p>
        </w:tc>
        <w:tc>
          <w:tcPr>
            <w:tcW w:w="1160" w:type="dxa"/>
            <w:vAlign w:val="bottom"/>
            <w:tcBorders>
              <w:bottom w:val="single" w:sz="8" w:color="auto"/>
              <w:right w:val="single" w:sz="8" w:color="auto"/>
            </w:tcBorders>
            <w:shd w:val="clear" w:color="auto" w:fill="F2F2F2"/>
          </w:tcPr>
          <w:p>
            <w:pPr>
              <w:spacing w:after="0"/>
              <w:rPr>
                <w:sz w:val="19"/>
                <w:szCs w:val="19"/>
                <w:color w:val="auto"/>
              </w:rPr>
            </w:pPr>
          </w:p>
        </w:tc>
        <w:tc>
          <w:tcPr>
            <w:tcW w:w="60" w:type="dxa"/>
            <w:vAlign w:val="bottom"/>
            <w:tcBorders>
              <w:bottom w:val="single" w:sz="8" w:color="auto"/>
            </w:tcBorders>
            <w:shd w:val="clear" w:color="auto" w:fill="F2F2F2"/>
          </w:tcPr>
          <w:p>
            <w:pPr>
              <w:spacing w:after="0"/>
              <w:rPr>
                <w:sz w:val="19"/>
                <w:szCs w:val="19"/>
                <w:color w:val="auto"/>
              </w:rPr>
            </w:pPr>
          </w:p>
        </w:tc>
        <w:tc>
          <w:tcPr>
            <w:tcW w:w="1080" w:type="dxa"/>
            <w:vAlign w:val="bottom"/>
            <w:tcBorders>
              <w:bottom w:val="single" w:sz="8" w:color="auto"/>
              <w:right w:val="single" w:sz="8" w:color="F2F2F2"/>
            </w:tcBorders>
            <w:shd w:val="clear" w:color="auto" w:fill="F2F2F2"/>
          </w:tcPr>
          <w:p>
            <w:pPr>
              <w:spacing w:after="0"/>
              <w:rPr>
                <w:sz w:val="19"/>
                <w:szCs w:val="19"/>
                <w:color w:val="auto"/>
              </w:rPr>
            </w:pPr>
          </w:p>
        </w:tc>
        <w:tc>
          <w:tcPr>
            <w:tcW w:w="2760" w:type="dxa"/>
            <w:vAlign w:val="bottom"/>
            <w:tcBorders>
              <w:bottom w:val="single" w:sz="8" w:color="auto"/>
              <w:right w:val="single" w:sz="8" w:color="auto"/>
            </w:tcBorders>
            <w:shd w:val="clear" w:color="auto" w:fill="F2F2F2"/>
          </w:tcPr>
          <w:p>
            <w:pPr>
              <w:jc w:val="center"/>
              <w:ind w:right="1081"/>
              <w:spacing w:after="0" w:line="223" w:lineRule="exact"/>
              <w:rPr>
                <w:sz w:val="20"/>
                <w:szCs w:val="20"/>
                <w:color w:val="auto"/>
              </w:rPr>
            </w:pPr>
            <w:r>
              <w:rPr>
                <w:rFonts w:ascii="Times New Roman" w:cs="Times New Roman" w:eastAsia="Times New Roman" w:hAnsi="Times New Roman"/>
                <w:sz w:val="20"/>
                <w:szCs w:val="20"/>
                <w:color w:val="auto"/>
                <w:w w:val="97"/>
              </w:rPr>
              <w:t>0%</w:t>
            </w: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Borders>
              <w:right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left="301"/>
              <w:spacing w:after="0" w:line="223" w:lineRule="exact"/>
              <w:rPr>
                <w:sz w:val="20"/>
                <w:szCs w:val="20"/>
                <w:color w:val="auto"/>
              </w:rPr>
            </w:pPr>
            <w:r>
              <w:rPr>
                <w:rFonts w:ascii="Times New Roman" w:cs="Times New Roman" w:eastAsia="Times New Roman" w:hAnsi="Times New Roman"/>
                <w:sz w:val="20"/>
                <w:szCs w:val="20"/>
                <w:color w:val="474747"/>
                <w:w w:val="98"/>
              </w:rPr>
              <w:t xml:space="preserve">≤ </w:t>
            </w:r>
            <w:r>
              <w:rPr>
                <w:rFonts w:ascii="Times New Roman" w:cs="Times New Roman" w:eastAsia="Times New Roman" w:hAnsi="Times New Roman"/>
                <w:sz w:val="20"/>
                <w:szCs w:val="20"/>
                <w:color w:val="000000"/>
                <w:w w:val="98"/>
              </w:rPr>
              <w:t>25th percentile</w:t>
            </w:r>
          </w:p>
        </w:tc>
        <w:tc>
          <w:tcPr>
            <w:tcW w:w="116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760" w:type="dxa"/>
            <w:vAlign w:val="bottom"/>
            <w:tcBorders>
              <w:bottom w:val="single" w:sz="8" w:color="auto"/>
              <w:right w:val="single" w:sz="8" w:color="auto"/>
            </w:tcBorders>
          </w:tcPr>
          <w:p>
            <w:pPr>
              <w:jc w:val="center"/>
              <w:ind w:right="1081"/>
              <w:spacing w:after="0" w:line="223" w:lineRule="exact"/>
              <w:rPr>
                <w:sz w:val="20"/>
                <w:szCs w:val="20"/>
                <w:color w:val="auto"/>
              </w:rPr>
            </w:pPr>
            <w:r>
              <w:rPr>
                <w:rFonts w:ascii="Times New Roman" w:cs="Times New Roman" w:eastAsia="Times New Roman" w:hAnsi="Times New Roman"/>
                <w:sz w:val="20"/>
                <w:szCs w:val="20"/>
                <w:color w:val="auto"/>
                <w:w w:val="96"/>
              </w:rPr>
              <w:t>-20%</w:t>
            </w: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1"/>
        </w:trPr>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B-3</w:t>
            </w: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27" w:name="page128"/>
    <w:bookmarkEnd w:id="127"/>
    <w:p>
      <w:pPr>
        <w:ind w:left="9960"/>
        <w:spacing w:after="0"/>
        <w:rPr>
          <w:sz w:val="20"/>
          <w:szCs w:val="20"/>
          <w:color w:val="auto"/>
        </w:rPr>
      </w:pPr>
      <w:r>
        <w:rPr>
          <w:rFonts w:ascii="Times New Roman" w:cs="Times New Roman" w:eastAsia="Times New Roman" w:hAnsi="Times New Roman"/>
          <w:sz w:val="19"/>
          <w:szCs w:val="19"/>
          <w:b w:val="1"/>
          <w:bCs w:val="1"/>
          <w:u w:val="single" w:color="auto"/>
          <w:color w:val="auto"/>
        </w:rPr>
        <w:t>SCHEDULE 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6F2F9F"/>
        </w:rPr>
        <w:t>Willis Towers Watson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6F2F9F"/>
        </w:rPr>
        <w:t>Global Employee Personal Information Protection Notice</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Last Updated</w:t>
      </w:r>
      <w:r>
        <w:rPr>
          <w:rFonts w:ascii="Times New Roman" w:cs="Times New Roman" w:eastAsia="Times New Roman" w:hAnsi="Times New Roman"/>
          <w:sz w:val="20"/>
          <w:szCs w:val="20"/>
          <w:b w:val="1"/>
          <w:bCs w:val="1"/>
          <w:color w:val="auto"/>
        </w:rPr>
        <w:t>: December 2025</w:t>
      </w:r>
    </w:p>
    <w:p>
      <w:pPr>
        <w:spacing w:after="0" w:line="216" w:lineRule="exact"/>
        <w:rPr>
          <w:sz w:val="20"/>
          <w:szCs w:val="20"/>
          <w:color w:val="auto"/>
        </w:rPr>
      </w:pPr>
    </w:p>
    <w:p>
      <w:pPr>
        <w:ind w:left="760" w:hanging="752"/>
        <w:spacing w:after="0"/>
        <w:tabs>
          <w:tab w:leader="none" w:pos="760" w:val="left"/>
        </w:tabs>
        <w:numPr>
          <w:ilvl w:val="0"/>
          <w:numId w:val="136"/>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Introduction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Willis Towers Watson operates as a global business through its affiliated entities (together “</w:t>
      </w:r>
      <w:r>
        <w:rPr>
          <w:rFonts w:ascii="Times New Roman" w:cs="Times New Roman" w:eastAsia="Times New Roman" w:hAnsi="Times New Roman"/>
          <w:sz w:val="20"/>
          <w:szCs w:val="20"/>
          <w:b w:val="1"/>
          <w:bCs w:val="1"/>
          <w:color w:val="auto"/>
        </w:rPr>
        <w:t>the Willis Towers Watson Group</w:t>
      </w:r>
      <w:r>
        <w:rPr>
          <w:rFonts w:ascii="Times New Roman" w:cs="Times New Roman" w:eastAsia="Times New Roman" w:hAnsi="Times New Roman"/>
          <w:sz w:val="20"/>
          <w:szCs w:val="20"/>
          <w:color w:val="auto"/>
        </w:rPr>
        <w:t>”, “WTW”).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WTW values the trust of its employees worldwide and is committed to protecting their personal information.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WTW operates in many different countries. Some of these countries have laws related to the collection, use, transfer and disclosure of the personal information of individuals, including our employees. The purpose of this Global Employee Personal Information Protection Notice (the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is to give you information about what personal information WTW collects, uses, transfers and discloses, and why.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WTW entity is responsible for collecting and processing your personal data is the entity that employs you. WTW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81" w:lineRule="exact"/>
        <w:rPr>
          <w:sz w:val="20"/>
          <w:szCs w:val="20"/>
          <w:color w:val="auto"/>
        </w:rPr>
      </w:pPr>
    </w:p>
    <w:p>
      <w:pPr>
        <w:ind w:left="760" w:hanging="752"/>
        <w:spacing w:after="0"/>
        <w:tabs>
          <w:tab w:leader="none" w:pos="760" w:val="left"/>
        </w:tabs>
        <w:numPr>
          <w:ilvl w:val="0"/>
          <w:numId w:val="137"/>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What Personal Information about you that we collect, and how we collect Your Personal Information</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course of your employment, we may have collected or will collect information about you and your working relationship with us, your spouse, domestic/civil partner and/or dependents (“</w:t>
      </w:r>
      <w:r>
        <w:rPr>
          <w:rFonts w:ascii="Times New Roman" w:cs="Times New Roman" w:eastAsia="Times New Roman" w:hAnsi="Times New Roman"/>
          <w:sz w:val="20"/>
          <w:szCs w:val="20"/>
          <w:b w:val="1"/>
          <w:bCs w:val="1"/>
          <w:color w:val="auto"/>
        </w:rPr>
        <w:t>Dependents</w:t>
      </w:r>
      <w:r>
        <w:rPr>
          <w:rFonts w:ascii="Times New Roman" w:cs="Times New Roman" w:eastAsia="Times New Roman" w:hAnsi="Times New Roman"/>
          <w:sz w:val="20"/>
          <w:szCs w:val="20"/>
          <w:color w:val="auto"/>
        </w:rPr>
        <w:t>”).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WTW intranet site may provide additional details or information.</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2E2C30"/>
        </w:rPr>
        <w:t xml:space="preserve">We may also collect additional Personal Information in operating our business and interacting with individuals in the course of our business, including employment. This may at times include “sensitive" information (otherwise known as “special categories of personal information” under the </w:t>
      </w:r>
      <w:r>
        <w:rPr>
          <w:rFonts w:ascii="Times New Roman" w:cs="Times New Roman" w:eastAsia="Times New Roman" w:hAnsi="Times New Roman"/>
          <w:sz w:val="19"/>
          <w:szCs w:val="19"/>
          <w:color w:val="000000"/>
        </w:rPr>
        <w:t>General Data Protection Regulation (“</w:t>
      </w:r>
      <w:r>
        <w:rPr>
          <w:rFonts w:ascii="Times New Roman" w:cs="Times New Roman" w:eastAsia="Times New Roman" w:hAnsi="Times New Roman"/>
          <w:sz w:val="19"/>
          <w:szCs w:val="19"/>
          <w:b w:val="1"/>
          <w:bCs w:val="1"/>
          <w:color w:val="2E2C30"/>
        </w:rPr>
        <w:t>GDPR</w:t>
      </w:r>
      <w:r>
        <w:rPr>
          <w:rFonts w:ascii="Times New Roman" w:cs="Times New Roman" w:eastAsia="Times New Roman" w:hAnsi="Times New Roman"/>
          <w:sz w:val="19"/>
          <w:szCs w:val="19"/>
          <w:color w:val="2E2C30"/>
        </w:rPr>
        <w:t>”), “sensitive data” under t</w:t>
      </w:r>
      <w:r>
        <w:rPr>
          <w:rFonts w:ascii="Times New Roman" w:cs="Times New Roman" w:eastAsia="Times New Roman" w:hAnsi="Times New Roman"/>
          <w:sz w:val="19"/>
          <w:szCs w:val="19"/>
          <w:color w:val="000000"/>
        </w:rPr>
        <w:t>he Saudi Arabian Personal Data Protection Law (“</w:t>
      </w:r>
      <w:r>
        <w:rPr>
          <w:rFonts w:ascii="Times New Roman" w:cs="Times New Roman" w:eastAsia="Times New Roman" w:hAnsi="Times New Roman"/>
          <w:sz w:val="19"/>
          <w:szCs w:val="19"/>
          <w:b w:val="1"/>
          <w:bCs w:val="1"/>
          <w:color w:val="000000"/>
        </w:rPr>
        <w:t>PDPL</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2E2C30"/>
        </w:rPr>
        <w:t>, “sensitive personal data” under the Cayman Islands Data Protection Law (“</w:t>
      </w:r>
      <w:r>
        <w:rPr>
          <w:rFonts w:ascii="Times New Roman" w:cs="Times New Roman" w:eastAsia="Times New Roman" w:hAnsi="Times New Roman"/>
          <w:sz w:val="19"/>
          <w:szCs w:val="19"/>
          <w:b w:val="1"/>
          <w:bCs w:val="1"/>
          <w:color w:val="2E2C30"/>
        </w:rPr>
        <w:t>DPL</w:t>
      </w:r>
      <w:r>
        <w:rPr>
          <w:rFonts w:ascii="Times New Roman" w:cs="Times New Roman" w:eastAsia="Times New Roman" w:hAnsi="Times New Roman"/>
          <w:sz w:val="19"/>
          <w:szCs w:val="19"/>
          <w:color w:val="2E2C30"/>
        </w:rPr>
        <w:t>”), or “sensitive personal information” under the California Consumer Privacy Act (“</w:t>
      </w:r>
      <w:r>
        <w:rPr>
          <w:rFonts w:ascii="Times New Roman" w:cs="Times New Roman" w:eastAsia="Times New Roman" w:hAnsi="Times New Roman"/>
          <w:sz w:val="19"/>
          <w:szCs w:val="19"/>
          <w:b w:val="1"/>
          <w:bCs w:val="1"/>
          <w:color w:val="2E2C30"/>
        </w:rPr>
        <w:t>CCPA</w:t>
      </w:r>
      <w:r>
        <w:rPr>
          <w:rFonts w:ascii="Times New Roman" w:cs="Times New Roman" w:eastAsia="Times New Roman" w:hAnsi="Times New Roman"/>
          <w:sz w:val="19"/>
          <w:szCs w:val="19"/>
          <w:color w:val="2E2C30"/>
        </w:rPr>
        <w:t>”) and Bermuda’s Personal Information Protection Act 2016 (“</w:t>
      </w:r>
      <w:r>
        <w:rPr>
          <w:rFonts w:ascii="Times New Roman" w:cs="Times New Roman" w:eastAsia="Times New Roman" w:hAnsi="Times New Roman"/>
          <w:sz w:val="19"/>
          <w:szCs w:val="19"/>
          <w:b w:val="1"/>
          <w:bCs w:val="1"/>
          <w:color w:val="2E2C30"/>
        </w:rPr>
        <w:t>PIPA</w:t>
      </w:r>
      <w:r>
        <w:rPr>
          <w:rFonts w:ascii="Times New Roman" w:cs="Times New Roman" w:eastAsia="Times New Roman" w:hAnsi="Times New Roman"/>
          <w:sz w:val="19"/>
          <w:szCs w:val="19"/>
          <w:color w:val="2E2C30"/>
        </w:rPr>
        <w:t>”)), the Brazilian General Data Protection Law (“</w:t>
      </w:r>
      <w:r>
        <w:rPr>
          <w:rFonts w:ascii="Times New Roman" w:cs="Times New Roman" w:eastAsia="Times New Roman" w:hAnsi="Times New Roman"/>
          <w:sz w:val="19"/>
          <w:szCs w:val="19"/>
          <w:b w:val="1"/>
          <w:bCs w:val="1"/>
          <w:color w:val="2E2C30"/>
        </w:rPr>
        <w:t>LGPD</w:t>
      </w:r>
      <w:r>
        <w:rPr>
          <w:rFonts w:ascii="Times New Roman" w:cs="Times New Roman" w:eastAsia="Times New Roman" w:hAnsi="Times New Roman"/>
          <w:sz w:val="19"/>
          <w:szCs w:val="19"/>
          <w:color w:val="2E2C30"/>
        </w:rPr>
        <w:t>”), and other data privacy laws as may be applicable, such as data about your ethnic origin; religious beliefs; health records or criminal conviction data; physical or mental health or condition; medical data; commission, or alleged commission of an offense; any proceedings for an offense committed, or alleged to have been committed. Where required by law, we will provide specific data processing information to you regarding how we may process that data and what rights you may have regarding such processing.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E2C30"/>
        </w:rPr>
        <w:t>For the United Kingdom only: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E2C30"/>
        </w:rPr>
        <w:t>Please see Annex 4 to this Notice for our Policy on the processing of Special Categories of Personal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Sources of Personal Information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28" w:name="page129"/>
    <w:bookmarkEnd w:id="128"/>
    <w:p>
      <w:pPr>
        <w:spacing w:after="0" w:line="269" w:lineRule="auto"/>
        <w:rPr>
          <w:sz w:val="20"/>
          <w:szCs w:val="20"/>
          <w:color w:val="auto"/>
        </w:rPr>
      </w:pPr>
      <w:r>
        <w:rPr>
          <w:rFonts w:ascii="Times New Roman" w:cs="Times New Roman" w:eastAsia="Times New Roman" w:hAnsi="Times New Roman"/>
          <w:sz w:val="20"/>
          <w:szCs w:val="20"/>
          <w:color w:val="auto"/>
        </w:rPr>
        <w:t>obligations as an employer. We will inform you at the time your information is collected whether certain information is compulsory and the consequences of the failure to provide such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collect certain Personal Information about you from other sources, including:</w:t>
      </w:r>
    </w:p>
    <w:p>
      <w:pPr>
        <w:spacing w:after="0" w:line="108" w:lineRule="exact"/>
        <w:rPr>
          <w:sz w:val="20"/>
          <w:szCs w:val="20"/>
          <w:color w:val="auto"/>
        </w:rPr>
      </w:pPr>
    </w:p>
    <w:p>
      <w:pPr>
        <w:ind w:left="1500" w:hanging="743"/>
        <w:spacing w:after="0" w:line="269" w:lineRule="auto"/>
        <w:tabs>
          <w:tab w:leader="none" w:pos="150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background check information from employment screening agencies or publicly available registers (as allowed by law), or references obtained during recruitment;</w:t>
      </w:r>
    </w:p>
    <w:p>
      <w:pPr>
        <w:spacing w:after="0" w:line="51"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professional profiles on websites or social media (e.g. LinkedIn); and</w:t>
      </w:r>
    </w:p>
    <w:p>
      <w:pPr>
        <w:spacing w:after="0" w:line="107"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performance or conduct from other employees, clients, or service providers you work with who may provide feedback about you or participate in performance evaluations or reviews.</w:t>
      </w:r>
    </w:p>
    <w:p>
      <w:pPr>
        <w:spacing w:after="0" w:line="47"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3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The Legal Bases and purposes for which we use, transfer, and disclose Your Personal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UK and EU data protection laws and other laws around the world, for example the PDPL and the DPA and PIPA require that we only process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 Information subject to one or more valid legal bases. In such cases our legal basis will be one of the following:</w:t>
      </w:r>
    </w:p>
    <w:p>
      <w:pPr>
        <w:spacing w:after="0" w:line="86" w:lineRule="exact"/>
        <w:rPr>
          <w:sz w:val="20"/>
          <w:szCs w:val="20"/>
          <w:color w:val="auto"/>
        </w:rPr>
      </w:pPr>
    </w:p>
    <w:p>
      <w:pPr>
        <w:ind w:left="1500" w:hanging="743"/>
        <w:spacing w:after="0"/>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107"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obtaining proof of your identity to enable us to meet our anti-money laundering obligations, or obtaining proof of your right to work status to enable us to meet relevant obligations;</w:t>
      </w:r>
    </w:p>
    <w:p>
      <w:pPr>
        <w:spacing w:after="0" w:line="51"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to you, for example health and safety obligations that we must comply with as your employer or to a third party (e.g. the taxation authorities);</w:t>
      </w:r>
    </w:p>
    <w:p>
      <w:pPr>
        <w:spacing w:after="0" w:line="51"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76"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reasonable person would view that you would not reasonably be expected to request that we cease or not begin to use your personal information and that our use will not prejudice your individual rights;</w:t>
      </w:r>
    </w:p>
    <w:p>
      <w:pPr>
        <w:spacing w:after="0" w:line="51"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vital interests, for example by providing your health information to a doctor in a medical emergency;</w:t>
      </w:r>
    </w:p>
    <w:p>
      <w:pPr>
        <w:spacing w:after="0" w:line="51"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20"/>
          <w:szCs w:val="20"/>
          <w:i w:val="1"/>
          <w:iCs w:val="1"/>
          <w:color w:val="auto"/>
        </w:rPr>
        <w:t>see DPA</w:t>
      </w:r>
      <w:r>
        <w:rPr>
          <w:rFonts w:ascii="Times New Roman" w:cs="Times New Roman" w:eastAsia="Times New Roman" w:hAnsi="Times New Roman"/>
          <w:sz w:val="20"/>
          <w:szCs w:val="20"/>
          <w:color w:val="auto"/>
        </w:rPr>
        <w:t>);</w:t>
      </w:r>
    </w:p>
    <w:p>
      <w:pPr>
        <w:spacing w:after="0" w:line="66" w:lineRule="exact"/>
        <w:rPr>
          <w:rFonts w:ascii="Times New Roman" w:cs="Times New Roman" w:eastAsia="Times New Roman" w:hAnsi="Times New Roman"/>
          <w:sz w:val="20"/>
          <w:szCs w:val="20"/>
          <w:color w:val="auto"/>
        </w:rPr>
      </w:pPr>
    </w:p>
    <w:p>
      <w:pPr>
        <w:ind w:left="1500" w:right="20" w:hanging="743"/>
        <w:spacing w:after="0" w:line="26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Personal Information is publicly available information and will be used for a purpose that is consistent with the purpose of its public availability </w:t>
      </w:r>
      <w:r>
        <w:rPr>
          <w:rFonts w:ascii="Times New Roman" w:cs="Times New Roman" w:eastAsia="Times New Roman" w:hAnsi="Times New Roman"/>
          <w:sz w:val="20"/>
          <w:szCs w:val="20"/>
          <w:i w:val="1"/>
          <w:iCs w:val="1"/>
          <w:color w:val="auto"/>
        </w:rPr>
        <w:t>(See PIPA);</w:t>
      </w:r>
    </w:p>
    <w:p>
      <w:pPr>
        <w:spacing w:after="0" w:line="51"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the Personal Information is necessary in the context of an individual’s present, or past employment relationship with WTW; or</w:t>
      </w:r>
    </w:p>
    <w:p>
      <w:pPr>
        <w:spacing w:after="0" w:line="51"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privacy@wtwco.com.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purposes for which we use your Personal Information are explained in more detail in Annex 1 to this Notice.</w:t>
      </w:r>
    </w:p>
    <w:p>
      <w:pPr>
        <w:spacing w:after="0" w:line="212" w:lineRule="exact"/>
        <w:rPr>
          <w:sz w:val="20"/>
          <w:szCs w:val="20"/>
          <w:color w:val="auto"/>
        </w:rPr>
      </w:pPr>
    </w:p>
    <w:p>
      <w:pPr>
        <w:ind w:left="760" w:hanging="752"/>
        <w:spacing w:after="0"/>
        <w:tabs>
          <w:tab w:leader="none" w:pos="760" w:val="left"/>
        </w:tabs>
        <w:numPr>
          <w:ilvl w:val="0"/>
          <w:numId w:val="14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Monitoring tools, profiling and automated decision-making</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privacy@wtwco.com. Subject to restrictions under local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9" w:name="page130"/>
    <w:bookmarkEnd w:id="129"/>
    <w:p>
      <w:pPr>
        <w:jc w:val="both"/>
        <w:spacing w:after="0" w:line="243" w:lineRule="auto"/>
        <w:rPr>
          <w:sz w:val="20"/>
          <w:szCs w:val="20"/>
          <w:color w:val="auto"/>
        </w:rPr>
      </w:pPr>
      <w:r>
        <w:rPr>
          <w:rFonts w:ascii="Times New Roman" w:cs="Times New Roman" w:eastAsia="Times New Roman" w:hAnsi="Times New Roman"/>
          <w:sz w:val="20"/>
          <w:szCs w:val="20"/>
          <w:color w:val="auto"/>
        </w:rPr>
        <w:t>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Although we may use this type of technology to assist our decision-making, where required by law, we do not make important decisions about employees (e.g. as to their compensation, dismissal or promotion) without a member of management and/or the HR team assessing all the circumstances. Where biometric login is used by you on company devices such as laptops or mobile devices, your data is stored only on the device and cannot be accessed by WTW.</w:t>
      </w:r>
    </w:p>
    <w:p>
      <w:pPr>
        <w:spacing w:after="0" w:line="185" w:lineRule="exact"/>
        <w:rPr>
          <w:sz w:val="20"/>
          <w:szCs w:val="20"/>
          <w:color w:val="auto"/>
        </w:rPr>
      </w:pPr>
    </w:p>
    <w:p>
      <w:pPr>
        <w:ind w:left="760" w:hanging="752"/>
        <w:spacing w:after="0"/>
        <w:tabs>
          <w:tab w:leader="none" w:pos="760" w:val="left"/>
        </w:tabs>
        <w:numPr>
          <w:ilvl w:val="0"/>
          <w:numId w:val="14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Use of Artificial Intelligence (AI) Technologies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deploy artificial intelligence (AI) tools within our internal systems to support various aspects of the employment lifecycle, including recruitment, talent management, performance analysis, and operational efficiency. These tools are used solely within our controlled environment and in accordance with applicable data protection laws and regulations, including the GDPR, the CCPA, and other relevant global privacy frameworks.</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AI tools may assist in processing information to identify patterns, generate insights, or support processes. However, no personal data is used to train, fine-tune, or improve any AI models. Where personal data is processed by AI tools, it is done so in a manner that is consistent with the principles of the responsible and ethical use of AI and any applicable AI regulation.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Importantly, all decisions that may affect employees (such as hiring, promotion, or disciplinary actions) are subject to human review and oversight. Final decisions and determinations are made exclusively by authorized human personnel. We do not rely solely on automated decision-making processes that produce legal or similarly significant effects without meaningful human involvement.</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maintain appropriate technical and organizational safeguards to ensure the responsible use of AI and compliance with applicable legal and ethical standards.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have any questions regarding our use of AI technologies with respect to WTW applicants or employees, please submit a ServiceCentral ticket.</w:t>
      </w:r>
    </w:p>
    <w:p>
      <w:pPr>
        <w:spacing w:after="0" w:line="155" w:lineRule="exact"/>
        <w:rPr>
          <w:sz w:val="20"/>
          <w:szCs w:val="20"/>
          <w:color w:val="auto"/>
        </w:rPr>
      </w:pPr>
    </w:p>
    <w:p>
      <w:pPr>
        <w:ind w:left="760" w:hanging="752"/>
        <w:spacing w:after="0"/>
        <w:tabs>
          <w:tab w:leader="none" w:pos="760" w:val="left"/>
        </w:tabs>
        <w:numPr>
          <w:ilvl w:val="0"/>
          <w:numId w:val="143"/>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Transfer of Personal Information</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Due to the global nature of WTW operations, we may disclose Personal Information to personnel and departments in other entities which are part of WTW to fulfil the purposes described in this Notice. This may include transferring Personal Information to other countries (including countries other than where you are based that have a different data protection regime than is found in the country where you are based). Where we use IT applications in the collection of Personal Information, it may be transferred and hosted in offshore servers or hosting locations as and when it is entered into such IT applications.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Philippines or other countries. If you are located in the Kingdom of Saudi Arabia, this may include the UK, United States and India. If you are located in Bermuda, this may include Canada, United States, India, the European Union. Some of these countries are recognized by the European Commission or other regulators as providing an adequate level of protection (the full list of these countries deemed adequate in the EU, available here), while others are not. We have established safeguards to protect Personal Information that is transferred to other countries, including appropriate contractual protections such as standard contractual clauses published by applicable regulatory bodies. You may obtain more information about these measures and WTW's Global Privacy Program by contacting privacy@wtwco.com.</w:t>
      </w:r>
    </w:p>
    <w:p>
      <w:pPr>
        <w:spacing w:after="0" w:line="19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Access to Personal Information within WTW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0" w:name="page131"/>
    <w:bookmarkEnd w:id="130"/>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All personnel within WTW will generally have access to your business contact information such as name, position, telephone number, postal address, email address and photograph.</w:t>
      </w:r>
    </w:p>
    <w:p>
      <w:pPr>
        <w:spacing w:after="0" w:line="15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From time to time, we and other entities within WTW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WTW, and in compliance with applicable law.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When we transfer or disclose your Personal Information, we will do so in accordance with applicable law.</w:t>
      </w:r>
    </w:p>
    <w:p>
      <w:pPr>
        <w:spacing w:after="0" w:line="212" w:lineRule="exact"/>
        <w:rPr>
          <w:sz w:val="20"/>
          <w:szCs w:val="20"/>
          <w:color w:val="auto"/>
        </w:rPr>
      </w:pPr>
    </w:p>
    <w:p>
      <w:pPr>
        <w:ind w:left="760" w:hanging="752"/>
        <w:spacing w:after="0"/>
        <w:tabs>
          <w:tab w:leader="none" w:pos="760" w:val="left"/>
        </w:tabs>
        <w:numPr>
          <w:ilvl w:val="0"/>
          <w:numId w:val="144"/>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Security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WTW will use reasonable organizational, technical and administrative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70" w:lineRule="exact"/>
        <w:rPr>
          <w:sz w:val="20"/>
          <w:szCs w:val="20"/>
          <w:color w:val="auto"/>
        </w:rPr>
      </w:pPr>
    </w:p>
    <w:p>
      <w:pPr>
        <w:ind w:left="760" w:hanging="752"/>
        <w:spacing w:after="0"/>
        <w:tabs>
          <w:tab w:leader="none" w:pos="760" w:val="left"/>
        </w:tabs>
        <w:numPr>
          <w:ilvl w:val="0"/>
          <w:numId w:val="14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Data Processing, Retention and Destruction</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WTW uses various processing methods on the Personal Information it collects, including organization and structuring, storage, adaptation / alteration, consultation, use and disclosure.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will keep your Personal Information for as long as you remain employed by us, and for a period of 10 years thereafter subject to local law requirements.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there is any information that we are unable, for technical reasons, to delete entirely from our systems, we will put in place appropriate measures to prevent any further processing or use of the data.</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When we no longer require the use of your Personal Information, we may anonymize it as described in Annex 1, or we will securely destroy it.</w:t>
      </w:r>
    </w:p>
    <w:p>
      <w:pPr>
        <w:spacing w:after="0" w:line="155" w:lineRule="exact"/>
        <w:rPr>
          <w:sz w:val="20"/>
          <w:szCs w:val="20"/>
          <w:color w:val="auto"/>
        </w:rPr>
      </w:pPr>
    </w:p>
    <w:p>
      <w:pPr>
        <w:ind w:left="760" w:hanging="752"/>
        <w:spacing w:after="0"/>
        <w:tabs>
          <w:tab w:leader="none" w:pos="760" w:val="left"/>
        </w:tabs>
        <w:numPr>
          <w:ilvl w:val="0"/>
          <w:numId w:val="146"/>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Access and correction requests, questions, and complaints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have certain rights regarding your Personal Information, subject to local law, which may include the right to request:</w:t>
      </w:r>
    </w:p>
    <w:p>
      <w:pPr>
        <w:spacing w:after="0" w:line="108" w:lineRule="exact"/>
        <w:rPr>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the information we hold about you;</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erase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use of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 to our use of your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your Personal Information in a usable electronic format and transmit it to a third party (right to data portability);</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 your consent to any processing based on consent at any time;</w:t>
      </w:r>
    </w:p>
    <w:p>
      <w:pPr>
        <w:spacing w:after="0" w:line="107" w:lineRule="exact"/>
        <w:rPr>
          <w:rFonts w:ascii="Times New Roman" w:cs="Times New Roman" w:eastAsia="Times New Roman" w:hAnsi="Times New Roman"/>
          <w:sz w:val="20"/>
          <w:szCs w:val="20"/>
          <w:color w:val="auto"/>
        </w:rPr>
      </w:pPr>
    </w:p>
    <w:p>
      <w:pPr>
        <w:ind w:left="760" w:right="200" w:hanging="378"/>
        <w:spacing w:after="0" w:line="269" w:lineRule="auto"/>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lodge a complaint with your local data protection authority if you believe that we have not been able to assist with your complaint or concern (and the right to seek compensation);</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be informed about the collection and use of Personal Information;</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stop direct marketing;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1" w:name="page132"/>
    <w:bookmarkEnd w:id="131"/>
    <w:p>
      <w:pPr>
        <w:ind w:left="760" w:hanging="378"/>
        <w:spacing w:after="0"/>
        <w:tabs>
          <w:tab w:leader="none" w:pos="7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restrict automated decision making; and</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access medical records (Only PIPA)</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have any questions about this Notice or if you would like to discuss or exercise your rights, please contact Human Resources or email privacy@wtwco.com who will make reasonable efforts to respond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1080135</wp:posOffset>
            </wp:positionH>
            <wp:positionV relativeFrom="paragraph">
              <wp:posOffset>-46355</wp:posOffset>
            </wp:positionV>
            <wp:extent cx="311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note, information on how to exercise your rights under Canada’s Personal Information Protection and Electronic Documents Act (PIPEDA), PIPA, and other laws such as CCPA and the Personal Information Protection Law of the People’s Republic of China (PIPL), are noted below under the Annexures of this policy.</w:t>
      </w:r>
    </w:p>
    <w:p>
      <w:pPr>
        <w:spacing w:after="0" w:line="170" w:lineRule="exact"/>
        <w:rPr>
          <w:sz w:val="20"/>
          <w:szCs w:val="20"/>
          <w:color w:val="auto"/>
        </w:rPr>
      </w:pPr>
    </w:p>
    <w:p>
      <w:pPr>
        <w:ind w:left="760" w:hanging="752"/>
        <w:spacing w:after="0"/>
        <w:tabs>
          <w:tab w:leader="none" w:pos="760" w:val="left"/>
        </w:tabs>
        <w:numPr>
          <w:ilvl w:val="0"/>
          <w:numId w:val="14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Employee’s Obligations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spacing w:after="0" w:line="170" w:lineRule="exact"/>
        <w:rPr>
          <w:sz w:val="20"/>
          <w:szCs w:val="20"/>
          <w:color w:val="auto"/>
        </w:rPr>
      </w:pPr>
    </w:p>
    <w:p>
      <w:pPr>
        <w:ind w:left="760" w:hanging="752"/>
        <w:spacing w:after="0"/>
        <w:tabs>
          <w:tab w:leader="none" w:pos="760" w:val="left"/>
        </w:tabs>
        <w:numPr>
          <w:ilvl w:val="0"/>
          <w:numId w:val="15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Changes to the 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modify or update this Notice from time to time.</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spacing w:after="0" w:line="170" w:lineRule="exact"/>
        <w:rPr>
          <w:sz w:val="20"/>
          <w:szCs w:val="20"/>
          <w:color w:val="auto"/>
        </w:rPr>
      </w:pPr>
    </w:p>
    <w:p>
      <w:pPr>
        <w:ind w:left="760" w:hanging="752"/>
        <w:spacing w:after="0"/>
        <w:tabs>
          <w:tab w:leader="none" w:pos="760" w:val="left"/>
        </w:tabs>
        <w:numPr>
          <w:ilvl w:val="0"/>
          <w:numId w:val="15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b w:val="1"/>
          <w:bCs w:val="1"/>
          <w:color w:val="6F2F9F"/>
        </w:rPr>
        <w:t>Privacy Officer and Contact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WTW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questions or comments about this Notice, please contact Human Resources or email privacy@wtwco.com.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In some countries, there is a legal requirement to provide a named individual or privacy officer and their contact details. These are:</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500" w:type="dxa"/>
            <w:vAlign w:val="bottom"/>
            <w:tcBorders>
              <w:top w:val="single" w:sz="8" w:color="auto"/>
              <w:left w:val="single" w:sz="8" w:color="auto"/>
              <w:bottom w:val="single" w:sz="8" w:color="auto"/>
              <w:right w:val="single" w:sz="8" w:color="auto"/>
            </w:tcBorders>
            <w:shd w:val="clear" w:color="auto" w:fill="D9EDFF"/>
          </w:tcPr>
          <w:p>
            <w:pPr>
              <w:ind w:left="20"/>
              <w:spacing w:after="0"/>
              <w:rPr>
                <w:sz w:val="20"/>
                <w:szCs w:val="20"/>
                <w:color w:val="auto"/>
              </w:rPr>
            </w:pPr>
            <w:r>
              <w:rPr>
                <w:rFonts w:ascii="Times New Roman" w:cs="Times New Roman" w:eastAsia="Times New Roman" w:hAnsi="Times New Roman"/>
                <w:sz w:val="20"/>
                <w:szCs w:val="20"/>
                <w:color w:val="auto"/>
              </w:rPr>
              <w:t>Country</w:t>
            </w:r>
          </w:p>
        </w:tc>
        <w:tc>
          <w:tcPr>
            <w:tcW w:w="2560" w:type="dxa"/>
            <w:vAlign w:val="bottom"/>
            <w:tcBorders>
              <w:top w:val="single" w:sz="8" w:color="auto"/>
              <w:bottom w:val="single" w:sz="8" w:color="auto"/>
              <w:right w:val="single" w:sz="8" w:color="auto"/>
            </w:tcBorders>
            <w:shd w:val="clear" w:color="auto" w:fill="D9EDFF"/>
          </w:tcPr>
          <w:p>
            <w:pPr>
              <w:ind w:left="1020"/>
              <w:spacing w:after="0"/>
              <w:rPr>
                <w:sz w:val="20"/>
                <w:szCs w:val="20"/>
                <w:color w:val="auto"/>
              </w:rPr>
            </w:pPr>
            <w:r>
              <w:rPr>
                <w:rFonts w:ascii="Times New Roman" w:cs="Times New Roman" w:eastAsia="Times New Roman" w:hAnsi="Times New Roman"/>
                <w:sz w:val="20"/>
                <w:szCs w:val="20"/>
                <w:color w:val="auto"/>
              </w:rPr>
              <w:t>Name</w:t>
            </w:r>
          </w:p>
        </w:tc>
        <w:tc>
          <w:tcPr>
            <w:tcW w:w="7180" w:type="dxa"/>
            <w:vAlign w:val="bottom"/>
            <w:tcBorders>
              <w:top w:val="single" w:sz="8" w:color="auto"/>
              <w:bottom w:val="single" w:sz="8" w:color="auto"/>
              <w:right w:val="single" w:sz="8" w:color="auto"/>
            </w:tcBorders>
            <w:shd w:val="clear" w:color="auto" w:fill="D9EDFF"/>
          </w:tcPr>
          <w:p>
            <w:pPr>
              <w:ind w:left="3000"/>
              <w:spacing w:after="0"/>
              <w:rPr>
                <w:sz w:val="20"/>
                <w:szCs w:val="20"/>
                <w:color w:val="auto"/>
              </w:rPr>
            </w:pPr>
            <w:r>
              <w:rPr>
                <w:rFonts w:ascii="Times New Roman" w:cs="Times New Roman" w:eastAsia="Times New Roman" w:hAnsi="Times New Roman"/>
                <w:sz w:val="20"/>
                <w:szCs w:val="20"/>
                <w:color w:val="auto"/>
              </w:rPr>
              <w:t>Contact details</w:t>
            </w:r>
          </w:p>
        </w:tc>
      </w:tr>
      <w:tr>
        <w:trPr>
          <w:trHeight w:val="183"/>
        </w:trPr>
        <w:tc>
          <w:tcPr>
            <w:tcW w:w="1500" w:type="dxa"/>
            <w:vAlign w:val="bottom"/>
            <w:tcBorders>
              <w:top w:val="single" w:sz="8" w:color="auto"/>
              <w:left w:val="single" w:sz="8" w:color="D9EDFF"/>
              <w:right w:val="single" w:sz="8" w:color="auto"/>
            </w:tcBorders>
            <w:shd w:val="clear" w:color="auto" w:fill="D9EDFF"/>
          </w:tcPr>
          <w:p>
            <w:pPr>
              <w:ind w:left="20"/>
              <w:spacing w:after="0" w:line="184" w:lineRule="exact"/>
              <w:rPr>
                <w:sz w:val="20"/>
                <w:szCs w:val="20"/>
                <w:color w:val="auto"/>
              </w:rPr>
            </w:pPr>
            <w:r>
              <w:rPr>
                <w:rFonts w:ascii="Times New Roman" w:cs="Times New Roman" w:eastAsia="Times New Roman" w:hAnsi="Times New Roman"/>
                <w:sz w:val="20"/>
                <w:szCs w:val="20"/>
                <w:color w:val="auto"/>
              </w:rPr>
              <w:t>Canada</w:t>
            </w:r>
          </w:p>
        </w:tc>
        <w:tc>
          <w:tcPr>
            <w:tcW w:w="2560" w:type="dxa"/>
            <w:vAlign w:val="bottom"/>
            <w:tcBorders>
              <w:top w:val="single" w:sz="8" w:color="D9EDFF"/>
              <w:right w:val="single" w:sz="8" w:color="auto"/>
            </w:tcBorders>
            <w:shd w:val="clear" w:color="auto" w:fill="D9EDFF"/>
          </w:tcPr>
          <w:p>
            <w:pPr>
              <w:spacing w:after="0"/>
              <w:rPr>
                <w:sz w:val="15"/>
                <w:szCs w:val="15"/>
                <w:color w:val="auto"/>
              </w:rPr>
            </w:pPr>
          </w:p>
        </w:tc>
        <w:tc>
          <w:tcPr>
            <w:tcW w:w="7180" w:type="dxa"/>
            <w:vAlign w:val="bottom"/>
            <w:tcBorders>
              <w:top w:val="single" w:sz="8" w:color="D9EDFF"/>
              <w:right w:val="single" w:sz="8" w:color="auto"/>
            </w:tcBorders>
            <w:shd w:val="clear" w:color="auto" w:fill="D9EDFF"/>
          </w:tcPr>
          <w:p>
            <w:pPr>
              <w:spacing w:after="0" w:line="184" w:lineRule="exact"/>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29"/>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130 King St W, Exchange Tower, Suite 1500</w:t>
            </w:r>
          </w:p>
        </w:tc>
      </w:tr>
      <w:tr>
        <w:trPr>
          <w:trHeight w:val="230"/>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P.O. Box 424</w:t>
            </w:r>
          </w:p>
        </w:tc>
      </w:tr>
      <w:tr>
        <w:trPr>
          <w:trHeight w:val="258"/>
        </w:trPr>
        <w:tc>
          <w:tcPr>
            <w:tcW w:w="1500" w:type="dxa"/>
            <w:vAlign w:val="bottom"/>
            <w:tcBorders>
              <w:left w:val="single" w:sz="8" w:color="D9EDFF"/>
              <w:right w:val="single" w:sz="8" w:color="auto"/>
            </w:tcBorders>
            <w:shd w:val="clear" w:color="auto" w:fill="D9EDFF"/>
          </w:tcPr>
          <w:p>
            <w:pPr>
              <w:spacing w:after="0"/>
              <w:rPr>
                <w:sz w:val="22"/>
                <w:szCs w:val="22"/>
                <w:color w:val="auto"/>
              </w:rPr>
            </w:pPr>
          </w:p>
        </w:tc>
        <w:tc>
          <w:tcPr>
            <w:tcW w:w="2560" w:type="dxa"/>
            <w:vAlign w:val="bottom"/>
            <w:tcBorders>
              <w:right w:val="single" w:sz="8" w:color="auto"/>
            </w:tcBorders>
            <w:shd w:val="clear" w:color="auto" w:fill="D9EDFF"/>
          </w:tcPr>
          <w:p>
            <w:pPr>
              <w:spacing w:after="0"/>
              <w:rPr>
                <w:sz w:val="22"/>
                <w:szCs w:val="22"/>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Toronto, ON M5X 1E3</w:t>
            </w:r>
          </w:p>
        </w:tc>
      </w:tr>
      <w:tr>
        <w:trPr>
          <w:trHeight w:val="459"/>
        </w:trPr>
        <w:tc>
          <w:tcPr>
            <w:tcW w:w="1500" w:type="dxa"/>
            <w:vAlign w:val="bottom"/>
            <w:tcBorders>
              <w:left w:val="single" w:sz="8" w:color="D9EDFF"/>
              <w:right w:val="single" w:sz="8" w:color="auto"/>
            </w:tcBorders>
            <w:shd w:val="clear" w:color="auto" w:fill="D9EDFF"/>
          </w:tcPr>
          <w:p>
            <w:pPr>
              <w:spacing w:after="0"/>
              <w:rPr>
                <w:sz w:val="24"/>
                <w:szCs w:val="24"/>
                <w:color w:val="auto"/>
              </w:rPr>
            </w:pPr>
          </w:p>
        </w:tc>
        <w:tc>
          <w:tcPr>
            <w:tcW w:w="2560" w:type="dxa"/>
            <w:vAlign w:val="bottom"/>
            <w:tcBorders>
              <w:right w:val="single" w:sz="8" w:color="auto"/>
            </w:tcBorders>
            <w:shd w:val="clear" w:color="auto" w:fill="D9EDFF"/>
          </w:tcPr>
          <w:p>
            <w:pPr>
              <w:spacing w:after="0"/>
              <w:rPr>
                <w:sz w:val="24"/>
                <w:szCs w:val="24"/>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Email: privacy@wtwco.com</w:t>
            </w:r>
          </w:p>
        </w:tc>
      </w:tr>
      <w:tr>
        <w:trPr>
          <w:trHeight w:val="224"/>
        </w:trPr>
        <w:tc>
          <w:tcPr>
            <w:tcW w:w="150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560" w:type="dxa"/>
            <w:vAlign w:val="bottom"/>
            <w:tcBorders>
              <w:bottom w:val="single" w:sz="8" w:color="auto"/>
              <w:right w:val="single" w:sz="8" w:color="auto"/>
            </w:tcBorders>
            <w:shd w:val="clear" w:color="auto" w:fill="D9EDFF"/>
          </w:tcPr>
          <w:p>
            <w:pPr>
              <w:spacing w:after="0"/>
              <w:rPr>
                <w:sz w:val="19"/>
                <w:szCs w:val="19"/>
                <w:color w:val="auto"/>
              </w:rPr>
            </w:pPr>
          </w:p>
        </w:tc>
        <w:tc>
          <w:tcPr>
            <w:tcW w:w="718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50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Nigeria</w:t>
            </w:r>
          </w:p>
        </w:tc>
        <w:tc>
          <w:tcPr>
            <w:tcW w:w="256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Adewunmi Akinmodiro</w:t>
            </w:r>
          </w:p>
        </w:tc>
        <w:tc>
          <w:tcPr>
            <w:tcW w:w="718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Adewunmi.Akinmodiro@willistowerswatson.com</w:t>
            </w:r>
          </w:p>
        </w:tc>
      </w:tr>
      <w:tr>
        <w:trPr>
          <w:trHeight w:val="229"/>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Towers Watson Nigeria Limited</w:t>
            </w:r>
          </w:p>
        </w:tc>
      </w:tr>
      <w:tr>
        <w:trPr>
          <w:trHeight w:val="230"/>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6th Floor, Africa RE Building. Plot 1679 Karimu Kotun Street,</w:t>
            </w:r>
          </w:p>
        </w:tc>
      </w:tr>
      <w:tr>
        <w:trPr>
          <w:trHeight w:val="258"/>
        </w:trPr>
        <w:tc>
          <w:tcPr>
            <w:tcW w:w="1500" w:type="dxa"/>
            <w:vAlign w:val="bottom"/>
            <w:tcBorders>
              <w:left w:val="single" w:sz="8" w:color="D9EDFF"/>
              <w:right w:val="single" w:sz="8" w:color="auto"/>
            </w:tcBorders>
            <w:shd w:val="clear" w:color="auto" w:fill="D9EDFF"/>
          </w:tcPr>
          <w:p>
            <w:pPr>
              <w:spacing w:after="0"/>
              <w:rPr>
                <w:sz w:val="22"/>
                <w:szCs w:val="22"/>
                <w:color w:val="auto"/>
              </w:rPr>
            </w:pPr>
          </w:p>
        </w:tc>
        <w:tc>
          <w:tcPr>
            <w:tcW w:w="2560" w:type="dxa"/>
            <w:vAlign w:val="bottom"/>
            <w:tcBorders>
              <w:right w:val="single" w:sz="8" w:color="auto"/>
            </w:tcBorders>
            <w:shd w:val="clear" w:color="auto" w:fill="D9EDFF"/>
          </w:tcPr>
          <w:p>
            <w:pPr>
              <w:spacing w:after="0"/>
              <w:rPr>
                <w:sz w:val="22"/>
                <w:szCs w:val="22"/>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Victoria Island Lagos, Nigeria.</w:t>
            </w:r>
          </w:p>
        </w:tc>
      </w:tr>
      <w:tr>
        <w:trPr>
          <w:trHeight w:val="223"/>
        </w:trPr>
        <w:tc>
          <w:tcPr>
            <w:tcW w:w="150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560" w:type="dxa"/>
            <w:vAlign w:val="bottom"/>
            <w:tcBorders>
              <w:bottom w:val="single" w:sz="8" w:color="auto"/>
              <w:right w:val="single" w:sz="8" w:color="auto"/>
            </w:tcBorders>
            <w:shd w:val="clear" w:color="auto" w:fill="D9EDFF"/>
          </w:tcPr>
          <w:p>
            <w:pPr>
              <w:spacing w:after="0"/>
              <w:rPr>
                <w:sz w:val="19"/>
                <w:szCs w:val="19"/>
                <w:color w:val="auto"/>
              </w:rPr>
            </w:pPr>
          </w:p>
        </w:tc>
        <w:tc>
          <w:tcPr>
            <w:tcW w:w="718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50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South Africa</w:t>
            </w:r>
          </w:p>
        </w:tc>
        <w:tc>
          <w:tcPr>
            <w:tcW w:w="256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André Wild</w:t>
            </w:r>
          </w:p>
        </w:tc>
        <w:tc>
          <w:tcPr>
            <w:tcW w:w="718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Andre.Wild@willistowerswatson.com</w:t>
            </w:r>
          </w:p>
        </w:tc>
      </w:tr>
      <w:tr>
        <w:trPr>
          <w:trHeight w:val="229"/>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Towers Watson (Pty) Ltd</w:t>
            </w:r>
          </w:p>
        </w:tc>
      </w:tr>
      <w:tr>
        <w:trPr>
          <w:trHeight w:val="230"/>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Level 4, MontClare Place, 23 Main Road, Claremont, Cape Town, 7708</w:t>
            </w:r>
          </w:p>
        </w:tc>
      </w:tr>
      <w:tr>
        <w:trPr>
          <w:trHeight w:val="258"/>
        </w:trPr>
        <w:tc>
          <w:tcPr>
            <w:tcW w:w="1500" w:type="dxa"/>
            <w:vAlign w:val="bottom"/>
            <w:tcBorders>
              <w:left w:val="single" w:sz="8" w:color="D9EDFF"/>
              <w:right w:val="single" w:sz="8" w:color="auto"/>
            </w:tcBorders>
            <w:shd w:val="clear" w:color="auto" w:fill="D9EDFF"/>
          </w:tcPr>
          <w:p>
            <w:pPr>
              <w:spacing w:after="0"/>
              <w:rPr>
                <w:sz w:val="22"/>
                <w:szCs w:val="22"/>
                <w:color w:val="auto"/>
              </w:rPr>
            </w:pPr>
          </w:p>
        </w:tc>
        <w:tc>
          <w:tcPr>
            <w:tcW w:w="2560" w:type="dxa"/>
            <w:vAlign w:val="bottom"/>
            <w:tcBorders>
              <w:right w:val="single" w:sz="8" w:color="auto"/>
            </w:tcBorders>
            <w:shd w:val="clear" w:color="auto" w:fill="D9EDFF"/>
          </w:tcPr>
          <w:p>
            <w:pPr>
              <w:spacing w:after="0"/>
              <w:rPr>
                <w:sz w:val="22"/>
                <w:szCs w:val="22"/>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Private Bag X30, Rondebosch, 7701</w:t>
            </w:r>
          </w:p>
        </w:tc>
      </w:tr>
      <w:tr>
        <w:trPr>
          <w:trHeight w:val="223"/>
        </w:trPr>
        <w:tc>
          <w:tcPr>
            <w:tcW w:w="1500" w:type="dxa"/>
            <w:vAlign w:val="bottom"/>
            <w:tcBorders>
              <w:left w:val="single" w:sz="8" w:color="D9EDFF"/>
              <w:bottom w:val="single" w:sz="8" w:color="D9EDFF"/>
              <w:right w:val="single" w:sz="8" w:color="auto"/>
            </w:tcBorders>
            <w:shd w:val="clear" w:color="auto" w:fill="D9EDFF"/>
          </w:tcPr>
          <w:p>
            <w:pPr>
              <w:spacing w:after="0"/>
              <w:rPr>
                <w:sz w:val="19"/>
                <w:szCs w:val="19"/>
                <w:color w:val="auto"/>
              </w:rPr>
            </w:pPr>
          </w:p>
        </w:tc>
        <w:tc>
          <w:tcPr>
            <w:tcW w:w="2560" w:type="dxa"/>
            <w:vAlign w:val="bottom"/>
            <w:tcBorders>
              <w:bottom w:val="single" w:sz="8" w:color="auto"/>
              <w:right w:val="single" w:sz="8" w:color="auto"/>
            </w:tcBorders>
            <w:shd w:val="clear" w:color="auto" w:fill="D9EDFF"/>
          </w:tcPr>
          <w:p>
            <w:pPr>
              <w:spacing w:after="0"/>
              <w:rPr>
                <w:sz w:val="19"/>
                <w:szCs w:val="19"/>
                <w:color w:val="auto"/>
              </w:rPr>
            </w:pPr>
          </w:p>
        </w:tc>
        <w:tc>
          <w:tcPr>
            <w:tcW w:w="718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500" w:type="dxa"/>
            <w:vAlign w:val="bottom"/>
            <w:tcBorders>
              <w:left w:val="single" w:sz="8" w:color="D9EDFF"/>
              <w:right w:val="single" w:sz="8" w:color="auto"/>
            </w:tcBorders>
            <w:shd w:val="clear" w:color="auto" w:fill="D9EDFF"/>
          </w:tcPr>
          <w:p>
            <w:pPr>
              <w:spacing w:after="0"/>
              <w:rPr>
                <w:sz w:val="17"/>
                <w:szCs w:val="17"/>
                <w:color w:val="auto"/>
              </w:rPr>
            </w:pPr>
          </w:p>
        </w:tc>
        <w:tc>
          <w:tcPr>
            <w:tcW w:w="256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Pasha Karodia</w:t>
            </w:r>
          </w:p>
        </w:tc>
        <w:tc>
          <w:tcPr>
            <w:tcW w:w="718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Pasha.Karodia@willistowerswatson.com</w:t>
            </w:r>
          </w:p>
        </w:tc>
      </w:tr>
      <w:tr>
        <w:trPr>
          <w:trHeight w:val="229"/>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Willis South Africa (Pty) Ltd</w:t>
            </w:r>
          </w:p>
        </w:tc>
      </w:tr>
      <w:tr>
        <w:trPr>
          <w:trHeight w:val="258"/>
        </w:trPr>
        <w:tc>
          <w:tcPr>
            <w:tcW w:w="1500" w:type="dxa"/>
            <w:vAlign w:val="bottom"/>
            <w:tcBorders>
              <w:left w:val="single" w:sz="8" w:color="D9EDFF"/>
              <w:right w:val="single" w:sz="8" w:color="auto"/>
            </w:tcBorders>
            <w:shd w:val="clear" w:color="auto" w:fill="D9EDFF"/>
          </w:tcPr>
          <w:p>
            <w:pPr>
              <w:spacing w:after="0"/>
              <w:rPr>
                <w:sz w:val="22"/>
                <w:szCs w:val="22"/>
                <w:color w:val="auto"/>
              </w:rPr>
            </w:pPr>
          </w:p>
        </w:tc>
        <w:tc>
          <w:tcPr>
            <w:tcW w:w="2560" w:type="dxa"/>
            <w:vAlign w:val="bottom"/>
            <w:tcBorders>
              <w:right w:val="single" w:sz="8" w:color="auto"/>
            </w:tcBorders>
            <w:shd w:val="clear" w:color="auto" w:fill="D9EDFF"/>
          </w:tcPr>
          <w:p>
            <w:pPr>
              <w:spacing w:after="0"/>
              <w:rPr>
                <w:sz w:val="22"/>
                <w:szCs w:val="22"/>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Illovo Edge, 1 Harries Road, Illovo, Johannesburg 2196</w:t>
            </w:r>
          </w:p>
        </w:tc>
      </w:tr>
      <w:tr>
        <w:trPr>
          <w:trHeight w:val="224"/>
        </w:trPr>
        <w:tc>
          <w:tcPr>
            <w:tcW w:w="150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560" w:type="dxa"/>
            <w:vAlign w:val="bottom"/>
            <w:tcBorders>
              <w:bottom w:val="single" w:sz="8" w:color="auto"/>
              <w:right w:val="single" w:sz="8" w:color="auto"/>
            </w:tcBorders>
            <w:shd w:val="clear" w:color="auto" w:fill="D9EDFF"/>
          </w:tcPr>
          <w:p>
            <w:pPr>
              <w:spacing w:after="0"/>
              <w:rPr>
                <w:sz w:val="19"/>
                <w:szCs w:val="19"/>
                <w:color w:val="auto"/>
              </w:rPr>
            </w:pPr>
          </w:p>
        </w:tc>
        <w:tc>
          <w:tcPr>
            <w:tcW w:w="718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50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Saudi Arabia</w:t>
            </w:r>
          </w:p>
        </w:tc>
        <w:tc>
          <w:tcPr>
            <w:tcW w:w="256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Paul Green</w:t>
            </w:r>
          </w:p>
        </w:tc>
        <w:tc>
          <w:tcPr>
            <w:tcW w:w="718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privacy@wtwco.com</w:t>
            </w:r>
          </w:p>
        </w:tc>
      </w:tr>
      <w:tr>
        <w:trPr>
          <w:trHeight w:val="230"/>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AE Dubai - Business Central Tower</w:t>
            </w:r>
          </w:p>
        </w:tc>
      </w:tr>
      <w:tr>
        <w:trPr>
          <w:trHeight w:val="230"/>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Tower A Floor 37, Dubai Media City, PO Box 500082, Dubai, United Arab Emirates</w:t>
            </w:r>
          </w:p>
        </w:tc>
      </w:tr>
      <w:tr>
        <w:trPr>
          <w:trHeight w:val="258"/>
        </w:trPr>
        <w:tc>
          <w:tcPr>
            <w:tcW w:w="1500" w:type="dxa"/>
            <w:vAlign w:val="bottom"/>
            <w:tcBorders>
              <w:left w:val="single" w:sz="8" w:color="D9EDFF"/>
              <w:right w:val="single" w:sz="8" w:color="auto"/>
            </w:tcBorders>
            <w:shd w:val="clear" w:color="auto" w:fill="D9EDFF"/>
          </w:tcPr>
          <w:p>
            <w:pPr>
              <w:spacing w:after="0"/>
              <w:rPr>
                <w:sz w:val="22"/>
                <w:szCs w:val="22"/>
                <w:color w:val="auto"/>
              </w:rPr>
            </w:pPr>
          </w:p>
        </w:tc>
        <w:tc>
          <w:tcPr>
            <w:tcW w:w="2560" w:type="dxa"/>
            <w:vAlign w:val="bottom"/>
            <w:tcBorders>
              <w:right w:val="single" w:sz="8" w:color="auto"/>
            </w:tcBorders>
            <w:shd w:val="clear" w:color="auto" w:fill="D9EDFF"/>
          </w:tcPr>
          <w:p>
            <w:pPr>
              <w:spacing w:after="0"/>
              <w:rPr>
                <w:sz w:val="22"/>
                <w:szCs w:val="22"/>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+971 4 455 1700</w:t>
            </w:r>
          </w:p>
        </w:tc>
      </w:tr>
      <w:tr>
        <w:trPr>
          <w:trHeight w:val="223"/>
        </w:trPr>
        <w:tc>
          <w:tcPr>
            <w:tcW w:w="150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560" w:type="dxa"/>
            <w:vAlign w:val="bottom"/>
            <w:tcBorders>
              <w:bottom w:val="single" w:sz="8" w:color="auto"/>
              <w:right w:val="single" w:sz="8" w:color="auto"/>
            </w:tcBorders>
            <w:shd w:val="clear" w:color="auto" w:fill="D9EDFF"/>
          </w:tcPr>
          <w:p>
            <w:pPr>
              <w:spacing w:after="0"/>
              <w:rPr>
                <w:sz w:val="19"/>
                <w:szCs w:val="19"/>
                <w:color w:val="auto"/>
              </w:rPr>
            </w:pPr>
          </w:p>
        </w:tc>
        <w:tc>
          <w:tcPr>
            <w:tcW w:w="718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50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Bermuda</w:t>
            </w:r>
          </w:p>
        </w:tc>
        <w:tc>
          <w:tcPr>
            <w:tcW w:w="2560" w:type="dxa"/>
            <w:vAlign w:val="bottom"/>
            <w:tcBorders>
              <w:right w:val="single" w:sz="8" w:color="auto"/>
            </w:tcBorders>
            <w:shd w:val="clear" w:color="auto" w:fill="D9EDFF"/>
          </w:tcPr>
          <w:p>
            <w:pPr>
              <w:spacing w:after="0"/>
              <w:rPr>
                <w:sz w:val="17"/>
                <w:szCs w:val="17"/>
                <w:color w:val="auto"/>
              </w:rPr>
            </w:pPr>
          </w:p>
        </w:tc>
        <w:tc>
          <w:tcPr>
            <w:tcW w:w="718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29"/>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90 Pitts Bay Road</w:t>
            </w:r>
          </w:p>
        </w:tc>
      </w:tr>
      <w:tr>
        <w:trPr>
          <w:trHeight w:val="230"/>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Wellesley House, Floor 2</w:t>
            </w:r>
          </w:p>
        </w:tc>
      </w:tr>
      <w:tr>
        <w:trPr>
          <w:trHeight w:val="226"/>
        </w:trPr>
        <w:tc>
          <w:tcPr>
            <w:tcW w:w="1500" w:type="dxa"/>
            <w:vAlign w:val="bottom"/>
            <w:tcBorders>
              <w:left w:val="single" w:sz="8" w:color="D9EDFF"/>
              <w:right w:val="single" w:sz="8" w:color="auto"/>
            </w:tcBorders>
            <w:shd w:val="clear" w:color="auto" w:fill="D9EDFF"/>
          </w:tcPr>
          <w:p>
            <w:pPr>
              <w:spacing w:after="0"/>
              <w:rPr>
                <w:sz w:val="19"/>
                <w:szCs w:val="19"/>
                <w:color w:val="auto"/>
              </w:rPr>
            </w:pPr>
          </w:p>
        </w:tc>
        <w:tc>
          <w:tcPr>
            <w:tcW w:w="2560" w:type="dxa"/>
            <w:vAlign w:val="bottom"/>
            <w:tcBorders>
              <w:right w:val="single" w:sz="8" w:color="auto"/>
            </w:tcBorders>
            <w:shd w:val="clear" w:color="auto" w:fill="D9EDFF"/>
          </w:tcPr>
          <w:p>
            <w:pPr>
              <w:spacing w:after="0"/>
              <w:rPr>
                <w:sz w:val="19"/>
                <w:szCs w:val="19"/>
                <w:color w:val="auto"/>
              </w:rPr>
            </w:pPr>
          </w:p>
        </w:tc>
        <w:tc>
          <w:tcPr>
            <w:tcW w:w="7180" w:type="dxa"/>
            <w:vAlign w:val="bottom"/>
            <w:tcBorders>
              <w:right w:val="single" w:sz="8" w:color="auto"/>
            </w:tcBorders>
            <w:shd w:val="clear" w:color="auto" w:fill="D9EDFF"/>
          </w:tcPr>
          <w:p>
            <w:pPr>
              <w:spacing w:after="0" w:line="226" w:lineRule="exact"/>
              <w:rPr>
                <w:sz w:val="20"/>
                <w:szCs w:val="20"/>
                <w:color w:val="auto"/>
              </w:rPr>
            </w:pPr>
            <w:r>
              <w:rPr>
                <w:rFonts w:ascii="Times New Roman" w:cs="Times New Roman" w:eastAsia="Times New Roman" w:hAnsi="Times New Roman"/>
                <w:sz w:val="20"/>
                <w:szCs w:val="20"/>
                <w:color w:val="auto"/>
              </w:rPr>
              <w:t>Hamilton HM 08</w:t>
            </w:r>
          </w:p>
        </w:tc>
      </w:tr>
      <w:tr>
        <w:trPr>
          <w:trHeight w:val="262"/>
        </w:trPr>
        <w:tc>
          <w:tcPr>
            <w:tcW w:w="1500" w:type="dxa"/>
            <w:vAlign w:val="bottom"/>
            <w:tcBorders>
              <w:left w:val="single" w:sz="8" w:color="D9EDFF"/>
              <w:right w:val="single" w:sz="8" w:color="auto"/>
            </w:tcBorders>
            <w:shd w:val="clear" w:color="auto" w:fill="D9EDFF"/>
          </w:tcPr>
          <w:p>
            <w:pPr>
              <w:spacing w:after="0"/>
              <w:rPr>
                <w:sz w:val="22"/>
                <w:szCs w:val="22"/>
                <w:color w:val="auto"/>
              </w:rPr>
            </w:pPr>
          </w:p>
        </w:tc>
        <w:tc>
          <w:tcPr>
            <w:tcW w:w="2560" w:type="dxa"/>
            <w:vAlign w:val="bottom"/>
            <w:tcBorders>
              <w:right w:val="single" w:sz="8" w:color="auto"/>
            </w:tcBorders>
            <w:shd w:val="clear" w:color="auto" w:fill="D9EDFF"/>
          </w:tcPr>
          <w:p>
            <w:pPr>
              <w:spacing w:after="0"/>
              <w:rPr>
                <w:sz w:val="22"/>
                <w:szCs w:val="22"/>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b w:val="1"/>
                <w:bCs w:val="1"/>
                <w:color w:val="auto"/>
              </w:rPr>
              <w:t>privacy@wtwco.com</w:t>
            </w:r>
          </w:p>
        </w:tc>
      </w:tr>
      <w:tr>
        <w:trPr>
          <w:trHeight w:val="223"/>
        </w:trPr>
        <w:tc>
          <w:tcPr>
            <w:tcW w:w="150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560" w:type="dxa"/>
            <w:vAlign w:val="bottom"/>
            <w:tcBorders>
              <w:bottom w:val="single" w:sz="8" w:color="auto"/>
              <w:right w:val="single" w:sz="8" w:color="auto"/>
            </w:tcBorders>
            <w:shd w:val="clear" w:color="auto" w:fill="D9EDFF"/>
          </w:tcPr>
          <w:p>
            <w:pPr>
              <w:spacing w:after="0"/>
              <w:rPr>
                <w:sz w:val="19"/>
                <w:szCs w:val="19"/>
                <w:color w:val="auto"/>
              </w:rPr>
            </w:pPr>
          </w:p>
        </w:tc>
        <w:tc>
          <w:tcPr>
            <w:tcW w:w="718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200"/>
        </w:trPr>
        <w:tc>
          <w:tcPr>
            <w:tcW w:w="1500" w:type="dxa"/>
            <w:vAlign w:val="bottom"/>
            <w:tcBorders>
              <w:left w:val="single" w:sz="8" w:color="D9EDFF"/>
              <w:right w:val="single" w:sz="8" w:color="auto"/>
            </w:tcBorders>
            <w:shd w:val="clear" w:color="auto" w:fill="D9EDFF"/>
          </w:tcPr>
          <w:p>
            <w:pPr>
              <w:ind w:left="20"/>
              <w:spacing w:after="0" w:line="200" w:lineRule="exact"/>
              <w:rPr>
                <w:sz w:val="20"/>
                <w:szCs w:val="20"/>
                <w:color w:val="auto"/>
              </w:rPr>
            </w:pPr>
            <w:r>
              <w:rPr>
                <w:rFonts w:ascii="Times New Roman" w:cs="Times New Roman" w:eastAsia="Times New Roman" w:hAnsi="Times New Roman"/>
                <w:sz w:val="20"/>
                <w:szCs w:val="20"/>
                <w:color w:val="auto"/>
              </w:rPr>
              <w:t>Brazil</w:t>
            </w:r>
          </w:p>
        </w:tc>
        <w:tc>
          <w:tcPr>
            <w:tcW w:w="256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Lucas Paglia</w:t>
            </w:r>
          </w:p>
        </w:tc>
        <w:tc>
          <w:tcPr>
            <w:tcW w:w="7180" w:type="dxa"/>
            <w:vAlign w:val="bottom"/>
            <w:tcBorders>
              <w:right w:val="single" w:sz="8" w:color="auto"/>
            </w:tcBorders>
            <w:shd w:val="clear" w:color="auto" w:fill="D9EDFF"/>
          </w:tcPr>
          <w:p>
            <w:pPr>
              <w:spacing w:after="0" w:line="200" w:lineRule="exact"/>
              <w:rPr>
                <w:sz w:val="20"/>
                <w:szCs w:val="20"/>
                <w:color w:val="auto"/>
              </w:rPr>
            </w:pPr>
            <w:r>
              <w:rPr>
                <w:rFonts w:ascii="Times New Roman" w:cs="Times New Roman" w:eastAsia="Times New Roman" w:hAnsi="Times New Roman"/>
                <w:sz w:val="20"/>
                <w:szCs w:val="20"/>
                <w:color w:val="auto"/>
              </w:rPr>
              <w:t>lucas.paglia@wtwco.com or</w:t>
            </w:r>
          </w:p>
        </w:tc>
      </w:tr>
      <w:tr>
        <w:trPr>
          <w:trHeight w:val="258"/>
        </w:trPr>
        <w:tc>
          <w:tcPr>
            <w:tcW w:w="1500" w:type="dxa"/>
            <w:vAlign w:val="bottom"/>
            <w:tcBorders>
              <w:left w:val="single" w:sz="8" w:color="D9EDFF"/>
              <w:right w:val="single" w:sz="8" w:color="auto"/>
            </w:tcBorders>
            <w:shd w:val="clear" w:color="auto" w:fill="D9EDFF"/>
          </w:tcPr>
          <w:p>
            <w:pPr>
              <w:spacing w:after="0"/>
              <w:rPr>
                <w:sz w:val="22"/>
                <w:szCs w:val="22"/>
                <w:color w:val="auto"/>
              </w:rPr>
            </w:pPr>
          </w:p>
        </w:tc>
        <w:tc>
          <w:tcPr>
            <w:tcW w:w="2560" w:type="dxa"/>
            <w:vAlign w:val="bottom"/>
            <w:tcBorders>
              <w:right w:val="single" w:sz="8" w:color="auto"/>
            </w:tcBorders>
            <w:shd w:val="clear" w:color="auto" w:fill="D9EDFF"/>
          </w:tcPr>
          <w:p>
            <w:pPr>
              <w:spacing w:after="0"/>
              <w:rPr>
                <w:sz w:val="22"/>
                <w:szCs w:val="22"/>
                <w:color w:val="auto"/>
              </w:rPr>
            </w:pPr>
          </w:p>
        </w:tc>
        <w:tc>
          <w:tcPr>
            <w:tcW w:w="7180" w:type="dxa"/>
            <w:vAlign w:val="bottom"/>
            <w:tcBorders>
              <w:right w:val="single" w:sz="8" w:color="auto"/>
            </w:tcBorders>
            <w:shd w:val="clear" w:color="auto" w:fill="D9EDFF"/>
          </w:tcPr>
          <w:p>
            <w:pPr>
              <w:spacing w:after="0"/>
              <w:rPr>
                <w:sz w:val="20"/>
                <w:szCs w:val="20"/>
                <w:color w:val="auto"/>
              </w:rPr>
            </w:pPr>
            <w:r>
              <w:rPr>
                <w:rFonts w:ascii="Times New Roman" w:cs="Times New Roman" w:eastAsia="Times New Roman" w:hAnsi="Times New Roman"/>
                <w:sz w:val="20"/>
                <w:szCs w:val="20"/>
                <w:color w:val="auto"/>
              </w:rPr>
              <w:t>privacy.brasil@wtwco.com</w:t>
            </w:r>
          </w:p>
        </w:tc>
      </w:tr>
      <w:tr>
        <w:trPr>
          <w:trHeight w:val="224"/>
        </w:trPr>
        <w:tc>
          <w:tcPr>
            <w:tcW w:w="1500" w:type="dxa"/>
            <w:vAlign w:val="bottom"/>
            <w:tcBorders>
              <w:left w:val="single" w:sz="8" w:color="D9EDFF"/>
              <w:bottom w:val="single" w:sz="8" w:color="auto"/>
              <w:right w:val="single" w:sz="8" w:color="auto"/>
            </w:tcBorders>
            <w:shd w:val="clear" w:color="auto" w:fill="D9EDFF"/>
          </w:tcPr>
          <w:p>
            <w:pPr>
              <w:spacing w:after="0"/>
              <w:rPr>
                <w:sz w:val="19"/>
                <w:szCs w:val="19"/>
                <w:color w:val="auto"/>
              </w:rPr>
            </w:pPr>
          </w:p>
        </w:tc>
        <w:tc>
          <w:tcPr>
            <w:tcW w:w="2560" w:type="dxa"/>
            <w:vAlign w:val="bottom"/>
            <w:tcBorders>
              <w:bottom w:val="single" w:sz="8" w:color="auto"/>
              <w:right w:val="single" w:sz="8" w:color="auto"/>
            </w:tcBorders>
            <w:shd w:val="clear" w:color="auto" w:fill="D9EDFF"/>
          </w:tcPr>
          <w:p>
            <w:pPr>
              <w:spacing w:after="0"/>
              <w:rPr>
                <w:sz w:val="19"/>
                <w:szCs w:val="19"/>
                <w:color w:val="auto"/>
              </w:rPr>
            </w:pPr>
          </w:p>
        </w:tc>
        <w:tc>
          <w:tcPr>
            <w:tcW w:w="7180" w:type="dxa"/>
            <w:vAlign w:val="bottom"/>
            <w:tcBorders>
              <w:bottom w:val="single" w:sz="8" w:color="auto"/>
              <w:right w:val="single" w:sz="8" w:color="auto"/>
            </w:tcBorders>
            <w:shd w:val="clear" w:color="auto" w:fill="D9EDFF"/>
          </w:tcPr>
          <w:p>
            <w:pPr>
              <w:spacing w:after="0"/>
              <w:rPr>
                <w:sz w:val="19"/>
                <w:szCs w:val="19"/>
                <w:color w:val="auto"/>
              </w:rPr>
            </w:pPr>
          </w:p>
        </w:tc>
      </w:tr>
      <w:tr>
        <w:trPr>
          <w:trHeight w:val="661"/>
        </w:trPr>
        <w:tc>
          <w:tcPr>
            <w:tcW w:w="1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180" w:type="dxa"/>
            <w:vAlign w:val="bottom"/>
          </w:tcPr>
          <w:p>
            <w:pPr>
              <w:ind w:left="1420"/>
              <w:spacing w:after="0"/>
              <w:rPr>
                <w:sz w:val="20"/>
                <w:szCs w:val="20"/>
                <w:color w:val="auto"/>
              </w:rPr>
            </w:pPr>
            <w:r>
              <w:rPr>
                <w:rFonts w:ascii="Times New Roman" w:cs="Times New Roman" w:eastAsia="Times New Roman" w:hAnsi="Times New Roman"/>
                <w:sz w:val="20"/>
                <w:szCs w:val="20"/>
                <w:color w:val="auto"/>
              </w:rPr>
              <w:t>C-6</w:t>
            </w:r>
          </w:p>
        </w:tc>
      </w:tr>
      <w:tr>
        <w:trPr>
          <w:trHeight w:val="757"/>
        </w:trPr>
        <w:tc>
          <w:tcPr>
            <w:tcW w:w="15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3" w:name="page134"/>
    <w:bookmarkEnd w:id="133"/>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4A116E"/>
        </w:rPr>
        <w:t>ANNEX 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Categories of Personal Information Collected About Employees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Generally, we may collect the below categories of Personal Information about Employees: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Name, Contact Info and other Identifiers</w:t>
      </w:r>
      <w:r>
        <w:rPr>
          <w:rFonts w:ascii="Times New Roman" w:cs="Times New Roman" w:eastAsia="Times New Roman" w:hAnsi="Times New Roman"/>
          <w:sz w:val="20"/>
          <w:szCs w:val="20"/>
          <w:color w:val="000000"/>
        </w:rPr>
        <w:t>: identifiers including, but not limited to</w:t>
      </w:r>
      <w:r>
        <w:rPr>
          <w:rFonts w:ascii="Times New Roman" w:cs="Times New Roman" w:eastAsia="Times New Roman" w:hAnsi="Times New Roman"/>
          <w:sz w:val="20"/>
          <w:szCs w:val="20"/>
          <w:i w:val="1"/>
          <w:iCs w:val="1"/>
          <w:color w:val="000000"/>
        </w:rPr>
        <w:t>:</w:t>
      </w:r>
    </w:p>
    <w:p>
      <w:pPr>
        <w:spacing w:after="0" w:line="220" w:lineRule="exact"/>
        <w:rPr>
          <w:sz w:val="20"/>
          <w:szCs w:val="20"/>
          <w:color w:val="auto"/>
        </w:rPr>
      </w:pPr>
    </w:p>
    <w:p>
      <w:pPr>
        <w:jc w:val="both"/>
        <w:ind w:left="760" w:hanging="378"/>
        <w:spacing w:after="0" w:line="249" w:lineRule="auto"/>
        <w:tabs>
          <w:tab w:leader="none" w:pos="7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7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Required under Immigration Laws: Citizenship, passport data, details of residency or work permit.</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Protected Classifications</w:t>
      </w:r>
      <w:r>
        <w:rPr>
          <w:rFonts w:ascii="Times New Roman" w:cs="Times New Roman" w:eastAsia="Times New Roman" w:hAnsi="Times New Roman"/>
          <w:sz w:val="20"/>
          <w:szCs w:val="20"/>
          <w:color w:val="000000"/>
        </w:rPr>
        <w:t>: characteristics of protected classifications (including those under California or federal law) such as:</w:t>
      </w:r>
    </w:p>
    <w:p>
      <w:pPr>
        <w:spacing w:after="0" w:line="112" w:lineRule="exact"/>
        <w:rPr>
          <w:sz w:val="20"/>
          <w:szCs w:val="20"/>
          <w:color w:val="auto"/>
        </w:rPr>
      </w:pPr>
    </w:p>
    <w:p>
      <w:pPr>
        <w:ind w:left="760" w:hanging="378"/>
        <w:spacing w:after="0"/>
        <w:tabs>
          <w:tab w:leader="none" w:pos="76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information, as well as residency and work permit details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information and disability information</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7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6F2F9F"/>
        </w:rPr>
        <w:t>Usage Data</w:t>
      </w:r>
      <w:r>
        <w:rPr>
          <w:rFonts w:ascii="Times New Roman" w:cs="Times New Roman" w:eastAsia="Times New Roman" w:hAnsi="Times New Roman"/>
          <w:sz w:val="20"/>
          <w:szCs w:val="20"/>
          <w:color w:val="000000"/>
        </w:rPr>
        <w:t>: internet or other electronic network activity information including, but not limited to, browsing history, search history, email</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activity, and information regarding a user’s interaction with a system, website, or application. </w:t>
      </w:r>
      <w:r>
        <w:rPr>
          <w:rFonts w:ascii="Times New Roman" w:cs="Times New Roman" w:eastAsia="Times New Roman" w:hAnsi="Times New Roman"/>
          <w:sz w:val="20"/>
          <w:szCs w:val="20"/>
          <w:i w:val="1"/>
          <w:iCs w:val="1"/>
          <w:color w:val="000000"/>
        </w:rPr>
        <w:t>This includes:</w:t>
      </w:r>
    </w:p>
    <w:p>
      <w:pPr>
        <w:spacing w:after="0" w:line="48" w:lineRule="exact"/>
        <w:rPr>
          <w:sz w:val="20"/>
          <w:szCs w:val="20"/>
          <w:color w:val="auto"/>
        </w:rPr>
      </w:pPr>
    </w:p>
    <w:p>
      <w:pPr>
        <w:ind w:left="760" w:hanging="378"/>
        <w:spacing w:after="0" w:line="269" w:lineRule="auto"/>
        <w:tabs>
          <w:tab w:leader="none" w:pos="7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logs and usage details regarding activities at WTW locations and on WTW networks, systems and devices, including but not limited to website and browsing history.</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access logs and call logs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content produced using WTW systems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6F2F9F"/>
        </w:rPr>
        <w:t xml:space="preserve">Biometric information: </w:t>
      </w:r>
      <w:r>
        <w:rPr>
          <w:rFonts w:ascii="Times New Roman" w:cs="Times New Roman" w:eastAsia="Times New Roman" w:hAnsi="Times New Roman"/>
          <w:sz w:val="20"/>
          <w:szCs w:val="20"/>
          <w:color w:val="000000"/>
        </w:rPr>
        <w:t>an individual’s physiological, biological or behavioral characteristics including information pertaining to an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Geolocation Data</w:t>
      </w:r>
      <w:r>
        <w:rPr>
          <w:rFonts w:ascii="Times New Roman" w:cs="Times New Roman" w:eastAsia="Times New Roman" w:hAnsi="Times New Roman"/>
          <w:sz w:val="20"/>
          <w:szCs w:val="20"/>
          <w:color w:val="000000"/>
        </w:rPr>
        <w:t>: precise geographic location information about a particular WTW device.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Audio, Video and other Electronic Data</w:t>
      </w:r>
      <w:r>
        <w:rPr>
          <w:rFonts w:ascii="Times New Roman" w:cs="Times New Roman" w:eastAsia="Times New Roman" w:hAnsi="Times New Roman"/>
          <w:sz w:val="20"/>
          <w:szCs w:val="20"/>
          <w:color w:val="000000"/>
        </w:rPr>
        <w:t>: audio, electronic, visual, thermal, olfactory, or similar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This includes:</w:t>
      </w:r>
    </w:p>
    <w:p>
      <w:pPr>
        <w:spacing w:after="0" w:line="220" w:lineRule="exact"/>
        <w:rPr>
          <w:sz w:val="20"/>
          <w:szCs w:val="20"/>
          <w:color w:val="auto"/>
        </w:rPr>
      </w:pPr>
    </w:p>
    <w:p>
      <w:pPr>
        <w:ind w:left="760" w:hanging="378"/>
        <w:spacing w:after="0"/>
        <w:tabs>
          <w:tab w:leader="none" w:pos="7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CCTV footage and photographs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recordings and other audio recording (e.g., recorded meetings and webinars)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6F2F9F"/>
        </w:rPr>
        <w:t>Employment History</w:t>
      </w:r>
      <w:r>
        <w:rPr>
          <w:rFonts w:ascii="Times New Roman" w:cs="Times New Roman" w:eastAsia="Times New Roman" w:hAnsi="Times New Roman"/>
          <w:sz w:val="20"/>
          <w:szCs w:val="20"/>
          <w:color w:val="000000"/>
        </w:rPr>
        <w:t>: professional or employment-related information.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i w:val="1"/>
          <w:iCs w:val="1"/>
          <w:color w:val="000000"/>
        </w:rPr>
        <w:t>This includes, but is not limited to:</w:t>
      </w:r>
    </w:p>
    <w:p>
      <w:pPr>
        <w:spacing w:after="0" w:line="112" w:lineRule="exact"/>
        <w:rPr>
          <w:sz w:val="20"/>
          <w:szCs w:val="20"/>
          <w:color w:val="auto"/>
        </w:rPr>
      </w:pPr>
    </w:p>
    <w:p>
      <w:pPr>
        <w:jc w:val="both"/>
        <w:ind w:left="760" w:hanging="378"/>
        <w:spacing w:after="0" w:line="249" w:lineRule="auto"/>
        <w:tabs>
          <w:tab w:leader="none" w:pos="7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71"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76" w:lineRule="exact"/>
        <w:rPr>
          <w:rFonts w:ascii="Times New Roman" w:cs="Times New Roman" w:eastAsia="Times New Roman" w:hAnsi="Times New Roman"/>
          <w:sz w:val="20"/>
          <w:szCs w:val="20"/>
          <w:color w:val="auto"/>
        </w:rPr>
      </w:pPr>
    </w:p>
    <w:p>
      <w:pPr>
        <w:jc w:val="both"/>
        <w:ind w:left="760" w:hanging="378"/>
        <w:spacing w:after="0" w:line="266" w:lineRule="auto"/>
        <w:tabs>
          <w:tab w:leader="none" w:pos="76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57"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Records: Details of any shares of common stock or directorships.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6F2F9F"/>
        </w:rPr>
        <w:t>Education Information</w:t>
      </w:r>
      <w:r>
        <w:rPr>
          <w:rFonts w:ascii="Times New Roman" w:cs="Times New Roman" w:eastAsia="Times New Roman" w:hAnsi="Times New Roman"/>
          <w:sz w:val="20"/>
          <w:szCs w:val="20"/>
          <w:color w:val="000000"/>
        </w:rPr>
        <w:t>: information about education history or background, including such information that is not publicly available</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 xml:space="preserve">personally identifiable information as defined in the federal Family Educational Rights and Privacy Act (20 U.S.C. section 1232g, 34 C.F.R. Part 99). </w:t>
      </w:r>
      <w:r>
        <w:rPr>
          <w:rFonts w:ascii="Times New Roman" w:cs="Times New Roman" w:eastAsia="Times New Roman" w:hAnsi="Times New Roman"/>
          <w:sz w:val="20"/>
          <w:szCs w:val="20"/>
          <w:i w:val="1"/>
          <w:iCs w:val="1"/>
          <w:color w:val="000000"/>
        </w:rPr>
        <w:t>This includes, but is not limited to:</w:t>
      </w:r>
    </w:p>
    <w:p>
      <w:pPr>
        <w:spacing w:after="0" w:line="65" w:lineRule="exact"/>
        <w:rPr>
          <w:sz w:val="20"/>
          <w:szCs w:val="20"/>
          <w:color w:val="auto"/>
        </w:rPr>
      </w:pPr>
    </w:p>
    <w:p>
      <w:pPr>
        <w:ind w:left="760" w:hanging="378"/>
        <w:spacing w:after="0"/>
        <w:tabs>
          <w:tab w:leader="none" w:pos="7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Degrees, certificates or other training completed, schools attended and relevant dates.</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contained in letters of application and resume/CV, previous employment background.</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6F2F9F"/>
        </w:rPr>
        <w:t>Profiles and Inferences</w:t>
      </w:r>
      <w:r>
        <w:rPr>
          <w:rFonts w:ascii="Times New Roman" w:cs="Times New Roman" w:eastAsia="Times New Roman" w:hAnsi="Times New Roman"/>
          <w:sz w:val="20"/>
          <w:szCs w:val="20"/>
          <w:color w:val="000000"/>
        </w:rPr>
        <w:t>: inferences drawn from any of the information identified above to create a profile about an employee reflecting their</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preferences, characteristics, psychological trends, predispositions, behaviour, attitudes, intelligence, abilities, and aptitudes.</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6F2F9F"/>
        </w:rPr>
        <w:t>Logins and Account Access Information</w:t>
      </w:r>
      <w:r>
        <w:rPr>
          <w:rFonts w:ascii="Times New Roman" w:cs="Times New Roman" w:eastAsia="Times New Roman" w:hAnsi="Times New Roman"/>
          <w:sz w:val="20"/>
          <w:szCs w:val="20"/>
          <w:color w:val="000000"/>
        </w:rPr>
        <w:t>: information which reveals account login, financial account, debit or credit card in combination</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with any required security or access code, password or credential allowing access.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What About Sensitive Information?</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also collect certain types of information that is considered sensitive data or sensitive personal information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8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Please be assured that, as explained in the following section, we will only use such sensitive information for the following purposes and as provided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The Purposes for which we may collect, use, transfer and disclose Personal Information</w:t>
      </w:r>
      <w:r>
        <w:rPr>
          <w:rFonts w:ascii="Times New Roman" w:cs="Times New Roman" w:eastAsia="Times New Roman" w:hAnsi="Times New Roman"/>
          <w:sz w:val="20"/>
          <w:szCs w:val="20"/>
          <w:b w:val="1"/>
          <w:bCs w:val="1"/>
          <w:color w:val="000000"/>
        </w:rPr>
        <w:t>:</w:t>
      </w:r>
    </w:p>
    <w:p>
      <w:pPr>
        <w:spacing w:after="0" w:line="112" w:lineRule="exact"/>
        <w:rPr>
          <w:sz w:val="20"/>
          <w:szCs w:val="20"/>
          <w:color w:val="auto"/>
        </w:rPr>
      </w:pPr>
    </w:p>
    <w:p>
      <w:pPr>
        <w:jc w:val="both"/>
        <w:ind w:left="760" w:hanging="378"/>
        <w:spacing w:after="0" w:line="260" w:lineRule="auto"/>
        <w:tabs>
          <w:tab w:leader="none" w:pos="760"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Managing Workforce</w:t>
      </w:r>
      <w:r>
        <w:rPr>
          <w:rFonts w:ascii="Times New Roman" w:cs="Times New Roman" w:eastAsia="Times New Roman" w:hAnsi="Times New Roman"/>
          <w:sz w:val="19"/>
          <w:szCs w:val="19"/>
          <w:color w:val="auto"/>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5" w:name="page136"/>
    <w:bookmarkEnd w:id="135"/>
    <w:p>
      <w:pPr>
        <w:ind w:left="760"/>
        <w:spacing w:after="0" w:line="269" w:lineRule="auto"/>
        <w:rPr>
          <w:sz w:val="20"/>
          <w:szCs w:val="20"/>
          <w:color w:val="auto"/>
        </w:rPr>
      </w:pPr>
      <w:r>
        <w:rPr>
          <w:rFonts w:ascii="Times New Roman" w:cs="Times New Roman" w:eastAsia="Times New Roman" w:hAnsi="Times New Roman"/>
          <w:sz w:val="20"/>
          <w:szCs w:val="20"/>
          <w:color w:val="auto"/>
        </w:rPr>
        <w:t>business expenses and reimbursements, planning and monitoring of training requirements and career development activities and skills, and creating and maintaining one or more internal employee directories.</w:t>
      </w:r>
    </w:p>
    <w:p>
      <w:pPr>
        <w:spacing w:after="0" w:line="51" w:lineRule="exact"/>
        <w:rPr>
          <w:sz w:val="20"/>
          <w:szCs w:val="20"/>
          <w:color w:val="auto"/>
        </w:rPr>
      </w:pPr>
    </w:p>
    <w:p>
      <w:pPr>
        <w:jc w:val="both"/>
        <w:ind w:left="760" w:hanging="378"/>
        <w:spacing w:after="0" w:line="254" w:lineRule="auto"/>
        <w:tabs>
          <w:tab w:leader="none" w:pos="76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and Emergencies</w:t>
      </w:r>
      <w:r>
        <w:rPr>
          <w:rFonts w:ascii="Times New Roman" w:cs="Times New Roman" w:eastAsia="Times New Roman" w:hAnsi="Times New Roman"/>
          <w:sz w:val="20"/>
          <w:szCs w:val="20"/>
          <w:color w:val="auto"/>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Operations</w:t>
      </w:r>
      <w:r>
        <w:rPr>
          <w:rFonts w:ascii="Times New Roman" w:cs="Times New Roman" w:eastAsia="Times New Roman" w:hAnsi="Times New Roman"/>
          <w:sz w:val="20"/>
          <w:szCs w:val="20"/>
          <w:color w:val="auto"/>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 enhancing services.</w:t>
      </w:r>
    </w:p>
    <w:p>
      <w:pPr>
        <w:spacing w:after="0" w:line="76" w:lineRule="exact"/>
        <w:rPr>
          <w:rFonts w:ascii="Times New Roman" w:cs="Times New Roman" w:eastAsia="Times New Roman" w:hAnsi="Times New Roman"/>
          <w:sz w:val="20"/>
          <w:szCs w:val="20"/>
          <w:color w:val="auto"/>
        </w:rPr>
      </w:pPr>
    </w:p>
    <w:p>
      <w:pPr>
        <w:jc w:val="both"/>
        <w:ind w:left="760" w:hanging="378"/>
        <w:spacing w:after="0" w:line="260" w:lineRule="auto"/>
        <w:tabs>
          <w:tab w:leader="none" w:pos="76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w:t>
      </w:r>
      <w:r>
        <w:rPr>
          <w:rFonts w:ascii="Times New Roman" w:cs="Times New Roman" w:eastAsia="Times New Roman" w:hAnsi="Times New Roman"/>
          <w:sz w:val="19"/>
          <w:szCs w:val="19"/>
          <w:color w:val="auto"/>
        </w:rPr>
        <w:t>: Complying with legal and other requirements and otherwise protecting the company’s legal interests,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64" w:lineRule="exact"/>
        <w:rPr>
          <w:rFonts w:ascii="Times New Roman" w:cs="Times New Roman" w:eastAsia="Times New Roman" w:hAnsi="Times New Roman"/>
          <w:sz w:val="19"/>
          <w:szCs w:val="19"/>
          <w:color w:val="auto"/>
        </w:rPr>
      </w:pPr>
    </w:p>
    <w:p>
      <w:pPr>
        <w:jc w:val="both"/>
        <w:ind w:left="760" w:hanging="378"/>
        <w:spacing w:after="0" w:line="254" w:lineRule="auto"/>
        <w:tabs>
          <w:tab w:leader="none" w:pos="76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Monitoring</w:t>
      </w:r>
      <w:r>
        <w:rPr>
          <w:rFonts w:ascii="Times New Roman" w:cs="Times New Roman" w:eastAsia="Times New Roman" w:hAnsi="Times New Roman"/>
          <w:sz w:val="20"/>
          <w:szCs w:val="20"/>
          <w:color w:val="auto"/>
        </w:rPr>
        <w:t>: Monitoring use of Company assets,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Complying with record keeping requirements</w:t>
      </w:r>
      <w:r>
        <w:rPr>
          <w:rFonts w:ascii="Times New Roman" w:cs="Times New Roman" w:eastAsia="Times New Roman" w:hAnsi="Times New Roman"/>
          <w:sz w:val="20"/>
          <w:szCs w:val="20"/>
          <w:color w:val="auto"/>
        </w:rPr>
        <w:t>: Complying with record keeping requirements, including retention requirements mandated by statute or governmental regulatory agencies in the geographies where we do business, as defined in our agreements, or per client instructions.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color w:val="6F2F9F"/>
        </w:rPr>
        <w:t>Aggregate and de-identified information</w:t>
      </w:r>
      <w:r>
        <w:rPr>
          <w:rFonts w:ascii="Times New Roman" w:cs="Times New Roman" w:eastAsia="Times New Roman" w:hAnsi="Times New Roman"/>
          <w:sz w:val="19"/>
          <w:szCs w:val="19"/>
          <w:color w:val="000000"/>
        </w:rPr>
        <w:t>. To the extent permitted by law, we may de-identify Personal Information and create anonymous</w:t>
      </w:r>
      <w:r>
        <w:rPr>
          <w:rFonts w:ascii="Times New Roman" w:cs="Times New Roman" w:eastAsia="Times New Roman" w:hAnsi="Times New Roman"/>
          <w:sz w:val="19"/>
          <w:szCs w:val="19"/>
          <w:b w:val="1"/>
          <w:bCs w:val="1"/>
          <w:color w:val="6F2F9F"/>
        </w:rPr>
        <w:t xml:space="preserve"> </w:t>
      </w:r>
      <w:r>
        <w:rPr>
          <w:rFonts w:ascii="Times New Roman" w:cs="Times New Roman" w:eastAsia="Times New Roman" w:hAnsi="Times New Roman"/>
          <w:sz w:val="19"/>
          <w:szCs w:val="19"/>
          <w:color w:val="000000"/>
        </w:rPr>
        <w:t>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 identified data cannot be associated with any individual or client. We will only maintain and use such data in a de-identified manner and do not attempt to re-identify the data, except as permitted by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The categories of unaffiliated third parties with whom WTW may share Personal Information:</w:t>
      </w:r>
    </w:p>
    <w:p>
      <w:pPr>
        <w:spacing w:after="0" w:line="112" w:lineRule="exact"/>
        <w:rPr>
          <w:sz w:val="20"/>
          <w:szCs w:val="20"/>
          <w:color w:val="auto"/>
        </w:rPr>
      </w:pPr>
    </w:p>
    <w:p>
      <w:pPr>
        <w:ind w:left="760" w:hanging="378"/>
        <w:spacing w:after="0" w:line="269" w:lineRule="auto"/>
        <w:tabs>
          <w:tab w:leader="none" w:pos="7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Professional Advisors</w:t>
      </w:r>
      <w:r>
        <w:rPr>
          <w:rFonts w:ascii="Times New Roman" w:cs="Times New Roman" w:eastAsia="Times New Roman" w:hAnsi="Times New Roman"/>
          <w:sz w:val="20"/>
          <w:szCs w:val="20"/>
          <w:color w:val="auto"/>
        </w:rPr>
        <w:t>: Accountants, auditors, lawyers, insurers, bankers, and other outside professional advisors in all of the countries in which the WTW operates.</w:t>
      </w:r>
    </w:p>
    <w:p>
      <w:pPr>
        <w:spacing w:after="0" w:line="51"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Providers</w:t>
      </w:r>
      <w:r>
        <w:rPr>
          <w:rFonts w:ascii="Times New Roman" w:cs="Times New Roman" w:eastAsia="Times New Roman" w:hAnsi="Times New Roman"/>
          <w:sz w:val="20"/>
          <w:szCs w:val="20"/>
          <w:color w:val="auto"/>
        </w:rPr>
        <w:t>: Companies that provide products and services to WTW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71"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and Governmental Authorities</w:t>
      </w:r>
      <w:r>
        <w:rPr>
          <w:rFonts w:ascii="Times New Roman" w:cs="Times New Roman" w:eastAsia="Times New Roman" w:hAnsi="Times New Roman"/>
          <w:sz w:val="20"/>
          <w:szCs w:val="20"/>
          <w:color w:val="auto"/>
        </w:rPr>
        <w:t>: Entities that regulate or have jurisdiction over companies in WTW such as regulatory authorities, law enforcement, public bodies, and judicial bodies (who may be located in other countries around the world).</w:t>
      </w:r>
    </w:p>
    <w:p>
      <w:pPr>
        <w:spacing w:after="0" w:line="51"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A third party in connection with any proposed or actual reorganization, merger, amalgamation, sale, joint venture, assignment, transfer or other disposition of all or any portion of WTW's business, assets or stock (including in connection with any bankruptcy or similar proceedings).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2– Processing of Personal Information Related to Internal Investigations</w:t>
      </w:r>
    </w:p>
    <w:p>
      <w:pPr>
        <w:spacing w:after="0" w:line="22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An internal investigation may arise for a variety of reasons, such as when the Legal or Compliance teams receive a report related to colleague actions or omissions that could constitute abuse, harassment, discrimination, wrongdoing, or violations of law or WTW policy. During an internal investigation, WTW may collect, use and process your Personal Information in accordance with the Global Employee Personal Information Protection Notice generally and also the provisions of this Annex 2.</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an internal investigation, your Personal Information will be processed for the purposes of conducting the investigation. In addition, it may be processed for purposes of WTW ensuring compliance with its ethical and legal responsibilities, and for WTW to act based on the findings of the investigation. The lawful basis for this processing is the legitimate interest of WTW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Personal Information obtained during an internal investigation will be accessible only to those authorized WTW colleagues involved with the investigation. It may also be shared with third parties engaged by WTW who are assisting with the investigation such as legal counsel. Under appropriate circumstances, Personal Information obtained during an investigation may also be shared with legal authorities, regulators and/or the courts.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Personal Information related to the investigation will be maintained for as long as necessary for the purposes set forth above and in accordance with our Records Management Policy. For example, if you are interviewed, the Personal Information related to your interview will be retained, archived, and ultimately deleted in accordance with the WTW Records Management Policy.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3 – Information for California Residents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66" w:lineRule="exact"/>
        <w:rPr>
          <w:sz w:val="20"/>
          <w:szCs w:val="20"/>
          <w:color w:val="auto"/>
        </w:rPr>
      </w:pPr>
    </w:p>
    <w:p>
      <w:pPr>
        <w:ind w:left="760" w:hanging="378"/>
        <w:spacing w:after="0"/>
        <w:tabs>
          <w:tab w:leader="none" w:pos="7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information made lawfully available by state or federal governments</w:t>
      </w:r>
    </w:p>
    <w:p>
      <w:pPr>
        <w:spacing w:after="0" w:line="107" w:lineRule="exact"/>
        <w:rPr>
          <w:rFonts w:ascii="Times New Roman" w:cs="Times New Roman" w:eastAsia="Times New Roman" w:hAnsi="Times New Roman"/>
          <w:sz w:val="20"/>
          <w:szCs w:val="20"/>
          <w:color w:val="auto"/>
        </w:rPr>
      </w:pPr>
    </w:p>
    <w:p>
      <w:pPr>
        <w:ind w:left="760" w:right="140" w:hanging="378"/>
        <w:spacing w:after="0" w:line="254" w:lineRule="auto"/>
        <w:tabs>
          <w:tab w:leader="none" w:pos="7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spacing w:after="0" w:line="66"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we collect about job applicants or independent contractors at WTW</w:t>
      </w:r>
    </w:p>
    <w:p>
      <w:pPr>
        <w:spacing w:after="0" w:line="107" w:lineRule="exact"/>
        <w:rPr>
          <w:rFonts w:ascii="Times New Roman" w:cs="Times New Roman" w:eastAsia="Times New Roman" w:hAnsi="Times New Roman"/>
          <w:sz w:val="20"/>
          <w:szCs w:val="20"/>
          <w:color w:val="auto"/>
        </w:rPr>
      </w:pPr>
    </w:p>
    <w:p>
      <w:pPr>
        <w:ind w:left="760" w:right="120" w:hanging="378"/>
        <w:spacing w:after="0" w:line="249" w:lineRule="auto"/>
        <w:tabs>
          <w:tab w:leader="none" w:pos="76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6F2F9F"/>
        </w:rPr>
        <w:t>Categories of personal information we collect, disclose, sell, or share</w:t>
      </w:r>
      <w:r>
        <w:rPr>
          <w:rFonts w:ascii="Times New Roman" w:cs="Times New Roman" w:eastAsia="Times New Roman" w:hAnsi="Times New Roman"/>
          <w:sz w:val="20"/>
          <w:szCs w:val="20"/>
          <w:color w:val="000000"/>
        </w:rPr>
        <w:t>. Our collection, use and disclosure of personal information about a</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6F2F9F"/>
        </w:rPr>
        <w:t>Rights of California residents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California law grants California residents certain rights and imposes restrictions on particular business</w:t>
      </w:r>
      <w:r>
        <w:rPr>
          <w:rFonts w:ascii="Times New Roman" w:cs="Times New Roman" w:eastAsia="Times New Roman" w:hAnsi="Times New Roman"/>
          <w:sz w:val="20"/>
          <w:szCs w:val="20"/>
          <w:b w:val="1"/>
          <w:bCs w:val="1"/>
          <w:color w:val="6F2F9F"/>
        </w:rPr>
        <w:t xml:space="preserve"> </w:t>
      </w:r>
      <w:r>
        <w:rPr>
          <w:rFonts w:ascii="Times New Roman" w:cs="Times New Roman" w:eastAsia="Times New Roman" w:hAnsi="Times New Roman"/>
          <w:sz w:val="20"/>
          <w:szCs w:val="20"/>
          <w:color w:val="000000"/>
        </w:rPr>
        <w:t>practices as set forth below.</w:t>
      </w:r>
    </w:p>
    <w:p>
      <w:pPr>
        <w:spacing w:after="0" w:line="44" w:lineRule="exact"/>
        <w:rPr>
          <w:sz w:val="20"/>
          <w:szCs w:val="20"/>
          <w:color w:val="auto"/>
        </w:rPr>
      </w:pPr>
    </w:p>
    <w:p>
      <w:pPr>
        <w:ind w:left="760" w:hanging="378"/>
        <w:spacing w:after="0" w:line="273" w:lineRule="auto"/>
        <w:tabs>
          <w:tab w:leader="none" w:pos="7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Do-Not-Sell</w:t>
      </w:r>
      <w:r>
        <w:rPr>
          <w:rFonts w:ascii="Times New Roman" w:cs="Times New Roman" w:eastAsia="Times New Roman" w:hAnsi="Times New Roman"/>
          <w:sz w:val="20"/>
          <w:szCs w:val="20"/>
          <w:color w:val="auto"/>
        </w:rPr>
        <w:t>: California residents have the right to opt-out of our sale of their personal information. We do not “sell”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subject to this Notice.</w:t>
      </w:r>
    </w:p>
    <w:p>
      <w:pPr>
        <w:spacing w:after="0" w:line="43"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Initial Notice</w:t>
      </w:r>
      <w:r>
        <w:rPr>
          <w:rFonts w:ascii="Times New Roman" w:cs="Times New Roman" w:eastAsia="Times New Roman" w:hAnsi="Times New Roman"/>
          <w:sz w:val="20"/>
          <w:szCs w:val="20"/>
          <w:color w:val="auto"/>
        </w:rPr>
        <w:t>: We are required to notify California residents, at or before the point of collection of their personal information,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categories of personal information collected and the purposes for which such information is used.</w:t>
      </w:r>
    </w:p>
    <w:p>
      <w:pPr>
        <w:spacing w:after="0" w:line="43"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Delete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California residents have the right to request deletion of their personal information that we have collected about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67"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 the Use of Sensitive Personal Information: </w:t>
      </w:r>
      <w:r>
        <w:rPr>
          <w:rFonts w:ascii="Times New Roman" w:cs="Times New Roman" w:eastAsia="Times New Roman" w:hAnsi="Times New Roman"/>
          <w:sz w:val="20"/>
          <w:szCs w:val="20"/>
          <w:color w:val="auto"/>
        </w:rPr>
        <w:t>California residents have the right in certain instances to request that we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 and sharing of their sensitive personal information. The 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70"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Know</w:t>
      </w:r>
      <w:r>
        <w:rPr>
          <w:rFonts w:ascii="Times New Roman" w:cs="Times New Roman" w:eastAsia="Times New Roman" w:hAnsi="Times New Roman"/>
          <w:sz w:val="20"/>
          <w:szCs w:val="20"/>
          <w:color w:val="auto"/>
        </w:rPr>
        <w:t>: California residents have the right to request and, subject to certain exemptions, receive a copy of the specific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8" w:name="page139"/>
    <w:bookmarkEnd w:id="138"/>
    <w:p>
      <w:pPr>
        <w:ind w:left="760"/>
        <w:spacing w:after="0" w:line="269" w:lineRule="auto"/>
        <w:rPr>
          <w:sz w:val="20"/>
          <w:szCs w:val="20"/>
          <w:color w:val="auto"/>
        </w:rPr>
      </w:pPr>
      <w:r>
        <w:rPr>
          <w:rFonts w:ascii="Times New Roman" w:cs="Times New Roman" w:eastAsia="Times New Roman" w:hAnsi="Times New Roman"/>
          <w:sz w:val="20"/>
          <w:szCs w:val="20"/>
          <w:color w:val="auto"/>
        </w:rPr>
        <w:t>entity without hindrance. California residents also have the right to request that we provide them certain information about how we have handled their personal information, including the:</w:t>
      </w:r>
    </w:p>
    <w:p>
      <w:pPr>
        <w:spacing w:after="0" w:line="51" w:lineRule="exact"/>
        <w:rPr>
          <w:sz w:val="20"/>
          <w:szCs w:val="20"/>
          <w:color w:val="auto"/>
        </w:rPr>
      </w:pPr>
    </w:p>
    <w:p>
      <w:pPr>
        <w:ind w:left="1140" w:hanging="383"/>
        <w:spacing w:after="0"/>
        <w:tabs>
          <w:tab w:leader="none" w:pos="11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collected;</w:t>
      </w:r>
    </w:p>
    <w:p>
      <w:pPr>
        <w:spacing w:after="0" w:line="21"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sources of personal information;</w:t>
      </w:r>
    </w:p>
    <w:p>
      <w:pPr>
        <w:ind w:left="1140" w:hanging="383"/>
        <w:spacing w:after="0"/>
        <w:tabs>
          <w:tab w:leader="none" w:pos="11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and/or commercial purposes for collecting and selling their personal information;</w:t>
      </w:r>
    </w:p>
    <w:p>
      <w:pPr>
        <w:ind w:left="1140" w:hanging="383"/>
        <w:spacing w:after="0"/>
        <w:tabs>
          <w:tab w:leader="none" w:pos="11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third parties with whom we have shared their personal information;</w:t>
      </w:r>
    </w:p>
    <w:p>
      <w:pPr>
        <w:ind w:left="1140" w:hanging="383"/>
        <w:spacing w:after="0" w:line="239" w:lineRule="auto"/>
        <w:tabs>
          <w:tab w:leader="none" w:pos="11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that we have sold in the preceding 12 months, and for each category identified, the categories of third parties to which we sold that particular category of information; and</w:t>
      </w:r>
    </w:p>
    <w:p>
      <w:pPr>
        <w:ind w:left="1140" w:hanging="383"/>
        <w:spacing w:after="0" w:line="246" w:lineRule="auto"/>
        <w:tabs>
          <w:tab w:leader="none" w:pos="114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categories of personal information disclosed for a business purpose in the preceding 12 months, and for each category identified, the categories of third parties to which we disclosed that particular category of personal information.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62" w:lineRule="exact"/>
        <w:rPr>
          <w:sz w:val="20"/>
          <w:szCs w:val="20"/>
          <w:color w:val="auto"/>
        </w:rPr>
      </w:pPr>
    </w:p>
    <w:p>
      <w:pPr>
        <w:ind w:left="760" w:hanging="378"/>
        <w:spacing w:after="0"/>
        <w:tabs>
          <w:tab w:leader="none" w:pos="7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Correct</w:t>
      </w:r>
      <w:r>
        <w:rPr>
          <w:rFonts w:ascii="Times New Roman" w:cs="Times New Roman" w:eastAsia="Times New Roman" w:hAnsi="Times New Roman"/>
          <w:sz w:val="20"/>
          <w:szCs w:val="20"/>
          <w:color w:val="auto"/>
        </w:rPr>
        <w:t>: California residents have the right to request that we correct inaccurate personal information that we maintain.</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Right to Non-Discrimination</w:t>
      </w:r>
      <w:r>
        <w:rPr>
          <w:rFonts w:ascii="Times New Roman" w:cs="Times New Roman" w:eastAsia="Times New Roman" w:hAnsi="Times New Roman"/>
          <w:sz w:val="20"/>
          <w:szCs w:val="20"/>
          <w:color w:val="auto"/>
        </w:rPr>
        <w:t>: The CCPA prohibits discrimination against California residents for exercising their rights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67"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Incentives</w:t>
      </w:r>
      <w:r>
        <w:rPr>
          <w:rFonts w:ascii="Times New Roman" w:cs="Times New Roman" w:eastAsia="Times New Roman" w:hAnsi="Times New Roman"/>
          <w:sz w:val="20"/>
          <w:szCs w:val="20"/>
          <w:color w:val="auto"/>
        </w:rPr>
        <w:t>: A business may offer financial incentives for the collection, sale or deletion of California residents’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72"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Submitting Requests</w:t>
      </w:r>
      <w:r>
        <w:rPr>
          <w:rFonts w:ascii="Times New Roman" w:cs="Times New Roman" w:eastAsia="Times New Roman" w:hAnsi="Times New Roman"/>
          <w:sz w:val="20"/>
          <w:szCs w:val="20"/>
          <w:color w:val="auto"/>
        </w:rPr>
        <w:t>. Do-Not-Sell (Opt-out) Requests, Requests to Know, Requests to Delete, Requests to Limit, and Requests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Correct may be submitted:</w:t>
      </w:r>
    </w:p>
    <w:p>
      <w:pPr>
        <w:spacing w:after="0" w:line="156" w:lineRule="exact"/>
        <w:rPr>
          <w:sz w:val="20"/>
          <w:szCs w:val="20"/>
          <w:color w:val="auto"/>
        </w:rPr>
      </w:pPr>
    </w:p>
    <w:p>
      <w:pPr>
        <w:ind w:left="1500" w:hanging="369"/>
        <w:spacing w:after="0"/>
        <w:tabs>
          <w:tab w:leader="none" w:pos="15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contacting us at 1-800-889-9288 (toll free)</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submitting a Consumer Request through this link</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66" w:lineRule="exact"/>
        <w:rPr>
          <w:sz w:val="20"/>
          <w:szCs w:val="20"/>
          <w:color w:val="auto"/>
        </w:rPr>
      </w:pPr>
    </w:p>
    <w:p>
      <w:pPr>
        <w:jc w:val="both"/>
        <w:ind w:left="760" w:hanging="378"/>
        <w:spacing w:after="0" w:line="254" w:lineRule="auto"/>
        <w:tabs>
          <w:tab w:leader="none" w:pos="7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will respond to verifiable requests received from California residents as required by law. For more information about our privacy practices, you may contact us as set forth above.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Consumer Requests Received</w:t>
      </w:r>
      <w:r>
        <w:rPr>
          <w:rFonts w:ascii="Times New Roman" w:cs="Times New Roman" w:eastAsia="Times New Roman" w:hAnsi="Times New Roman"/>
          <w:sz w:val="20"/>
          <w:szCs w:val="20"/>
          <w:color w:val="auto"/>
        </w:rPr>
        <w:t>. For information about the consumer requests we have received, please see this page.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F2F9F"/>
        </w:rPr>
        <w:t>Opt-Out Preference Signals and “Do-Not-Track” Signals.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4 – Information for Residents of the Kingdom of Saudi Arabia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What do we do? </w:t>
      </w:r>
      <w:r>
        <w:rPr>
          <w:rFonts w:ascii="Times New Roman" w:cs="Times New Roman" w:eastAsia="Times New Roman" w:hAnsi="Times New Roman"/>
          <w:sz w:val="20"/>
          <w:szCs w:val="20"/>
          <w:color w:val="auto"/>
        </w:rPr>
        <w:t>At WTW we provide data-driven, insight-led solutions in the areas of people, risk and capital.</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Additional legal basis. </w:t>
      </w:r>
      <w:r>
        <w:rPr>
          <w:rFonts w:ascii="Times New Roman" w:cs="Times New Roman" w:eastAsia="Times New Roman" w:hAnsi="Times New Roman"/>
          <w:sz w:val="20"/>
          <w:szCs w:val="20"/>
          <w:color w:val="auto"/>
        </w:rPr>
        <w:t>The PDPL provides for several sets of legal bases for processing personal information. In addition to those listed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and in the event that personal information is to be processed in accordance with the PDPL, we may process your personal information on the basis of your actual interests – this would be the case where the processing would serve your actual interests, but communicating with you becomes difficult, or even impossible.</w:t>
      </w:r>
    </w:p>
    <w:p>
      <w:pPr>
        <w:spacing w:after="0" w:line="17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Additional rights. </w:t>
      </w:r>
      <w:r>
        <w:rPr>
          <w:rFonts w:ascii="Times New Roman" w:cs="Times New Roman" w:eastAsia="Times New Roman" w:hAnsi="Times New Roman"/>
          <w:sz w:val="20"/>
          <w:szCs w:val="20"/>
          <w:color w:val="auto"/>
        </w:rPr>
        <w:t>You may have the right to claim compensation for material or moral damage if you are harmed as a result of our violation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PDPL or its implementing regulations.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outlined in the section entitled "Access and correction requests, questions, and complaints" you can complain to us and if you are not satisfied with how we handle your complaint, you can file a complaint to the Saudi Data and Artificial Intelligence Authority at this link: https://sdaia.gov.sa/en/Contact/Pages/ContactUs.aspx</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5 - Information for Residents of Bermuda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applies to any individual’s personal information used in Bermuda in accordance with PIPA: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Rights under PIPA:</w:t>
      </w:r>
    </w:p>
    <w:p>
      <w:pPr>
        <w:spacing w:after="0" w:line="108" w:lineRule="exact"/>
        <w:rPr>
          <w:sz w:val="20"/>
          <w:szCs w:val="20"/>
          <w:color w:val="auto"/>
        </w:rPr>
      </w:pPr>
    </w:p>
    <w:p>
      <w:pPr>
        <w:jc w:val="both"/>
        <w:ind w:left="760" w:hanging="378"/>
        <w:spacing w:after="0" w:line="256" w:lineRule="auto"/>
        <w:tabs>
          <w:tab w:leader="none" w:pos="7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Access</w:t>
      </w:r>
      <w:r>
        <w:rPr>
          <w:rFonts w:ascii="Times New Roman" w:cs="Times New Roman" w:eastAsia="Times New Roman" w:hAnsi="Times New Roman"/>
          <w:sz w:val="20"/>
          <w:szCs w:val="20"/>
          <w:color w:val="auto"/>
        </w:rPr>
        <w:t>: You have the right to request access: (i) your personal information in the custody or under the control of the Willis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Towers Watson; (ii) the purposes for which your personal information has been and is being used by us; and (iii) the names of the persons or types of persons to whom and circumstances in which your personal information has been and is being disclosed.</w:t>
      </w:r>
    </w:p>
    <w:p>
      <w:pPr>
        <w:spacing w:after="0" w:line="60"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Access Medical Records</w:t>
      </w:r>
      <w:r>
        <w:rPr>
          <w:rFonts w:ascii="Times New Roman" w:cs="Times New Roman" w:eastAsia="Times New Roman" w:hAnsi="Times New Roman"/>
          <w:sz w:val="20"/>
          <w:szCs w:val="20"/>
          <w:color w:val="auto"/>
        </w:rPr>
        <w:t>: You have the right to request access to personal information (i) of a medical or psychiatric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nature; or (ii) kept for the purposes of, or obtained in the course of, the carrying out of social work in relation to the individual.</w:t>
      </w:r>
    </w:p>
    <w:p>
      <w:pPr>
        <w:spacing w:after="0" w:line="43"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Correction</w:t>
      </w:r>
      <w:r>
        <w:rPr>
          <w:rFonts w:ascii="Times New Roman" w:cs="Times New Roman" w:eastAsia="Times New Roman" w:hAnsi="Times New Roman"/>
          <w:sz w:val="20"/>
          <w:szCs w:val="20"/>
          <w:color w:val="auto"/>
        </w:rPr>
        <w:t>: You have the right to request us to correct an error or omission in your personal information which is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control of Willis Towers Watson.</w:t>
      </w:r>
    </w:p>
    <w:p>
      <w:pPr>
        <w:spacing w:after="0" w:line="43"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Erasure or Destruction</w:t>
      </w:r>
      <w:r>
        <w:rPr>
          <w:rFonts w:ascii="Times New Roman" w:cs="Times New Roman" w:eastAsia="Times New Roman" w:hAnsi="Times New Roman"/>
          <w:sz w:val="20"/>
          <w:szCs w:val="20"/>
          <w:color w:val="auto"/>
        </w:rPr>
        <w:t>: You have the right to request us to erase or destroy personal information about you where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information is no longer relevant for the purposes of its use.</w:t>
      </w:r>
    </w:p>
    <w:p>
      <w:pPr>
        <w:spacing w:after="0" w:line="43" w:lineRule="exact"/>
        <w:rPr>
          <w:rFonts w:ascii="Times New Roman" w:cs="Times New Roman" w:eastAsia="Times New Roman" w:hAnsi="Times New Roman"/>
          <w:sz w:val="20"/>
          <w:szCs w:val="20"/>
          <w:color w:val="auto"/>
        </w:rPr>
      </w:pPr>
    </w:p>
    <w:p>
      <w:pPr>
        <w:jc w:val="both"/>
        <w:ind w:left="760" w:hanging="378"/>
        <w:spacing w:after="0" w:line="256" w:lineRule="auto"/>
        <w:tabs>
          <w:tab w:leader="none" w:pos="7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Blocking</w:t>
      </w:r>
      <w:r>
        <w:rPr>
          <w:rFonts w:ascii="Times New Roman" w:cs="Times New Roman" w:eastAsia="Times New Roman" w:hAnsi="Times New Roman"/>
          <w:sz w:val="20"/>
          <w:szCs w:val="20"/>
          <w:color w:val="auto"/>
        </w:rPr>
        <w:t>: You have the right to request us to cease, or not to begin, using your personal information for the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advertising, marketing or public relations, or where the use of that personal information is causing or is likely to cause substantial damage or substantial distress to you or to another individual.</w:t>
      </w:r>
    </w:p>
    <w:p>
      <w:pPr>
        <w:spacing w:after="0" w:line="60" w:lineRule="exact"/>
        <w:rPr>
          <w:rFonts w:ascii="Times New Roman" w:cs="Times New Roman" w:eastAsia="Times New Roman" w:hAnsi="Times New Roman"/>
          <w:sz w:val="20"/>
          <w:szCs w:val="20"/>
          <w:color w:val="auto"/>
        </w:rPr>
      </w:pPr>
    </w:p>
    <w:p>
      <w:pPr>
        <w:ind w:left="760" w:hanging="378"/>
        <w:spacing w:after="0" w:line="273" w:lineRule="auto"/>
        <w:tabs>
          <w:tab w:leader="none" w:pos="76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to Review or Initiate a Complaint</w:t>
      </w:r>
      <w:r>
        <w:rPr>
          <w:rFonts w:ascii="Times New Roman" w:cs="Times New Roman" w:eastAsia="Times New Roman" w:hAnsi="Times New Roman"/>
          <w:sz w:val="20"/>
          <w:szCs w:val="20"/>
          <w:color w:val="auto"/>
        </w:rPr>
        <w:t>: Where an individual has made a request of us in respect of their personal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they may ask the Privacy Commissioner for Bermuda to review our decision, action or failure to act.</w:t>
      </w:r>
    </w:p>
    <w:p>
      <w:pPr>
        <w:spacing w:after="0" w:line="15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b w:val="1"/>
          <w:bCs w:val="1"/>
          <w:color w:val="auto"/>
        </w:rPr>
        <w:t>Submitting Requests</w:t>
      </w:r>
      <w:r>
        <w:rPr>
          <w:rFonts w:ascii="Times New Roman" w:cs="Times New Roman" w:eastAsia="Times New Roman" w:hAnsi="Times New Roman"/>
          <w:sz w:val="20"/>
          <w:szCs w:val="20"/>
          <w:color w:val="auto"/>
        </w:rPr>
        <w:t>: You can exercise your rights by submitting a written request setting out sufficient detail to enable us to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identify the personal information in the request:</w:t>
      </w:r>
    </w:p>
    <w:p>
      <w:pPr>
        <w:spacing w:after="0" w:line="48" w:lineRule="exact"/>
        <w:rPr>
          <w:sz w:val="20"/>
          <w:szCs w:val="20"/>
          <w:color w:val="auto"/>
        </w:rPr>
      </w:pPr>
    </w:p>
    <w:p>
      <w:pPr>
        <w:ind w:left="760" w:hanging="378"/>
        <w:spacing w:after="0"/>
        <w:tabs>
          <w:tab w:leader="none" w:pos="7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emailing us at dataaccessrequest@wtwco.com</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submitting a request through this link.</w:t>
      </w:r>
    </w:p>
    <w:p>
      <w:pPr>
        <w:spacing w:after="0" w:line="21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Compensation for financial loss or distress</w:t>
      </w:r>
      <w:r>
        <w:rPr>
          <w:rFonts w:ascii="Times New Roman" w:cs="Times New Roman" w:eastAsia="Times New Roman" w:hAnsi="Times New Roman"/>
          <w:sz w:val="20"/>
          <w:szCs w:val="20"/>
          <w:color w:val="auto"/>
        </w:rPr>
        <w:t>: An individual who suffers financial loss or emotional distress by reason of failure to comply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any of the requirements of PIPA by WTW is entitled to compensation from Willis Towers Watson.</w:t>
      </w:r>
    </w:p>
    <w:p>
      <w:pPr>
        <w:spacing w:after="0" w:line="1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How to contact us in Bermuda</w:t>
      </w:r>
      <w:r>
        <w:rPr>
          <w:rFonts w:ascii="Times New Roman" w:cs="Times New Roman" w:eastAsia="Times New Roman" w:hAnsi="Times New Roman"/>
          <w:sz w:val="20"/>
          <w:szCs w:val="20"/>
          <w:color w:val="auto"/>
        </w:rPr>
        <w:t>: If you have any questions or comments about this privacy notice regarding PIPA or our uses of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please contact our Privacy Officer by writing to privacy@wtwco.com.</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6 – Special categories of personal Information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Policy Document Related to the United Kingdom</w:t>
      </w:r>
    </w:p>
    <w:p>
      <w:pPr>
        <w:spacing w:after="0" w:line="20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20"/>
          <w:szCs w:val="20"/>
          <w:b w:val="1"/>
          <w:bCs w:val="1"/>
          <w:u w:val="single" w:color="auto"/>
          <w:color w:val="auto"/>
        </w:rPr>
        <w:t>L</w:t>
      </w:r>
      <w:r>
        <w:rPr>
          <w:rFonts w:ascii="Times New Roman" w:cs="Times New Roman" w:eastAsia="Times New Roman" w:hAnsi="Times New Roman"/>
          <w:sz w:val="13"/>
          <w:szCs w:val="13"/>
          <w:b w:val="1"/>
          <w:bCs w:val="1"/>
          <w:u w:val="single" w:color="auto"/>
          <w:color w:val="auto"/>
        </w:rPr>
        <w:t>ast updated</w:t>
      </w:r>
      <w:r>
        <w:rPr>
          <w:rFonts w:ascii="Times New Roman" w:cs="Times New Roman" w:eastAsia="Times New Roman" w:hAnsi="Times New Roman"/>
          <w:sz w:val="20"/>
          <w:szCs w:val="20"/>
          <w:b w:val="1"/>
          <w:bCs w:val="1"/>
          <w:color w:val="auto"/>
        </w:rPr>
        <w:t>: J</w:t>
      </w:r>
      <w:r>
        <w:rPr>
          <w:rFonts w:ascii="Times New Roman" w:cs="Times New Roman" w:eastAsia="Times New Roman" w:hAnsi="Times New Roman"/>
          <w:sz w:val="13"/>
          <w:szCs w:val="13"/>
          <w:b w:val="1"/>
          <w:bCs w:val="1"/>
          <w:color w:val="auto"/>
        </w:rPr>
        <w:t>une</w:t>
      </w:r>
      <w:r>
        <w:rPr>
          <w:rFonts w:ascii="Times New Roman" w:cs="Times New Roman" w:eastAsia="Times New Roman" w:hAnsi="Times New Roman"/>
          <w:sz w:val="20"/>
          <w:szCs w:val="20"/>
          <w:b w:val="1"/>
          <w:bCs w:val="1"/>
          <w:color w:val="auto"/>
        </w:rPr>
        <w:t xml:space="preserve"> 2024</w:t>
      </w:r>
    </w:p>
    <w:p>
      <w:pPr>
        <w:spacing w:after="0" w:line="220" w:lineRule="exact"/>
        <w:rPr>
          <w:sz w:val="20"/>
          <w:szCs w:val="20"/>
          <w:color w:val="auto"/>
        </w:rPr>
      </w:pPr>
    </w:p>
    <w:p>
      <w:pPr>
        <w:ind w:left="760" w:hanging="752"/>
        <w:spacing w:after="0"/>
        <w:tabs>
          <w:tab w:leader="none" w:pos="760" w:val="left"/>
        </w:tabs>
        <w:numPr>
          <w:ilvl w:val="0"/>
          <w:numId w:val="16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objective</w:t>
      </w:r>
    </w:p>
    <w:p>
      <w:pPr>
        <w:spacing w:after="0" w:line="212" w:lineRule="exact"/>
        <w:rPr>
          <w:sz w:val="20"/>
          <w:szCs w:val="20"/>
          <w:color w:val="auto"/>
        </w:rPr>
      </w:pPr>
    </w:p>
    <w:p>
      <w:pPr>
        <w:jc w:val="both"/>
        <w:ind w:left="1060" w:hanging="748"/>
        <w:spacing w:after="0" w:line="256" w:lineRule="auto"/>
        <w:tabs>
          <w:tab w:leader="none" w:pos="10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This Special categories of personal information Policy Document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has been established to ensure that WTW processes special categories of personal information in a way which complies with the UK Data Protection Act 2018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where it applies.</w:t>
      </w:r>
    </w:p>
    <w:p>
      <w:pPr>
        <w:spacing w:after="0" w:line="173" w:lineRule="exact"/>
        <w:rPr>
          <w:sz w:val="20"/>
          <w:szCs w:val="20"/>
          <w:color w:val="auto"/>
        </w:rPr>
      </w:pPr>
    </w:p>
    <w:p>
      <w:pPr>
        <w:ind w:left="760" w:hanging="752"/>
        <w:spacing w:after="0"/>
        <w:tabs>
          <w:tab w:leader="none" w:pos="760" w:val="left"/>
        </w:tabs>
        <w:numPr>
          <w:ilvl w:val="0"/>
          <w:numId w:val="170"/>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Scope</w:t>
      </w:r>
    </w:p>
    <w:p>
      <w:pPr>
        <w:spacing w:after="0" w:line="212" w:lineRule="exact"/>
        <w:rPr>
          <w:sz w:val="20"/>
          <w:szCs w:val="20"/>
          <w:color w:val="auto"/>
        </w:rPr>
      </w:pPr>
    </w:p>
    <w:p>
      <w:pPr>
        <w:jc w:val="both"/>
        <w:ind w:left="1060" w:hanging="748"/>
        <w:spacing w:after="0" w:line="256" w:lineRule="auto"/>
        <w:tabs>
          <w:tab w:leader="none" w:pos="10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 xml:space="preserve">This Policy applies to all subsidiary companies of WTW PLC based in the </w:t>
      </w:r>
      <w:r>
        <w:rPr>
          <w:rFonts w:ascii="Times New Roman" w:cs="Times New Roman" w:eastAsia="Times New Roman" w:hAnsi="Times New Roman"/>
          <w:sz w:val="20"/>
          <w:szCs w:val="20"/>
          <w:b w:val="1"/>
          <w:bCs w:val="1"/>
          <w:color w:val="auto"/>
        </w:rPr>
        <w:t>United Kingdom</w:t>
      </w:r>
      <w:r>
        <w:rPr>
          <w:rFonts w:ascii="Times New Roman" w:cs="Times New Roman" w:eastAsia="Times New Roman" w:hAnsi="Times New Roman"/>
          <w:sz w:val="20"/>
          <w:szCs w:val="20"/>
          <w:color w:val="auto"/>
        </w:rPr>
        <w:t xml:space="preserve">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Willis Towers Watson</w:t>
      </w:r>
      <w:r>
        <w:rPr>
          <w:rFonts w:ascii="Times New Roman" w:cs="Times New Roman" w:eastAsia="Times New Roman" w:hAnsi="Times New Roman"/>
          <w:sz w:val="20"/>
          <w:szCs w:val="20"/>
          <w:color w:val="auto"/>
        </w:rPr>
        <w:t>"). All permanent and temporary employees, officers and directors (collectively, "</w:t>
      </w:r>
      <w:r>
        <w:rPr>
          <w:rFonts w:ascii="Times New Roman" w:cs="Times New Roman" w:eastAsia="Times New Roman" w:hAnsi="Times New Roman"/>
          <w:sz w:val="20"/>
          <w:szCs w:val="20"/>
          <w:b w:val="1"/>
          <w:bCs w:val="1"/>
          <w:color w:val="auto"/>
        </w:rPr>
        <w:t>Employees</w:t>
      </w:r>
      <w:r>
        <w:rPr>
          <w:rFonts w:ascii="Times New Roman" w:cs="Times New Roman" w:eastAsia="Times New Roman" w:hAnsi="Times New Roman"/>
          <w:sz w:val="20"/>
          <w:szCs w:val="20"/>
          <w:color w:val="auto"/>
        </w:rPr>
        <w:t>") of WTW operations in the United Kingdom are expected to comply with this Policy.</w:t>
      </w:r>
    </w:p>
    <w:p>
      <w:pPr>
        <w:spacing w:after="0" w:line="173" w:lineRule="exact"/>
        <w:rPr>
          <w:sz w:val="20"/>
          <w:szCs w:val="20"/>
          <w:color w:val="auto"/>
        </w:rPr>
      </w:pPr>
    </w:p>
    <w:p>
      <w:pPr>
        <w:jc w:val="both"/>
        <w:ind w:left="1060" w:hanging="748"/>
        <w:spacing w:after="0" w:line="249" w:lineRule="auto"/>
        <w:tabs>
          <w:tab w:leader="none" w:pos="10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Outside the United Kingdom, some jurisdictions may have laws that impose additional requirements as to the way in which WTW processes special categories of personal information. It is the responsibility of WTW entities to ensure compliance with all relevant country, regional and/or state laws, governmental regulations, professional practice obligations and regulatory guidance which relate to data privacy compliance.</w:t>
      </w:r>
    </w:p>
    <w:p>
      <w:pPr>
        <w:spacing w:after="0" w:line="180" w:lineRule="exact"/>
        <w:rPr>
          <w:sz w:val="20"/>
          <w:szCs w:val="20"/>
          <w:color w:val="auto"/>
        </w:rPr>
      </w:pPr>
    </w:p>
    <w:p>
      <w:pPr>
        <w:ind w:left="760" w:hanging="752"/>
        <w:spacing w:after="0"/>
        <w:tabs>
          <w:tab w:leader="none" w:pos="760" w:val="left"/>
        </w:tabs>
        <w:numPr>
          <w:ilvl w:val="0"/>
          <w:numId w:val="171"/>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Policy Governance</w:t>
      </w:r>
    </w:p>
    <w:p>
      <w:pPr>
        <w:spacing w:after="0" w:line="216"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Policy Owners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Policy Owner is the Chief Privacy Officer. The Chief Privacy Officer will be responsible for liaising with the local supervisory authority in connection with any questions arising in relation to this Policy.</w:t>
      </w:r>
    </w:p>
    <w:p>
      <w:pPr>
        <w:spacing w:after="0" w:line="159"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Policy Approval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WTW Chief Privacy Officer is responsible for approval of this Policy.</w:t>
      </w:r>
    </w:p>
    <w:p>
      <w:pPr>
        <w:spacing w:after="0" w:line="216"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Policy review/material changes to Policy</w:t>
      </w:r>
    </w:p>
    <w:p>
      <w:pPr>
        <w:spacing w:after="0" w:line="216"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This Policy will be reviewed at least annually, and the Policy Owner will be required to attest to policy adherence with material changes advised to the Privacy Team, for their approval. Global Privacy Office shall agree if such changes require escalation.</w:t>
      </w:r>
    </w:p>
    <w:p>
      <w:pPr>
        <w:spacing w:after="0" w:line="159" w:lineRule="exact"/>
        <w:rPr>
          <w:sz w:val="20"/>
          <w:szCs w:val="20"/>
          <w:color w:val="auto"/>
        </w:rPr>
      </w:pPr>
    </w:p>
    <w:p>
      <w:pPr>
        <w:ind w:left="740" w:hanging="732"/>
        <w:spacing w:after="0"/>
        <w:tabs>
          <w:tab w:leader="none" w:pos="740" w:val="left"/>
        </w:tabs>
        <w:numPr>
          <w:ilvl w:val="0"/>
          <w:numId w:val="172"/>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Background</w:t>
      </w:r>
    </w:p>
    <w:p>
      <w:pPr>
        <w:spacing w:after="0" w:line="212" w:lineRule="exact"/>
        <w:rPr>
          <w:sz w:val="20"/>
          <w:szCs w:val="20"/>
          <w:color w:val="auto"/>
        </w:rPr>
      </w:pPr>
    </w:p>
    <w:p>
      <w:pPr>
        <w:jc w:val="both"/>
        <w:ind w:left="1060" w:hanging="748"/>
        <w:spacing w:after="0" w:line="247" w:lineRule="auto"/>
        <w:tabs>
          <w:tab w:leader="none" w:pos="10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 categories of personal information</w:t>
      </w:r>
      <w:r>
        <w:rPr>
          <w:rFonts w:ascii="Times New Roman" w:cs="Times New Roman" w:eastAsia="Times New Roman" w:hAnsi="Times New Roman"/>
          <w:sz w:val="20"/>
          <w:szCs w:val="20"/>
          <w:color w:val="auto"/>
        </w:rPr>
        <w:t>" is personal data revealing racial or ethnic origin, political opinions, religious or philosophical beliefs, or trade union membership, genetic data or biometric data processed for the purpose of uniquely identifying a natural person, data concerning health or data concerning a natural person’s sex life or sexual orientation. WTW also treats information relating to criminal convictions and offences as falling within the definition of special categories of personal information.</w:t>
      </w:r>
    </w:p>
    <w:p>
      <w:pPr>
        <w:spacing w:after="0" w:line="184" w:lineRule="exact"/>
        <w:rPr>
          <w:sz w:val="20"/>
          <w:szCs w:val="20"/>
          <w:color w:val="auto"/>
        </w:rPr>
      </w:pPr>
    </w:p>
    <w:p>
      <w:pPr>
        <w:ind w:left="300"/>
        <w:spacing w:after="0"/>
        <w:tabs>
          <w:tab w:leader="none" w:pos="10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WTW collects the following types of special categories of personal information:</w:t>
      </w:r>
    </w:p>
    <w:p>
      <w:pPr>
        <w:spacing w:after="0" w:line="216" w:lineRule="exact"/>
        <w:rPr>
          <w:sz w:val="20"/>
          <w:szCs w:val="20"/>
          <w:color w:val="auto"/>
        </w:rPr>
      </w:pPr>
    </w:p>
    <w:p>
      <w:pPr>
        <w:ind w:left="1500" w:hanging="743"/>
        <w:spacing w:after="0" w:line="269" w:lineRule="auto"/>
        <w:tabs>
          <w:tab w:leader="none" w:pos="15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insurance purposes and claims handling in relation to insured individuals, claimants and related third parties.</w:t>
      </w:r>
    </w:p>
    <w:p>
      <w:pPr>
        <w:spacing w:after="0" w:line="15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for actuarial, pension scheme, and other benefits consultancy services.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43" w:name="page144"/>
    <w:bookmarkEnd w:id="143"/>
    <w:p>
      <w:pPr>
        <w:ind w:left="1200" w:hanging="743"/>
        <w:spacing w:after="0" w:line="269" w:lineRule="auto"/>
        <w:tabs>
          <w:tab w:leader="none" w:pos="12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health and criminal convictions and offences for human resources management purposes in relation to employees, contractors and agents.</w:t>
      </w:r>
    </w:p>
    <w:p>
      <w:pPr>
        <w:spacing w:after="0" w:line="159" w:lineRule="exact"/>
        <w:rPr>
          <w:rFonts w:ascii="Times New Roman" w:cs="Times New Roman" w:eastAsia="Times New Roman" w:hAnsi="Times New Roman"/>
          <w:sz w:val="20"/>
          <w:szCs w:val="20"/>
          <w:color w:val="auto"/>
        </w:rPr>
      </w:pPr>
    </w:p>
    <w:p>
      <w:pPr>
        <w:ind w:left="1200" w:right="20" w:hanging="743"/>
        <w:spacing w:after="0" w:line="269" w:lineRule="auto"/>
        <w:tabs>
          <w:tab w:leader="none" w:pos="12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racial or ethnic origin, religion and sexual orientation for diversity monitoring purposes in relation to job applicants, employees, contractors and agents.</w:t>
      </w:r>
    </w:p>
    <w:p>
      <w:pPr>
        <w:spacing w:after="0" w:line="159" w:lineRule="exact"/>
        <w:rPr>
          <w:sz w:val="20"/>
          <w:szCs w:val="20"/>
          <w:color w:val="auto"/>
        </w:rPr>
      </w:pPr>
    </w:p>
    <w:p>
      <w:pPr>
        <w:jc w:val="both"/>
        <w:ind w:left="760" w:hanging="748"/>
        <w:spacing w:after="0" w:line="249" w:lineRule="auto"/>
        <w:tabs>
          <w:tab w:leader="none" w:pos="7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Given the sensitive nature of this information, data privacy law imposes certain restrictions on how special categories of personal information should be collected, used and protected. Failure to comply with data privacy law could lead to complaints from individuals, compensation claims, fines from regulators, and reputational risk for Willis Towers Watson. Failure to observe this Policy by any employee or contractor may result in disciplinary action.</w:t>
      </w:r>
    </w:p>
    <w:p>
      <w:pPr>
        <w:spacing w:after="0" w:line="180"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 xml:space="preserve">This Policy is a key element of Willis Towers Watson's Global Privacy Framework and as such it applies in conjunction with all other policies and procedures established by WTW at group, regional and local country level which address the legal requirements and business needs applicable to the processing of data. </w:t>
      </w:r>
      <w:r>
        <w:rPr>
          <w:rFonts w:ascii="Times New Roman" w:cs="Times New Roman" w:eastAsia="Times New Roman" w:hAnsi="Times New Roman"/>
          <w:sz w:val="20"/>
          <w:szCs w:val="20"/>
          <w:b w:val="1"/>
          <w:bCs w:val="1"/>
          <w:color w:val="auto"/>
        </w:rPr>
        <w:t>In particular, the principles in this document must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applied in accordance with the WTW Global Privacy Policy, the Information Security Policy and the Global Records Management Policy</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The policies and procedures that comprise the WTW Global Privacy Framework, including the WTW Global Privacy Policy are available from the Chief Privacy Officer.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Further information</w:t>
      </w:r>
    </w:p>
    <w:p>
      <w:pPr>
        <w:spacing w:after="0" w:line="220" w:lineRule="exact"/>
        <w:rPr>
          <w:sz w:val="20"/>
          <w:szCs w:val="20"/>
          <w:color w:val="auto"/>
        </w:rPr>
      </w:pPr>
    </w:p>
    <w:p>
      <w:pPr>
        <w:jc w:val="both"/>
        <w:ind w:left="760" w:hanging="748"/>
        <w:spacing w:after="0" w:line="269" w:lineRule="auto"/>
        <w:tabs>
          <w:tab w:leader="none" w:pos="7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If you require more information about data privacy and how the rules set out in this Policy affect WTW companies, you, or third parties, please contact the Chief Privacy Officer.</w:t>
      </w:r>
    </w:p>
    <w:p>
      <w:pPr>
        <w:spacing w:after="0" w:line="1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481330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224" w:right="339" w:bottom="1440" w:gutter="0" w:footer="0" w:header="0"/>
        </w:sectPr>
      </w:pPr>
    </w:p>
    <w:bookmarkStart w:id="144" w:name="page145"/>
    <w:bookmarkEnd w:id="144"/>
    <w:p>
      <w:pPr>
        <w:ind w:left="760" w:hanging="752"/>
        <w:spacing w:after="0"/>
        <w:tabs>
          <w:tab w:leader="none" w:pos="760" w:val="left"/>
        </w:tabs>
        <w:numPr>
          <w:ilvl w:val="0"/>
          <w:numId w:val="175"/>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The Rules on processing special categories of personal information</w:t>
      </w:r>
    </w:p>
    <w:p>
      <w:pPr>
        <w:spacing w:after="0" w:line="216" w:lineRule="exact"/>
        <w:rPr>
          <w:sz w:val="20"/>
          <w:szCs w:val="20"/>
          <w:color w:val="auto"/>
        </w:rPr>
      </w:pPr>
    </w:p>
    <w:p>
      <w:pPr>
        <w:ind w:left="1060" w:hanging="748"/>
        <w:spacing w:after="0" w:line="269" w:lineRule="auto"/>
        <w:tabs>
          <w:tab w:leader="none" w:pos="10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The WTW Global Privacy Policy must be followed when processing special categories of personal information. This contains the following rules and sets out the practical steps that apply in relation to each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45345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Rules</w:t>
      </w:r>
    </w:p>
    <w:p>
      <w:pPr>
        <w:spacing w:after="0" w:line="108" w:lineRule="exact"/>
        <w:rPr>
          <w:sz w:val="20"/>
          <w:szCs w:val="20"/>
          <w:color w:val="auto"/>
        </w:rPr>
      </w:pPr>
    </w:p>
    <w:p>
      <w:pPr>
        <w:ind w:left="760" w:hanging="378"/>
        <w:spacing w:after="0"/>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Transparency: </w:t>
      </w:r>
      <w:r>
        <w:rPr>
          <w:rFonts w:ascii="Times New Roman" w:cs="Times New Roman" w:eastAsia="Times New Roman" w:hAnsi="Times New Roman"/>
          <w:sz w:val="20"/>
          <w:szCs w:val="20"/>
          <w:color w:val="auto"/>
        </w:rPr>
        <w:t>We must be transparent about the way in which we use personal data.</w:t>
      </w:r>
    </w:p>
    <w:p>
      <w:pPr>
        <w:spacing w:after="0" w:line="107" w:lineRule="exact"/>
        <w:rPr>
          <w:rFonts w:ascii="Times New Roman" w:cs="Times New Roman" w:eastAsia="Times New Roman" w:hAnsi="Times New Roman"/>
          <w:sz w:val="20"/>
          <w:szCs w:val="20"/>
          <w:color w:val="auto"/>
        </w:rPr>
      </w:pPr>
    </w:p>
    <w:p>
      <w:pPr>
        <w:ind w:left="760" w:right="26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Collecting and using personal data for a lawful purpose only: </w:t>
      </w:r>
      <w:r>
        <w:rPr>
          <w:rFonts w:ascii="Times New Roman" w:cs="Times New Roman" w:eastAsia="Times New Roman" w:hAnsi="Times New Roman"/>
          <w:sz w:val="20"/>
          <w:szCs w:val="20"/>
          <w:color w:val="auto"/>
        </w:rPr>
        <w:t>We must only collect and use the minimum amount of personal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data which is necessary for one or more legitimate business purposes, which must be lawful and justifiable.</w:t>
      </w:r>
    </w:p>
    <w:p>
      <w:pPr>
        <w:spacing w:after="0" w:line="43" w:lineRule="exact"/>
        <w:rPr>
          <w:rFonts w:ascii="Times New Roman" w:cs="Times New Roman" w:eastAsia="Times New Roman" w:hAnsi="Times New Roman"/>
          <w:sz w:val="20"/>
          <w:szCs w:val="20"/>
          <w:color w:val="auto"/>
        </w:rPr>
      </w:pPr>
    </w:p>
    <w:p>
      <w:pPr>
        <w:ind w:left="760" w:right="2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Safeguarding special categories of data: </w:t>
      </w:r>
      <w:r>
        <w:rPr>
          <w:rFonts w:ascii="Times New Roman" w:cs="Times New Roman" w:eastAsia="Times New Roman" w:hAnsi="Times New Roman"/>
          <w:sz w:val="20"/>
          <w:szCs w:val="20"/>
          <w:color w:val="auto"/>
        </w:rPr>
        <w:t>We must only process special categories of data when it is necessary to do so, and 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explicit consent from individuals or another legal basis to legitimise the processing.</w:t>
      </w:r>
    </w:p>
    <w:p>
      <w:pPr>
        <w:spacing w:after="0" w:line="43" w:lineRule="exact"/>
        <w:rPr>
          <w:rFonts w:ascii="Times New Roman" w:cs="Times New Roman" w:eastAsia="Times New Roman" w:hAnsi="Times New Roman"/>
          <w:sz w:val="20"/>
          <w:szCs w:val="20"/>
          <w:color w:val="auto"/>
        </w:rPr>
      </w:pPr>
    </w:p>
    <w:p>
      <w:pPr>
        <w:ind w:left="760" w:right="380" w:hanging="378"/>
        <w:spacing w:after="0" w:line="256"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Data protection impact assessments: </w:t>
      </w:r>
      <w:r>
        <w:rPr>
          <w:rFonts w:ascii="Times New Roman" w:cs="Times New Roman" w:eastAsia="Times New Roman" w:hAnsi="Times New Roman"/>
          <w:sz w:val="20"/>
          <w:szCs w:val="20"/>
          <w:color w:val="auto"/>
        </w:rPr>
        <w:t>Where the collection and use of personal data is likely to result in significant risks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rights and freedoms of individuals, we must carry out an assessment into the impact of the proposed collection and use on individuals.</w:t>
      </w:r>
    </w:p>
    <w:p>
      <w:pPr>
        <w:spacing w:after="0" w:line="60"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Ensuring data quality: </w:t>
      </w:r>
      <w:r>
        <w:rPr>
          <w:rFonts w:ascii="Times New Roman" w:cs="Times New Roman" w:eastAsia="Times New Roman" w:hAnsi="Times New Roman"/>
          <w:sz w:val="20"/>
          <w:szCs w:val="20"/>
          <w:color w:val="auto"/>
        </w:rPr>
        <w:t>We must keep personal data accurate and up to date.</w:t>
      </w:r>
    </w:p>
    <w:p>
      <w:pPr>
        <w:spacing w:after="0" w:line="107" w:lineRule="exact"/>
        <w:rPr>
          <w:rFonts w:ascii="Times New Roman" w:cs="Times New Roman" w:eastAsia="Times New Roman" w:hAnsi="Times New Roman"/>
          <w:sz w:val="20"/>
          <w:szCs w:val="20"/>
          <w:color w:val="auto"/>
        </w:rPr>
      </w:pPr>
    </w:p>
    <w:p>
      <w:pPr>
        <w:ind w:left="760" w:right="14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Retaining and disposing of data: </w:t>
      </w:r>
      <w:r>
        <w:rPr>
          <w:rFonts w:ascii="Times New Roman" w:cs="Times New Roman" w:eastAsia="Times New Roman" w:hAnsi="Times New Roman"/>
          <w:sz w:val="20"/>
          <w:szCs w:val="20"/>
          <w:color w:val="auto"/>
        </w:rPr>
        <w:t>We must keep personal data only for as long as is necessary for a specific business purpose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ensure that it is disposed of securely.</w:t>
      </w:r>
    </w:p>
    <w:p>
      <w:pPr>
        <w:spacing w:after="0" w:line="43" w:lineRule="exact"/>
        <w:rPr>
          <w:rFonts w:ascii="Times New Roman" w:cs="Times New Roman" w:eastAsia="Times New Roman" w:hAnsi="Times New Roman"/>
          <w:sz w:val="20"/>
          <w:szCs w:val="20"/>
          <w:color w:val="auto"/>
        </w:rPr>
      </w:pPr>
    </w:p>
    <w:p>
      <w:pPr>
        <w:ind w:left="760" w:right="32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Respecting individuals' rights: </w:t>
      </w:r>
      <w:r>
        <w:rPr>
          <w:rFonts w:ascii="Times New Roman" w:cs="Times New Roman" w:eastAsia="Times New Roman" w:hAnsi="Times New Roman"/>
          <w:sz w:val="20"/>
          <w:szCs w:val="20"/>
          <w:color w:val="auto"/>
        </w:rPr>
        <w:t>We must be receptive to any queries, requests or complaints made by individuals in connection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their personal data in accordance with applicable law.</w:t>
      </w:r>
    </w:p>
    <w:p>
      <w:pPr>
        <w:spacing w:after="0" w:line="43" w:lineRule="exact"/>
        <w:rPr>
          <w:rFonts w:ascii="Times New Roman" w:cs="Times New Roman" w:eastAsia="Times New Roman" w:hAnsi="Times New Roman"/>
          <w:sz w:val="20"/>
          <w:szCs w:val="20"/>
          <w:color w:val="auto"/>
        </w:rPr>
      </w:pPr>
    </w:p>
    <w:p>
      <w:pPr>
        <w:ind w:left="760" w:right="6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Taking appropriate security measures: </w:t>
      </w:r>
      <w:r>
        <w:rPr>
          <w:rFonts w:ascii="Times New Roman" w:cs="Times New Roman" w:eastAsia="Times New Roman" w:hAnsi="Times New Roman"/>
          <w:sz w:val="20"/>
          <w:szCs w:val="20"/>
          <w:color w:val="auto"/>
        </w:rPr>
        <w:t>We must implement appropriate technical and organisational security measures to protect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data.</w:t>
      </w:r>
    </w:p>
    <w:p>
      <w:pPr>
        <w:spacing w:after="0" w:line="43" w:lineRule="exact"/>
        <w:rPr>
          <w:rFonts w:ascii="Times New Roman" w:cs="Times New Roman" w:eastAsia="Times New Roman" w:hAnsi="Times New Roman"/>
          <w:sz w:val="20"/>
          <w:szCs w:val="20"/>
          <w:color w:val="auto"/>
        </w:rPr>
      </w:pPr>
    </w:p>
    <w:p>
      <w:pPr>
        <w:ind w:left="760" w:right="34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Adopting privacy by design: </w:t>
      </w:r>
      <w:r>
        <w:rPr>
          <w:rFonts w:ascii="Times New Roman" w:cs="Times New Roman" w:eastAsia="Times New Roman" w:hAnsi="Times New Roman"/>
          <w:sz w:val="20"/>
          <w:szCs w:val="20"/>
          <w:color w:val="auto"/>
        </w:rPr>
        <w:t>We must adopt privacy by design and privacy by default in systems, databases, tools and features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process personal data.</w:t>
      </w:r>
    </w:p>
    <w:p>
      <w:pPr>
        <w:spacing w:after="0" w:line="43" w:lineRule="exact"/>
        <w:rPr>
          <w:rFonts w:ascii="Times New Roman" w:cs="Times New Roman" w:eastAsia="Times New Roman" w:hAnsi="Times New Roman"/>
          <w:sz w:val="20"/>
          <w:szCs w:val="20"/>
          <w:color w:val="auto"/>
        </w:rPr>
      </w:pPr>
    </w:p>
    <w:p>
      <w:pPr>
        <w:ind w:left="760" w:right="40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Using subcontractors/vendors: </w:t>
      </w:r>
      <w:r>
        <w:rPr>
          <w:rFonts w:ascii="Times New Roman" w:cs="Times New Roman" w:eastAsia="Times New Roman" w:hAnsi="Times New Roman"/>
          <w:sz w:val="20"/>
          <w:szCs w:val="20"/>
          <w:color w:val="auto"/>
        </w:rPr>
        <w:t>We must ensure that providers of services to us also adopt appropriate and equivalent security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measures.</w:t>
      </w:r>
    </w:p>
    <w:p>
      <w:pPr>
        <w:spacing w:after="0" w:line="43" w:lineRule="exact"/>
        <w:rPr>
          <w:rFonts w:ascii="Times New Roman" w:cs="Times New Roman" w:eastAsia="Times New Roman" w:hAnsi="Times New Roman"/>
          <w:sz w:val="20"/>
          <w:szCs w:val="20"/>
          <w:color w:val="auto"/>
        </w:rPr>
      </w:pPr>
    </w:p>
    <w:p>
      <w:pPr>
        <w:ind w:left="760" w:right="32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Disclosing to third parties: </w:t>
      </w:r>
      <w:r>
        <w:rPr>
          <w:rFonts w:ascii="Times New Roman" w:cs="Times New Roman" w:eastAsia="Times New Roman" w:hAnsi="Times New Roman"/>
          <w:sz w:val="20"/>
          <w:szCs w:val="20"/>
          <w:color w:val="auto"/>
        </w:rPr>
        <w:t>We must only comply with requests for disclosure of personal data to third parties where we have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basis on which to do so, or with the consent of affected individuals.</w:t>
      </w:r>
    </w:p>
    <w:p>
      <w:pPr>
        <w:spacing w:after="0" w:line="43" w:lineRule="exact"/>
        <w:rPr>
          <w:rFonts w:ascii="Times New Roman" w:cs="Times New Roman" w:eastAsia="Times New Roman" w:hAnsi="Times New Roman"/>
          <w:sz w:val="20"/>
          <w:szCs w:val="20"/>
          <w:color w:val="auto"/>
        </w:rPr>
      </w:pPr>
    </w:p>
    <w:p>
      <w:pPr>
        <w:ind w:left="760" w:right="100" w:hanging="378"/>
        <w:spacing w:after="0" w:line="273" w:lineRule="auto"/>
        <w:tabs>
          <w:tab w:leader="none" w:pos="76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Ensuring adequate protection for international transfers: </w:t>
      </w:r>
      <w:r>
        <w:rPr>
          <w:rFonts w:ascii="Times New Roman" w:cs="Times New Roman" w:eastAsia="Times New Roman" w:hAnsi="Times New Roman"/>
          <w:sz w:val="20"/>
          <w:szCs w:val="20"/>
          <w:color w:val="auto"/>
        </w:rPr>
        <w:t>We must ensure that adequate protection is put in place when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transfers of personal data from one country to another country.</w:t>
      </w:r>
    </w:p>
    <w:p>
      <w:pPr>
        <w:spacing w:after="0" w:line="200" w:lineRule="exact"/>
        <w:rPr>
          <w:sz w:val="20"/>
          <w:szCs w:val="20"/>
          <w:color w:val="auto"/>
        </w:rPr>
      </w:pPr>
    </w:p>
    <w:p>
      <w:pPr>
        <w:spacing w:after="0" w:line="212" w:lineRule="exact"/>
        <w:rPr>
          <w:sz w:val="20"/>
          <w:szCs w:val="20"/>
          <w:color w:val="auto"/>
        </w:rPr>
      </w:pPr>
    </w:p>
    <w:p>
      <w:pPr>
        <w:jc w:val="both"/>
        <w:ind w:left="1060" w:hanging="748"/>
        <w:spacing w:after="0" w:line="244" w:lineRule="auto"/>
        <w:tabs>
          <w:tab w:leader="none" w:pos="10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In particular, we must only collect and use special categories of personal information where necessary and where we have a lawful basis to do so. The lawful basis for processing is usually explicit consent, but the Act permits some processing of special category personal data without consent in the circumstances set out in the table below. In addition, we may be able to process special category personal data personal data without explicit consent when we are co-operating in criminal or other government investigations or inquiries. Prior to processing special category personal data for criminal or other government investigations or inquiries you must consult the local Compliance Team and local Legal counsel who in turn may consult with the Chief Privacy Officer if necessary. All exceptions must be authorised by the Global Head of Compliance.</w:t>
      </w:r>
    </w:p>
    <w:p>
      <w:pPr>
        <w:spacing w:after="0" w:line="186" w:lineRule="exact"/>
        <w:rPr>
          <w:sz w:val="20"/>
          <w:szCs w:val="20"/>
          <w:color w:val="auto"/>
        </w:rPr>
      </w:pPr>
    </w:p>
    <w:p>
      <w:pPr>
        <w:jc w:val="both"/>
        <w:ind w:left="1060" w:hanging="748"/>
        <w:spacing w:after="0" w:line="249" w:lineRule="auto"/>
        <w:tabs>
          <w:tab w:leader="none" w:pos="10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When relying on explicit consent, we must ensure that suitable and explicit wording expressing the individual’s consent is provided in any consent forms. Where consent is not relied upon, we must be able to demonstrate that there is another lawful basis under applicable law for the collection and use of such information and make a record of the basis on which such processing is undertaken.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5" w:name="page146"/>
    <w:bookmarkEnd w:id="145"/>
    <w:p>
      <w:pPr>
        <w:jc w:val="both"/>
        <w:ind w:left="1060" w:hanging="748"/>
        <w:spacing w:after="0" w:line="269" w:lineRule="auto"/>
        <w:tabs>
          <w:tab w:leader="none" w:pos="10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20"/>
          <w:szCs w:val="20"/>
          <w:color w:val="auto"/>
        </w:rPr>
        <w:t xml:space="preserve">We may process special categories of personal information </w:t>
      </w:r>
      <w:r>
        <w:rPr>
          <w:rFonts w:ascii="Times New Roman" w:cs="Times New Roman" w:eastAsia="Times New Roman" w:hAnsi="Times New Roman"/>
          <w:sz w:val="20"/>
          <w:szCs w:val="20"/>
          <w:u w:val="single" w:color="auto"/>
          <w:color w:val="auto"/>
        </w:rPr>
        <w:t>without</w:t>
      </w:r>
      <w:r>
        <w:rPr>
          <w:rFonts w:ascii="Times New Roman" w:cs="Times New Roman" w:eastAsia="Times New Roman" w:hAnsi="Times New Roman"/>
          <w:sz w:val="20"/>
          <w:szCs w:val="20"/>
          <w:color w:val="auto"/>
        </w:rPr>
        <w:t xml:space="preserve"> the explicit consent of the individual affected if the processing is for one of the following purposes: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2020" w:type="dxa"/>
            <w:vAlign w:val="bottom"/>
            <w:tcBorders>
              <w:top w:val="single" w:sz="8" w:color="auto"/>
              <w:left w:val="single" w:sz="8" w:color="auto"/>
              <w:right w:val="single" w:sz="8" w:color="auto"/>
            </w:tcBorders>
            <w:shd w:val="clear" w:color="auto" w:fill="6BC8FF"/>
          </w:tcPr>
          <w:p>
            <w:pPr>
              <w:ind w:left="20"/>
              <w:spacing w:after="0" w:line="219" w:lineRule="exact"/>
              <w:rPr>
                <w:sz w:val="20"/>
                <w:szCs w:val="20"/>
                <w:color w:val="auto"/>
              </w:rPr>
            </w:pPr>
            <w:r>
              <w:rPr>
                <w:rFonts w:ascii="Times New Roman" w:cs="Times New Roman" w:eastAsia="Times New Roman" w:hAnsi="Times New Roman"/>
                <w:sz w:val="20"/>
                <w:szCs w:val="20"/>
                <w:b w:val="1"/>
                <w:bCs w:val="1"/>
                <w:color w:val="auto"/>
              </w:rPr>
              <w:t>Act Ref in</w:t>
            </w:r>
          </w:p>
        </w:tc>
        <w:tc>
          <w:tcPr>
            <w:tcW w:w="4060" w:type="dxa"/>
            <w:vAlign w:val="bottom"/>
            <w:tcBorders>
              <w:top w:val="single" w:sz="8" w:color="auto"/>
              <w:right w:val="single" w:sz="8" w:color="auto"/>
            </w:tcBorders>
            <w:shd w:val="clear" w:color="auto" w:fill="6BC8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Purpose</w:t>
            </w:r>
          </w:p>
        </w:tc>
        <w:tc>
          <w:tcPr>
            <w:tcW w:w="5160" w:type="dxa"/>
            <w:vAlign w:val="bottom"/>
            <w:tcBorders>
              <w:top w:val="single" w:sz="8" w:color="auto"/>
              <w:right w:val="single" w:sz="8" w:color="auto"/>
            </w:tcBorders>
            <w:shd w:val="clear" w:color="auto" w:fill="6BC8FF"/>
          </w:tcPr>
          <w:p>
            <w:pPr>
              <w:spacing w:after="0" w:line="219" w:lineRule="exact"/>
              <w:rPr>
                <w:sz w:val="20"/>
                <w:szCs w:val="20"/>
                <w:color w:val="auto"/>
              </w:rPr>
            </w:pPr>
            <w:r>
              <w:rPr>
                <w:rFonts w:ascii="Times New Roman" w:cs="Times New Roman" w:eastAsia="Times New Roman" w:hAnsi="Times New Roman"/>
                <w:sz w:val="20"/>
                <w:szCs w:val="20"/>
                <w:b w:val="1"/>
                <w:bCs w:val="1"/>
                <w:color w:val="auto"/>
              </w:rPr>
              <w:t>Examples</w:t>
            </w:r>
          </w:p>
        </w:tc>
      </w:tr>
      <w:tr>
        <w:trPr>
          <w:trHeight w:val="273"/>
        </w:trPr>
        <w:tc>
          <w:tcPr>
            <w:tcW w:w="2020" w:type="dxa"/>
            <w:vAlign w:val="bottom"/>
            <w:tcBorders>
              <w:left w:val="single" w:sz="8" w:color="auto"/>
              <w:bottom w:val="single" w:sz="8" w:color="auto"/>
              <w:right w:val="single" w:sz="8" w:color="auto"/>
            </w:tcBorders>
            <w:shd w:val="clear" w:color="auto" w:fill="6BC8FF"/>
          </w:tcPr>
          <w:p>
            <w:pPr>
              <w:ind w:left="20"/>
              <w:spacing w:after="0"/>
              <w:rPr>
                <w:sz w:val="20"/>
                <w:szCs w:val="20"/>
                <w:color w:val="auto"/>
              </w:rPr>
            </w:pPr>
            <w:r>
              <w:rPr>
                <w:rFonts w:ascii="Times New Roman" w:cs="Times New Roman" w:eastAsia="Times New Roman" w:hAnsi="Times New Roman"/>
                <w:sz w:val="20"/>
                <w:szCs w:val="20"/>
                <w:b w:val="1"/>
                <w:bCs w:val="1"/>
                <w:color w:val="auto"/>
              </w:rPr>
              <w:t>Schedule 1</w:t>
            </w:r>
          </w:p>
        </w:tc>
        <w:tc>
          <w:tcPr>
            <w:tcW w:w="4060" w:type="dxa"/>
            <w:vAlign w:val="bottom"/>
            <w:tcBorders>
              <w:bottom w:val="single" w:sz="8" w:color="auto"/>
              <w:right w:val="single" w:sz="8" w:color="auto"/>
            </w:tcBorders>
            <w:shd w:val="clear" w:color="auto" w:fill="6BC8FF"/>
          </w:tcPr>
          <w:p>
            <w:pPr>
              <w:spacing w:after="0"/>
              <w:rPr>
                <w:sz w:val="23"/>
                <w:szCs w:val="23"/>
                <w:color w:val="auto"/>
              </w:rPr>
            </w:pPr>
          </w:p>
        </w:tc>
        <w:tc>
          <w:tcPr>
            <w:tcW w:w="5160" w:type="dxa"/>
            <w:vAlign w:val="bottom"/>
            <w:tcBorders>
              <w:bottom w:val="single" w:sz="8" w:color="auto"/>
              <w:right w:val="single" w:sz="8" w:color="auto"/>
            </w:tcBorders>
            <w:shd w:val="clear" w:color="auto" w:fill="6BC8FF"/>
          </w:tcPr>
          <w:p>
            <w:pPr>
              <w:spacing w:after="0"/>
              <w:rPr>
                <w:sz w:val="23"/>
                <w:szCs w:val="23"/>
                <w:color w:val="auto"/>
              </w:rPr>
            </w:pPr>
          </w:p>
        </w:tc>
      </w:tr>
      <w:tr>
        <w:trPr>
          <w:trHeight w:val="183"/>
        </w:trPr>
        <w:tc>
          <w:tcPr>
            <w:tcW w:w="20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20"/>
                <w:szCs w:val="20"/>
                <w:color w:val="auto"/>
              </w:rPr>
              <w:t>Paragraph 1</w:t>
            </w:r>
          </w:p>
        </w:tc>
        <w:tc>
          <w:tcPr>
            <w:tcW w:w="40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rPr>
              <w:t>Employment, social security and social protection</w:t>
            </w:r>
          </w:p>
        </w:tc>
        <w:tc>
          <w:tcPr>
            <w:tcW w:w="516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20"/>
                <w:szCs w:val="20"/>
                <w:color w:val="auto"/>
                <w:w w:val="98"/>
              </w:rPr>
              <w:t>Processing health information for managing employee sick leave</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and pay</w:t>
            </w:r>
          </w:p>
        </w:tc>
      </w:tr>
      <w:tr>
        <w:trPr>
          <w:trHeight w:val="200"/>
        </w:trPr>
        <w:tc>
          <w:tcPr>
            <w:tcW w:w="20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w:t>
            </w:r>
          </w:p>
        </w:tc>
        <w:tc>
          <w:tcPr>
            <w:tcW w:w="40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Health or social care purposes</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disability information for assessing the working</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capability of employees</w:t>
            </w:r>
          </w:p>
        </w:tc>
      </w:tr>
      <w:tr>
        <w:trPr>
          <w:trHeight w:val="200"/>
        </w:trPr>
        <w:tc>
          <w:tcPr>
            <w:tcW w:w="20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8</w:t>
            </w:r>
          </w:p>
        </w:tc>
        <w:tc>
          <w:tcPr>
            <w:tcW w:w="40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Equality of opportunity or treatment</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information about racial and ethnic origin, religion,</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health and sexual orientation for diversity monitoring</w:t>
            </w:r>
          </w:p>
        </w:tc>
      </w:tr>
      <w:tr>
        <w:trPr>
          <w:trHeight w:val="200"/>
        </w:trPr>
        <w:tc>
          <w:tcPr>
            <w:tcW w:w="20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9</w:t>
            </w:r>
          </w:p>
        </w:tc>
        <w:tc>
          <w:tcPr>
            <w:tcW w:w="40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Racial and ethnic diversity at senior levels of</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w w:val="99"/>
              </w:rPr>
              <w:t>Processing information about racial and ethnic origin to identify</w:t>
            </w:r>
          </w:p>
        </w:tc>
      </w:tr>
      <w:tr>
        <w:trPr>
          <w:trHeight w:val="230"/>
        </w:trPr>
        <w:tc>
          <w:tcPr>
            <w:tcW w:w="2020" w:type="dxa"/>
            <w:vAlign w:val="bottom"/>
            <w:tcBorders>
              <w:right w:val="single" w:sz="8" w:color="auto"/>
            </w:tcBorders>
          </w:tcPr>
          <w:p>
            <w:pPr>
              <w:spacing w:after="0"/>
              <w:rPr>
                <w:sz w:val="19"/>
                <w:szCs w:val="19"/>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organisations</w:t>
            </w:r>
          </w:p>
        </w:tc>
        <w:tc>
          <w:tcPr>
            <w:tcW w:w="5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individuals suitable to hold senior positions to promote</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racial/ethnic diversity</w:t>
            </w:r>
          </w:p>
        </w:tc>
      </w:tr>
      <w:tr>
        <w:trPr>
          <w:trHeight w:val="223"/>
        </w:trPr>
        <w:tc>
          <w:tcPr>
            <w:tcW w:w="20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Paragraph 10</w:t>
            </w:r>
          </w:p>
        </w:tc>
        <w:tc>
          <w:tcPr>
            <w:tcW w:w="40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Preventing or detecting unlawful acts</w:t>
            </w:r>
          </w:p>
        </w:tc>
        <w:tc>
          <w:tcPr>
            <w:tcW w:w="51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Processing health information to detect insurance fraud</w:t>
            </w:r>
          </w:p>
        </w:tc>
      </w:tr>
      <w:tr>
        <w:trPr>
          <w:trHeight w:val="200"/>
        </w:trPr>
        <w:tc>
          <w:tcPr>
            <w:tcW w:w="20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12</w:t>
            </w:r>
          </w:p>
        </w:tc>
        <w:tc>
          <w:tcPr>
            <w:tcW w:w="40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Regulatory requirements relating to unlawful acts</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 control insider risk</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and dishonesty</w:t>
            </w:r>
          </w:p>
        </w:tc>
        <w:tc>
          <w:tcPr>
            <w:tcW w:w="5160" w:type="dxa"/>
            <w:vAlign w:val="bottom"/>
            <w:tcBorders>
              <w:bottom w:val="single" w:sz="8" w:color="auto"/>
              <w:right w:val="single" w:sz="8" w:color="auto"/>
            </w:tcBorders>
          </w:tcPr>
          <w:p>
            <w:pPr>
              <w:spacing w:after="0"/>
              <w:rPr>
                <w:sz w:val="21"/>
                <w:szCs w:val="21"/>
                <w:color w:val="auto"/>
              </w:rPr>
            </w:pPr>
          </w:p>
        </w:tc>
      </w:tr>
      <w:tr>
        <w:trPr>
          <w:trHeight w:val="223"/>
        </w:trPr>
        <w:tc>
          <w:tcPr>
            <w:tcW w:w="2020" w:type="dxa"/>
            <w:vAlign w:val="bottom"/>
            <w:tcBorders>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0"/>
                <w:szCs w:val="20"/>
                <w:color w:val="auto"/>
              </w:rPr>
              <w:t>Paragraph 14</w:t>
            </w:r>
          </w:p>
        </w:tc>
        <w:tc>
          <w:tcPr>
            <w:tcW w:w="40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Preventing fraud</w:t>
            </w:r>
          </w:p>
        </w:tc>
        <w:tc>
          <w:tcPr>
            <w:tcW w:w="5160" w:type="dxa"/>
            <w:vAlign w:val="bottom"/>
            <w:tcBorders>
              <w:bottom w:val="single" w:sz="8" w:color="auto"/>
              <w:right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Processing crime-related information to prevent fraud</w:t>
            </w:r>
          </w:p>
        </w:tc>
      </w:tr>
      <w:tr>
        <w:trPr>
          <w:trHeight w:val="200"/>
        </w:trPr>
        <w:tc>
          <w:tcPr>
            <w:tcW w:w="20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15</w:t>
            </w:r>
          </w:p>
        </w:tc>
        <w:tc>
          <w:tcPr>
            <w:tcW w:w="40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Suspicion of terrorist financing or money</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crime-related information to identify potential</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laundering</w:t>
            </w: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terrorist financing or money laundering</w:t>
            </w:r>
          </w:p>
        </w:tc>
      </w:tr>
      <w:tr>
        <w:trPr>
          <w:trHeight w:val="200"/>
        </w:trPr>
        <w:tc>
          <w:tcPr>
            <w:tcW w:w="20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19</w:t>
            </w:r>
          </w:p>
        </w:tc>
        <w:tc>
          <w:tcPr>
            <w:tcW w:w="40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Safeguarding of economic well- being of certain</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about vulnerable customers to</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individuals</w:t>
            </w: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protect the economic well-being of the customers</w:t>
            </w:r>
          </w:p>
        </w:tc>
      </w:tr>
      <w:tr>
        <w:trPr>
          <w:trHeight w:val="200"/>
        </w:trPr>
        <w:tc>
          <w:tcPr>
            <w:tcW w:w="2020" w:type="dxa"/>
            <w:vAlign w:val="bottom"/>
            <w:tcBorders>
              <w:right w:val="single" w:sz="8" w:color="auto"/>
            </w:tcBorders>
          </w:tcPr>
          <w:p>
            <w:pPr>
              <w:ind w:left="20"/>
              <w:spacing w:after="0" w:line="200" w:lineRule="exact"/>
              <w:rPr>
                <w:sz w:val="20"/>
                <w:szCs w:val="20"/>
                <w:color w:val="auto"/>
              </w:rPr>
            </w:pPr>
            <w:r>
              <w:rPr>
                <w:rFonts w:ascii="Times New Roman" w:cs="Times New Roman" w:eastAsia="Times New Roman" w:hAnsi="Times New Roman"/>
                <w:sz w:val="20"/>
                <w:szCs w:val="20"/>
                <w:color w:val="auto"/>
              </w:rPr>
              <w:t>Paragraph 20</w:t>
            </w:r>
          </w:p>
        </w:tc>
        <w:tc>
          <w:tcPr>
            <w:tcW w:w="40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Insurance</w:t>
            </w:r>
          </w:p>
        </w:tc>
        <w:tc>
          <w:tcPr>
            <w:tcW w:w="5160" w:type="dxa"/>
            <w:vAlign w:val="bottom"/>
            <w:tcBorders>
              <w:right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Processing health information or crime- related information for</w:t>
            </w:r>
          </w:p>
        </w:tc>
      </w:tr>
      <w:tr>
        <w:trPr>
          <w:trHeight w:val="252"/>
        </w:trPr>
        <w:tc>
          <w:tcPr>
            <w:tcW w:w="2020" w:type="dxa"/>
            <w:vAlign w:val="bottom"/>
            <w:tcBorders>
              <w:bottom w:val="single" w:sz="8" w:color="auto"/>
              <w:right w:val="single" w:sz="8" w:color="auto"/>
            </w:tcBorders>
          </w:tcPr>
          <w:p>
            <w:pPr>
              <w:spacing w:after="0"/>
              <w:rPr>
                <w:sz w:val="21"/>
                <w:szCs w:val="21"/>
                <w:color w:val="auto"/>
              </w:rPr>
            </w:pPr>
          </w:p>
        </w:tc>
        <w:tc>
          <w:tcPr>
            <w:tcW w:w="4060" w:type="dxa"/>
            <w:vAlign w:val="bottom"/>
            <w:tcBorders>
              <w:bottom w:val="single" w:sz="8" w:color="auto"/>
              <w:right w:val="single" w:sz="8" w:color="auto"/>
            </w:tcBorders>
          </w:tcPr>
          <w:p>
            <w:pPr>
              <w:spacing w:after="0"/>
              <w:rPr>
                <w:sz w:val="21"/>
                <w:szCs w:val="21"/>
                <w:color w:val="auto"/>
              </w:rPr>
            </w:pPr>
          </w:p>
        </w:tc>
        <w:tc>
          <w:tcPr>
            <w:tcW w:w="51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 insurance purpose</w:t>
            </w:r>
          </w:p>
        </w:tc>
      </w:tr>
    </w:tbl>
    <w:p>
      <w:pPr>
        <w:spacing w:after="0" w:line="220" w:lineRule="exact"/>
        <w:rPr>
          <w:sz w:val="20"/>
          <w:szCs w:val="20"/>
          <w:color w:val="auto"/>
        </w:rPr>
      </w:pPr>
    </w:p>
    <w:p>
      <w:pPr>
        <w:jc w:val="both"/>
        <w:ind w:left="1060" w:hanging="748"/>
        <w:spacing w:after="0" w:line="245" w:lineRule="auto"/>
        <w:tabs>
          <w:tab w:leader="none" w:pos="10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20"/>
          <w:szCs w:val="20"/>
          <w:color w:val="auto"/>
        </w:rPr>
        <w:t>The local Data Protection Officer and the Chief Privacy Officer should be informed of any planned significant use of special categories of data. Where the processing of special category data is likely to pose significant risks to the rights and freedoms of individuals, a Data Protection Impact Assessment (DPIA) must be carried out. Based on the results of the DPIA, the local Data Protection Officer together with Local Compliance or Legal Teams or the Chief Privacy Officer can advise whether the processing is legitimate and advise how to mitigate any potential risks in this regard. In certain circumstances we may need to consult with the local supervisory authority regarding the use of such data.</w:t>
      </w:r>
    </w:p>
    <w:p>
      <w:pPr>
        <w:spacing w:after="0" w:line="184" w:lineRule="exact"/>
        <w:rPr>
          <w:sz w:val="20"/>
          <w:szCs w:val="20"/>
          <w:color w:val="auto"/>
        </w:rPr>
      </w:pPr>
    </w:p>
    <w:p>
      <w:pPr>
        <w:jc w:val="both"/>
        <w:ind w:left="1060" w:hanging="748"/>
        <w:spacing w:after="0" w:line="274" w:lineRule="auto"/>
        <w:tabs>
          <w:tab w:leader="none" w:pos="104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color w:val="auto"/>
        </w:rPr>
        <w:t>Access to special categories of personal information must be limited to appropriate persons on a need to know basis, in addition other controls should be considered to protect special categories of personal information, including encryption, masking or making the personal data anonymous, in line with Willis Towers Watson’s Information Security Policy and practices.</w:t>
      </w:r>
    </w:p>
    <w:p>
      <w:pPr>
        <w:spacing w:after="0" w:line="156" w:lineRule="exact"/>
        <w:rPr>
          <w:sz w:val="20"/>
          <w:szCs w:val="20"/>
          <w:color w:val="auto"/>
        </w:rPr>
      </w:pPr>
    </w:p>
    <w:p>
      <w:pPr>
        <w:jc w:val="both"/>
        <w:ind w:left="1060" w:hanging="748"/>
        <w:spacing w:after="0" w:line="260" w:lineRule="auto"/>
        <w:tabs>
          <w:tab w:leader="none" w:pos="104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color w:val="auto"/>
        </w:rPr>
        <w:t>Special categories of personal information must only be kept where there is a business or legal need to do so and in accordance with Willis Towers Watson's global Records Management Policy, which takes into account that certain categories of data that may be subject to law, regulations, contractual obligations, on-going business relationships and legal claims that will determine the length of time for which data may be retained. When we dispose of personal data, this must be done in a secure manner in line with Willis Towers Watson’s Information Security policies and procedures. Any questions about data retention or disposing of data must be referred to the Global Privacy Office, the local Data Protection Officer, or local Compliance or Legal Team.</w:t>
      </w:r>
    </w:p>
    <w:p>
      <w:pPr>
        <w:spacing w:after="0" w:line="173" w:lineRule="exact"/>
        <w:rPr>
          <w:sz w:val="20"/>
          <w:szCs w:val="20"/>
          <w:color w:val="auto"/>
        </w:rPr>
      </w:pPr>
    </w:p>
    <w:p>
      <w:pPr>
        <w:ind w:left="760" w:hanging="752"/>
        <w:spacing w:after="0"/>
        <w:tabs>
          <w:tab w:leader="none" w:pos="760" w:val="left"/>
        </w:tabs>
        <w:numPr>
          <w:ilvl w:val="0"/>
          <w:numId w:val="177"/>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3"/>
          <w:szCs w:val="13"/>
          <w:color w:val="auto"/>
        </w:rPr>
        <w:t>erifying</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ompliance</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Local Data Protection Officer will undertake periodic compliance reviews in relation to processing of special category personal data and communicate the results to the Chief Privacy Officer.</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Internal Audit team may also conduct periodic audits to ensure compliance with this Policy. All employees must cooperate with such audits and any outcomes, including remediation plans.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6" w:name="page147"/>
    <w:bookmarkEnd w:id="146"/>
    <w:p>
      <w:pPr>
        <w:ind w:left="760" w:hanging="752"/>
        <w:spacing w:after="0"/>
        <w:tabs>
          <w:tab w:leader="none" w:pos="760" w:val="left"/>
        </w:tabs>
        <w:numPr>
          <w:ilvl w:val="0"/>
          <w:numId w:val="178"/>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3"/>
          <w:szCs w:val="13"/>
          <w:color w:val="auto"/>
        </w:rPr>
        <w:t>raining</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Employees and contractors who have access to special categories of personal information, or who are involved in the collection of personal data, or the development of tools that collect and process personal data must undertake appropriate training relevant to their roles and responsibilities as may be assigned from time to time.</w:t>
      </w:r>
    </w:p>
    <w:p>
      <w:pPr>
        <w:spacing w:after="0" w:line="174" w:lineRule="exact"/>
        <w:rPr>
          <w:sz w:val="20"/>
          <w:szCs w:val="20"/>
          <w:color w:val="auto"/>
        </w:rPr>
      </w:pPr>
    </w:p>
    <w:p>
      <w:pPr>
        <w:ind w:left="760" w:hanging="752"/>
        <w:spacing w:after="0"/>
        <w:tabs>
          <w:tab w:leader="none" w:pos="760" w:val="left"/>
        </w:tabs>
        <w:numPr>
          <w:ilvl w:val="0"/>
          <w:numId w:val="179"/>
        </w:numPr>
        <w:rPr>
          <w:rFonts w:ascii="Times New Roman" w:cs="Times New Roman" w:eastAsia="Times New Roman" w:hAnsi="Times New Roman"/>
          <w:sz w:val="20"/>
          <w:szCs w:val="20"/>
          <w:b w:val="1"/>
          <w:bCs w:val="1"/>
          <w:color w:val="6F2F9F"/>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3"/>
          <w:szCs w:val="13"/>
          <w:color w:val="auto"/>
        </w:rPr>
        <w:t>aintenance and</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ontact</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review and maintenance of this Policy is the responsibility of the Chief Privacy Officer. Queries and feedback should be directed to the Chief Privacy Officer.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47" w:name="page148"/>
    <w:bookmarkEnd w:id="147"/>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4A116E"/>
        </w:rPr>
        <w:t>ANNEX 7 – Information for Residents of Canada</w:t>
      </w:r>
    </w:p>
    <w:p>
      <w:pPr>
        <w:spacing w:after="0" w:line="22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You may have certain rights under applicable Canadian data privacy laws, PIPEDA”), and other similar laws provincial or local laws in relation to personal data. Subject to applicable law, you may request:</w:t>
      </w:r>
    </w:p>
    <w:p>
      <w:pPr>
        <w:spacing w:after="0" w:line="51" w:lineRule="exact"/>
        <w:rPr>
          <w:sz w:val="20"/>
          <w:szCs w:val="20"/>
          <w:color w:val="auto"/>
        </w:rPr>
      </w:pPr>
    </w:p>
    <w:p>
      <w:pPr>
        <w:ind w:left="760" w:hanging="378"/>
        <w:spacing w:after="0"/>
        <w:tabs>
          <w:tab w:leader="none" w:pos="76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Access to your personal information, in a reasonably portable format.</w:t>
      </w:r>
    </w:p>
    <w:p>
      <w:pPr>
        <w:spacing w:after="0" w:line="107"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Correction or deletion of your personal information (unless we are required to retain it in accordance with applicable law).</w:t>
      </w:r>
    </w:p>
    <w:p>
      <w:pPr>
        <w:spacing w:after="0" w:line="21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u w:val="single" w:color="auto"/>
          <w:color w:val="auto"/>
        </w:rPr>
        <w:t>Submitting Requests</w:t>
      </w:r>
      <w:r>
        <w:rPr>
          <w:rFonts w:ascii="Times New Roman" w:cs="Times New Roman" w:eastAsia="Times New Roman" w:hAnsi="Times New Roman"/>
          <w:sz w:val="20"/>
          <w:szCs w:val="20"/>
          <w:color w:val="auto"/>
        </w:rPr>
        <w:t>: Requests to exercise privacy rights under Canadian laws may be submitted using this form, by contacting us at 1-800-889-9288 (toll free), or by emailing us at dataaccessrequest@wtwco.com.</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Depending on applicable laws, if your request to exercise a right is denied or not responded to within a reasonable time, you may appeal that decision through this link or emailing privacy@wtwco.com.</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C-21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4" w:right="4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A116E"/>
        </w:rPr>
        <w:t>ANNEX 8 – Information for Residents of Brazil</w:t>
      </w:r>
    </w:p>
    <w:p>
      <w:pPr>
        <w:spacing w:after="0" w:line="220"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The following information applies to any individual’s personal information used in Brazil in accordance with the Brazilian General Data Protection Law (LGPD):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Bases for Processing Personal Information under the LGPD: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LGPD, we use or process personal information in accordance with the following legal bases:</w:t>
      </w:r>
    </w:p>
    <w:p>
      <w:pPr>
        <w:spacing w:after="0" w:line="216" w:lineRule="exact"/>
        <w:rPr>
          <w:sz w:val="20"/>
          <w:szCs w:val="20"/>
          <w:color w:val="auto"/>
        </w:rPr>
      </w:pPr>
    </w:p>
    <w:p>
      <w:pPr>
        <w:ind w:left="1500" w:hanging="743"/>
        <w:spacing w:after="0"/>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for complying with social security requirements, or health and safety obligations that we must comply with as your employer or to a third party (e.g. the taxation authorities);</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18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regular exercise of our rights in administrative, judicial or arbitration proceedings</w:t>
      </w:r>
    </w:p>
    <w:p>
      <w:pPr>
        <w:spacing w:after="0" w:line="21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life or physical integrity, for example by providing your health information to a doctor in a medical emergency;</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our DPO.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Individual Rights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LGPD, individuals have certain rights related to their personal data, subject to other limitations in this law, as follows:</w:t>
      </w:r>
    </w:p>
    <w:p>
      <w:pPr>
        <w:spacing w:after="0" w:line="216" w:lineRule="exact"/>
        <w:rPr>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of the existence of data processing;</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to your personal data;</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Correction of incomplete, inaccurate, or out-of-date data</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Anonymization, blocking, or deletion of unnecessary or excessive data, or data processed in non-compliance with LGPD;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Portability of data to another service or product provider, subject to our commercial or industrial secrets;</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Deletion of personal data processed with basis on your consent, to the extent permitted by the LGPD;</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the entities with whom we have shared personal data;</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the possibility of denying consent and consequences of such denial;</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of consent;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49" w:name="page150"/>
    <w:bookmarkEnd w:id="149"/>
    <w:p>
      <w:pPr>
        <w:ind w:left="1500" w:right="20" w:hanging="743"/>
        <w:spacing w:after="0" w:line="269" w:lineRule="auto"/>
        <w:tabs>
          <w:tab w:leader="none" w:pos="15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Objection to any processing of personal data to the extent that we rely on legal bases other than your consent, in case of violation of the LGPD;</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54" w:lineRule="auto"/>
        <w:tabs>
          <w:tab w:leader="none" w:pos="15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Revision of decisions taken solely on the basis of automated processing of your personal data which affects your interests, including decisions intended to define personal, professional, consumer or credit profile or aspects of your personality; and</w:t>
      </w:r>
    </w:p>
    <w:p>
      <w:pPr>
        <w:spacing w:after="0" w:line="17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Lodging a complaint with the National Authority (“ANPD”) if you consider that the processing of your personal data infringes the LGPD provisions.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of Personal Information</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Please find below consolidated information on cross-border transfer of personal data that we may carry out under LGPD, as set out in Section 5 of this Notice:</w:t>
      </w:r>
    </w:p>
    <w:p>
      <w:pPr>
        <w:spacing w:after="0" w:line="51" w:lineRule="exact"/>
        <w:rPr>
          <w:sz w:val="20"/>
          <w:szCs w:val="20"/>
          <w:color w:val="auto"/>
        </w:rPr>
      </w:pPr>
    </w:p>
    <w:p>
      <w:pPr>
        <w:jc w:val="both"/>
        <w:ind w:left="760" w:hanging="378"/>
        <w:spacing w:after="0" w:line="254" w:lineRule="auto"/>
        <w:tabs>
          <w:tab w:leader="none" w:pos="7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Duration and Specific Purpose of the Cross-border Transfer: We may transfer personal information relating to you from Brazil via our internal networks, for the purposes described in Annex 1 of this Notice, and your Personal Data will be retained in relation to the international transfer as described in Section 7 of this Notice.</w:t>
      </w:r>
    </w:p>
    <w:p>
      <w:pPr>
        <w:spacing w:after="0" w:line="66"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of Destination: Your Personal Data may be stored or accessed in any of the countries where we operate, including Canada, the United States, Mexico, the European Union, India, and the Philippines.</w:t>
      </w:r>
    </w:p>
    <w:p>
      <w:pPr>
        <w:spacing w:after="0" w:line="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controller: See Section 1 of this Notice.</w:t>
      </w:r>
    </w:p>
    <w:p>
      <w:pPr>
        <w:spacing w:after="0" w:line="107"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shared used and the purpose of sharing: See purposes described in Annex 1 of this Notice.</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responsibilities of the processing agents and the security measures adopted: the data controller shall be responsible for (i) publishing information on the cross- border transfer; (ii) responding to data subjects’ requests; and (iii) notifying ANPD and data subjects of security incidents which may cause significant risk or damage to data subjects. See security measures described in Section 6 of this Notice.</w:t>
      </w:r>
    </w:p>
    <w:p>
      <w:pPr>
        <w:spacing w:after="0" w:line="71"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the data subject and the means of exercising them: See Individual rights listed above and contact information for submitting requests in section 11 of this Notice.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50" w:name="page151"/>
    <w:bookmarkEnd w:id="150"/>
    <w:p>
      <w:pPr>
        <w:spacing w:after="0" w:line="217"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and Guarantor Subsidiaries</w:t>
      </w:r>
    </w:p>
    <w:p>
      <w:pPr>
        <w:spacing w:after="0" w:line="200" w:lineRule="exact"/>
        <w:rPr>
          <w:sz w:val="20"/>
          <w:szCs w:val="20"/>
          <w:color w:val="auto"/>
        </w:rPr>
      </w:pPr>
    </w:p>
    <w:p>
      <w:pPr>
        <w:spacing w:after="0" w:line="3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378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3180" w:type="dxa"/>
            <w:vAlign w:val="bottom"/>
            <w:tcBorders>
              <w:top w:val="single" w:sz="8" w:color="auto"/>
              <w:bottom w:val="single" w:sz="8" w:color="auto"/>
              <w:right w:val="single" w:sz="8" w:color="auto"/>
            </w:tcBorders>
          </w:tcPr>
          <w:p>
            <w:pPr>
              <w:spacing w:after="0"/>
              <w:rPr>
                <w:sz w:val="15"/>
                <w:szCs w:val="15"/>
                <w:color w:val="auto"/>
              </w:rPr>
            </w:pP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Trinity Acquisition plc</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Willis North America Inc.</w:t>
            </w:r>
          </w:p>
        </w:tc>
      </w:tr>
      <w:tr>
        <w:trPr>
          <w:trHeight w:val="257"/>
        </w:trPr>
        <w:tc>
          <w:tcPr>
            <w:tcW w:w="3780" w:type="dxa"/>
            <w:vAlign w:val="bottom"/>
            <w:tcBorders>
              <w:left w:val="single" w:sz="8" w:color="auto"/>
              <w:right w:val="single" w:sz="8" w:color="auto"/>
            </w:tcBorders>
          </w:tcPr>
          <w:p>
            <w:pPr>
              <w:spacing w:after="0"/>
              <w:rPr>
                <w:sz w:val="22"/>
                <w:szCs w:val="22"/>
                <w:color w:val="auto"/>
              </w:rPr>
            </w:pPr>
          </w:p>
        </w:tc>
        <w:tc>
          <w:tcPr>
            <w:tcW w:w="318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4.650% senior notes due 2027</w:t>
            </w:r>
          </w:p>
        </w:tc>
      </w:tr>
      <w:tr>
        <w:trPr>
          <w:trHeight w:val="148"/>
        </w:trPr>
        <w:tc>
          <w:tcPr>
            <w:tcW w:w="3780" w:type="dxa"/>
            <w:vAlign w:val="bottom"/>
            <w:tcBorders>
              <w:left w:val="single" w:sz="8" w:color="auto"/>
              <w:right w:val="single" w:sz="8" w:color="auto"/>
            </w:tcBorders>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4.500% senior notes due 2028</w:t>
            </w:r>
          </w:p>
        </w:tc>
      </w:tr>
      <w:tr>
        <w:trPr>
          <w:trHeight w:val="148"/>
        </w:trPr>
        <w:tc>
          <w:tcPr>
            <w:tcW w:w="3780" w:type="dxa"/>
            <w:vAlign w:val="bottom"/>
            <w:tcBorders>
              <w:left w:val="single" w:sz="8" w:color="auto"/>
              <w:right w:val="single" w:sz="8" w:color="auto"/>
            </w:tcBorders>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2.950% senior notes due 2029</w:t>
            </w:r>
          </w:p>
        </w:tc>
      </w:tr>
      <w:tr>
        <w:trPr>
          <w:trHeight w:val="148"/>
        </w:trPr>
        <w:tc>
          <w:tcPr>
            <w:tcW w:w="3780" w:type="dxa"/>
            <w:vAlign w:val="bottom"/>
            <w:tcBorders>
              <w:left w:val="single" w:sz="8" w:color="auto"/>
              <w:right w:val="single" w:sz="8" w:color="auto"/>
            </w:tcBorders>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4.550% senior notes due 2031</w:t>
            </w:r>
          </w:p>
        </w:tc>
      </w:tr>
      <w:tr>
        <w:trPr>
          <w:trHeight w:val="148"/>
        </w:trPr>
        <w:tc>
          <w:tcPr>
            <w:tcW w:w="3780" w:type="dxa"/>
            <w:vAlign w:val="bottom"/>
            <w:tcBorders>
              <w:left w:val="single" w:sz="8" w:color="auto"/>
              <w:right w:val="single" w:sz="8" w:color="auto"/>
            </w:tcBorders>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5.350% senior notes due 2033</w:t>
            </w:r>
          </w:p>
        </w:tc>
      </w:tr>
      <w:tr>
        <w:trPr>
          <w:trHeight w:val="148"/>
        </w:trPr>
        <w:tc>
          <w:tcPr>
            <w:tcW w:w="3780" w:type="dxa"/>
            <w:vAlign w:val="bottom"/>
            <w:tcBorders>
              <w:left w:val="single" w:sz="8" w:color="auto"/>
              <w:right w:val="single" w:sz="8" w:color="auto"/>
            </w:tcBorders>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5.150% senior notes due 2036</w:t>
            </w:r>
          </w:p>
        </w:tc>
      </w:tr>
      <w:tr>
        <w:trPr>
          <w:trHeight w:val="149"/>
        </w:trPr>
        <w:tc>
          <w:tcPr>
            <w:tcW w:w="3780" w:type="dxa"/>
            <w:vAlign w:val="bottom"/>
            <w:tcBorders>
              <w:left w:val="single" w:sz="8" w:color="auto"/>
              <w:right w:val="single" w:sz="8" w:color="auto"/>
            </w:tcBorders>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5.050% senior notes due 2048</w:t>
            </w:r>
          </w:p>
        </w:tc>
      </w:tr>
      <w:tr>
        <w:trPr>
          <w:trHeight w:val="148"/>
        </w:trPr>
        <w:tc>
          <w:tcPr>
            <w:tcW w:w="3780" w:type="dxa"/>
            <w:vAlign w:val="bottom"/>
            <w:tcBorders>
              <w:left w:val="single" w:sz="8" w:color="auto"/>
              <w:right w:val="single" w:sz="8" w:color="auto"/>
            </w:tcBorders>
          </w:tcPr>
          <w:p>
            <w:pPr>
              <w:spacing w:after="0"/>
              <w:rPr>
                <w:sz w:val="12"/>
                <w:szCs w:val="12"/>
                <w:color w:val="auto"/>
              </w:rPr>
            </w:pPr>
          </w:p>
        </w:tc>
        <w:tc>
          <w:tcPr>
            <w:tcW w:w="31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3.875% senior notes due 2049</w:t>
            </w:r>
          </w:p>
        </w:tc>
      </w:tr>
      <w:tr>
        <w:trPr>
          <w:trHeight w:val="165"/>
        </w:trPr>
        <w:tc>
          <w:tcPr>
            <w:tcW w:w="3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3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6.125% senior notes due 2043</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5.900% senior notes due 2054</w:t>
            </w:r>
          </w:p>
        </w:tc>
      </w:tr>
      <w:tr>
        <w:trPr>
          <w:trHeight w:val="142"/>
        </w:trPr>
        <w:tc>
          <w:tcPr>
            <w:tcW w:w="37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Willis Towers Watson Public Limited Company</w:t>
            </w:r>
          </w:p>
        </w:tc>
        <w:tc>
          <w:tcPr>
            <w:tcW w:w="31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Ireland</w:t>
            </w:r>
          </w:p>
        </w:tc>
        <w:tc>
          <w:tcPr>
            <w:tcW w:w="2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c>
          <w:tcPr>
            <w:tcW w:w="21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r>
      <w:tr>
        <w:trPr>
          <w:trHeight w:val="142"/>
        </w:trPr>
        <w:tc>
          <w:tcPr>
            <w:tcW w:w="37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Trinity Acquisition plc</w:t>
            </w:r>
          </w:p>
        </w:tc>
        <w:tc>
          <w:tcPr>
            <w:tcW w:w="31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United Kingdom</w:t>
            </w:r>
          </w:p>
        </w:tc>
        <w:tc>
          <w:tcPr>
            <w:tcW w:w="2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Issuer</w:t>
            </w:r>
          </w:p>
        </w:tc>
        <w:tc>
          <w:tcPr>
            <w:tcW w:w="21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r>
      <w:tr>
        <w:trPr>
          <w:trHeight w:val="142"/>
        </w:trPr>
        <w:tc>
          <w:tcPr>
            <w:tcW w:w="37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Willis North America Inc.</w:t>
            </w:r>
          </w:p>
        </w:tc>
        <w:tc>
          <w:tcPr>
            <w:tcW w:w="31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Delaware</w:t>
            </w:r>
          </w:p>
        </w:tc>
        <w:tc>
          <w:tcPr>
            <w:tcW w:w="2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c>
          <w:tcPr>
            <w:tcW w:w="21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Issuer</w:t>
            </w:r>
          </w:p>
        </w:tc>
      </w:tr>
      <w:tr>
        <w:trPr>
          <w:trHeight w:val="142"/>
        </w:trPr>
        <w:tc>
          <w:tcPr>
            <w:tcW w:w="37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Willis Investment UK Holdings Limited</w:t>
            </w:r>
          </w:p>
        </w:tc>
        <w:tc>
          <w:tcPr>
            <w:tcW w:w="31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United Kingdom</w:t>
            </w:r>
          </w:p>
        </w:tc>
        <w:tc>
          <w:tcPr>
            <w:tcW w:w="2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c>
          <w:tcPr>
            <w:tcW w:w="21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r>
      <w:tr>
        <w:trPr>
          <w:trHeight w:val="142"/>
        </w:trPr>
        <w:tc>
          <w:tcPr>
            <w:tcW w:w="37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Willis Group Limited</w:t>
            </w:r>
          </w:p>
        </w:tc>
        <w:tc>
          <w:tcPr>
            <w:tcW w:w="31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United Kingdom</w:t>
            </w:r>
          </w:p>
        </w:tc>
        <w:tc>
          <w:tcPr>
            <w:tcW w:w="2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c>
          <w:tcPr>
            <w:tcW w:w="21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r>
      <w:tr>
        <w:trPr>
          <w:trHeight w:val="142"/>
        </w:trPr>
        <w:tc>
          <w:tcPr>
            <w:tcW w:w="378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Willis Towers Watson Sub Holdings Unlimited Company</w:t>
            </w:r>
          </w:p>
        </w:tc>
        <w:tc>
          <w:tcPr>
            <w:tcW w:w="31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Ireland</w:t>
            </w:r>
          </w:p>
        </w:tc>
        <w:tc>
          <w:tcPr>
            <w:tcW w:w="21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c>
          <w:tcPr>
            <w:tcW w:w="21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color w:val="auto"/>
              </w:rPr>
              <w:t>Guarantor</w:t>
            </w:r>
          </w:p>
        </w:tc>
      </w:tr>
      <w:tr>
        <w:trPr>
          <w:trHeight w:val="1620"/>
        </w:trPr>
        <w:tc>
          <w:tcPr>
            <w:tcW w:w="37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7" w:lineRule="exact"/>
        <w:rPr>
          <w:rFonts w:ascii="Times New Roman" w:cs="Times New Roman" w:eastAsia="Times New Roman" w:hAnsi="Times New Roman"/>
          <w:sz w:val="18"/>
          <w:szCs w:val="18"/>
          <w:color w:val="auto"/>
        </w:rPr>
      </w:pPr>
    </w:p>
    <w:p>
      <w:pPr>
        <w:jc w:val="both"/>
        <w:ind w:left="480" w:right="280" w:hanging="472"/>
        <w:spacing w:after="0" w:line="266" w:lineRule="auto"/>
        <w:tabs>
          <w:tab w:leader="none" w:pos="4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80" w:right="240" w:hanging="472"/>
        <w:spacing w:after="0" w:line="282" w:lineRule="auto"/>
        <w:tabs>
          <w:tab w:leader="none" w:pos="4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480" w:right="280" w:hanging="472"/>
        <w:spacing w:after="0" w:line="266" w:lineRule="auto"/>
        <w:tabs>
          <w:tab w:leader="none" w:pos="4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473"/>
        <w:spacing w:after="0" w:line="266" w:lineRule="auto"/>
        <w:tabs>
          <w:tab w:leader="none" w:pos="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380" w:hanging="473"/>
        <w:spacing w:after="0" w:line="266" w:lineRule="auto"/>
        <w:tabs>
          <w:tab w:leader="none" w:pos="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540" w:hanging="473"/>
        <w:spacing w:after="0" w:line="282" w:lineRule="auto"/>
        <w:tabs>
          <w:tab w:leader="none" w:pos="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960" w:right="40" w:hanging="473"/>
        <w:spacing w:after="0" w:line="266" w:lineRule="auto"/>
        <w:tabs>
          <w:tab w:leader="none" w:pos="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80" w:right="160" w:hanging="472"/>
        <w:spacing w:after="0" w:line="282" w:lineRule="auto"/>
        <w:tabs>
          <w:tab w:leader="none" w:pos="4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right="800" w:hanging="473"/>
        <w:spacing w:after="0" w:line="282" w:lineRule="auto"/>
        <w:tabs>
          <w:tab w:leader="none" w:pos="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right="460" w:hanging="473"/>
        <w:spacing w:after="0" w:line="282" w:lineRule="auto"/>
        <w:tabs>
          <w:tab w:leader="none" w:pos="96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16" w:lineRule="exact"/>
        <w:rPr>
          <w:sz w:val="20"/>
          <w:szCs w:val="20"/>
          <w:color w:val="auto"/>
        </w:rPr>
      </w:pPr>
    </w:p>
    <w:p>
      <w:pPr>
        <w:ind w:left="1040" w:right="940" w:hanging="567"/>
        <w:spacing w:after="0" w:line="282" w:lineRule="auto"/>
        <w:tabs>
          <w:tab w:leader="none" w:pos="10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2026 (the ‘Report’) fully complies with the requirements of Section 13(a) or Section 15(d), as applicable, of the Exchange Act; and</w:t>
      </w:r>
    </w:p>
    <w:p>
      <w:pPr>
        <w:spacing w:after="0" w:line="53" w:lineRule="exact"/>
        <w:rPr>
          <w:rFonts w:ascii="Times New Roman" w:cs="Times New Roman" w:eastAsia="Times New Roman" w:hAnsi="Times New Roman"/>
          <w:sz w:val="18"/>
          <w:szCs w:val="18"/>
          <w:color w:val="auto"/>
        </w:rPr>
      </w:pPr>
    </w:p>
    <w:p>
      <w:pPr>
        <w:ind w:left="1040" w:right="540" w:hanging="567"/>
        <w:spacing w:after="0" w:line="282" w:lineRule="auto"/>
        <w:tabs>
          <w:tab w:leader="none" w:pos="10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 A. Hess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1)"/>
      <w:numFmt w:val="lowerRoman"/>
      <w:start w:val="1"/>
    </w:lvl>
  </w:abstractNum>
  <w:abstractNum w:abstractNumId="6">
    <w:nsid w:val="50801EE1"/>
    <w:multiLevelType w:val="hybridMultilevel"/>
    <w:lvl w:ilvl="0">
      <w:lvlJc w:val="left"/>
      <w:lvlText w:val="(%1)"/>
      <w:numFmt w:val="lowerRoman"/>
      <w:start w:val="1"/>
    </w:lvl>
  </w:abstractNum>
  <w:abstractNum w:abstractNumId="7">
    <w:nsid w:val="488AC1A"/>
    <w:multiLevelType w:val="hybridMultilevel"/>
    <w:lvl w:ilvl="0">
      <w:lvlJc w:val="left"/>
      <w:lvlText w:val="(%1)"/>
      <w:numFmt w:val="lowerRoman"/>
      <w:start w:val="1"/>
    </w:lvl>
  </w:abstractNum>
  <w:abstractNum w:abstractNumId="8">
    <w:nsid w:val="5FB8011C"/>
    <w:multiLevelType w:val="hybridMultilevel"/>
    <w:lvl w:ilvl="0">
      <w:lvlJc w:val="left"/>
      <w:lvlText w:val="(%1)"/>
      <w:numFmt w:val="lowerRoman"/>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1)"/>
      <w:numFmt w:val="lowerRoman"/>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1)"/>
      <w:numFmt w:val="lowerRoman"/>
      <w:start w:val="1"/>
    </w:lvl>
  </w:abstractNum>
  <w:abstractNum w:abstractNumId="16">
    <w:nsid w:val="7DE67713"/>
    <w:multiLevelType w:val="hybridMultilevel"/>
    <w:lvl w:ilvl="0">
      <w:lvlJc w:val="left"/>
      <w:lvlText w:val="(%1)"/>
      <w:numFmt w:val="lowerRoman"/>
      <w:start w:val="1"/>
    </w:lvl>
  </w:abstractNum>
  <w:abstractNum w:abstractNumId="17">
    <w:nsid w:val="555C55B5"/>
    <w:multiLevelType w:val="hybridMultilevel"/>
    <w:lvl w:ilvl="0">
      <w:lvlJc w:val="left"/>
      <w:lvlText w:val="(%1)"/>
      <w:numFmt w:val="lowerRoman"/>
      <w:start w:val="1"/>
    </w:lvl>
  </w:abstractNum>
  <w:abstractNum w:abstractNumId="18">
    <w:nsid w:val="3FA62ACA"/>
    <w:multiLevelType w:val="hybridMultilevel"/>
    <w:lvl w:ilvl="0">
      <w:lvlJc w:val="left"/>
      <w:lvlText w:val="(%1)"/>
      <w:numFmt w:val="lowerRoman"/>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o"/>
      <w:numFmt w:val="bullet"/>
      <w:start w:val="1"/>
    </w:lvl>
  </w:abstractNum>
  <w:abstractNum w:abstractNumId="21">
    <w:nsid w:val="71C91298"/>
    <w:multiLevelType w:val="hybridMultilevel"/>
    <w:lvl w:ilvl="0">
      <w:lvlJc w:val="left"/>
      <w:lvlText w:val="(%1)"/>
      <w:numFmt w:val="lowerRoman"/>
      <w:start w:val="1"/>
    </w:lvl>
  </w:abstractNum>
  <w:abstractNum w:abstractNumId="22">
    <w:nsid w:val="9DAF632"/>
    <w:multiLevelType w:val="hybridMultilevel"/>
    <w:lvl w:ilvl="0">
      <w:lvlJc w:val="left"/>
      <w:lvlText w:val="(%1)"/>
      <w:numFmt w:val="lowerRoman"/>
      <w:start w:val="1"/>
    </w:lvl>
  </w:abstractNum>
  <w:abstractNum w:abstractNumId="23">
    <w:nsid w:val="53299938"/>
    <w:multiLevelType w:val="hybridMultilevel"/>
    <w:lvl w:ilvl="0">
      <w:lvlJc w:val="left"/>
      <w:lvlText w:val="%1)"/>
      <w:numFmt w:val="lowerLetter"/>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1)"/>
      <w:numFmt w:val="lowerRoman"/>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1."/>
      <w:numFmt w:val="decimal"/>
      <w:start w:val="1"/>
    </w:lvl>
    <w:lvl w:ilvl="1">
      <w:lvlJc w:val="left"/>
      <w:lvlText w:val="(%2)"/>
      <w:numFmt w:val="lowerLetter"/>
      <w:start w:val="1"/>
    </w:lvl>
  </w:abstractNum>
  <w:abstractNum w:abstractNumId="30">
    <w:nsid w:val="1D9F6E5F"/>
    <w:multiLevelType w:val="hybridMultilevel"/>
    <w:lvl w:ilvl="0">
      <w:lvlJc w:val="left"/>
      <w:lvlText w:val="(%1)"/>
      <w:numFmt w:val="lowerLetter"/>
      <w:start w:val="2"/>
    </w:lvl>
  </w:abstractNum>
  <w:abstractNum w:abstractNumId="31">
    <w:nsid w:val="97E1B4E"/>
    <w:multiLevelType w:val="hybridMultilevel"/>
    <w:lvl w:ilvl="0">
      <w:lvlJc w:val="left"/>
      <w:lvlText w:val="(%1)"/>
      <w:numFmt w:val="lowerLetter"/>
      <w:start w:val="7"/>
    </w:lvl>
  </w:abstractNum>
  <w:abstractNum w:abstractNumId="32">
    <w:nsid w:val="51088277"/>
    <w:multiLevelType w:val="hybridMultilevel"/>
    <w:lvl w:ilvl="0">
      <w:lvlJc w:val="left"/>
      <w:lvlText w:val="(%1)"/>
      <w:numFmt w:val="lowerLetter"/>
      <w:start w:val="14"/>
    </w:lvl>
  </w:abstractNum>
  <w:abstractNum w:abstractNumId="33">
    <w:nsid w:val="1CA0C5FA"/>
    <w:multiLevelType w:val="hybridMultilevel"/>
    <w:lvl w:ilvl="0">
      <w:lvlJc w:val="left"/>
      <w:lvlText w:val="(%1)"/>
      <w:numFmt w:val="lowerLetter"/>
      <w:start w:val="17"/>
    </w:lvl>
  </w:abstractNum>
  <w:abstractNum w:abstractNumId="34">
    <w:nsid w:val="53584BCB"/>
    <w:multiLevelType w:val="hybridMultilevel"/>
    <w:lvl w:ilvl="0">
      <w:lvlJc w:val="left"/>
      <w:lvlText w:val="%1"/>
      <w:numFmt w:val="decimal"/>
      <w:start w:val="1"/>
    </w:lvl>
    <w:lvl w:ilvl="1">
      <w:lvlJc w:val="left"/>
      <w:lvlText w:val="(%2)"/>
      <w:numFmt w:val="lowerLetter"/>
      <w:start w:val="24"/>
    </w:lvl>
  </w:abstractNum>
  <w:abstractNum w:abstractNumId="35">
    <w:nsid w:val="415E286C"/>
    <w:multiLevelType w:val="hybridMultilevel"/>
    <w:lvl w:ilvl="0">
      <w:lvlJc w:val="left"/>
      <w:lvlText w:val="(%1)"/>
      <w:numFmt w:val="lowerLetter"/>
      <w:start w:val="35"/>
    </w:lvl>
  </w:abstractNum>
  <w:abstractNum w:abstractNumId="36">
    <w:nsid w:val="7C58FD05"/>
    <w:multiLevelType w:val="hybridMultilevel"/>
    <w:lvl w:ilvl="0">
      <w:lvlJc w:val="left"/>
      <w:lvlText w:val="(%1)"/>
      <w:numFmt w:val="lowerLetter"/>
      <w:start w:val="38"/>
    </w:lvl>
  </w:abstractNum>
  <w:abstractNum w:abstractNumId="37">
    <w:nsid w:val="23D86AAC"/>
    <w:multiLevelType w:val="hybridMultilevel"/>
    <w:lvl w:ilvl="0">
      <w:lvlJc w:val="left"/>
      <w:lvlText w:val="(%1)"/>
      <w:numFmt w:val="lowerLetter"/>
      <w:start w:val="46"/>
    </w:lvl>
  </w:abstractNum>
  <w:abstractNum w:abstractNumId="38">
    <w:nsid w:val="45E6D486"/>
    <w:multiLevelType w:val="hybridMultilevel"/>
    <w:lvl w:ilvl="0">
      <w:lvlJc w:val="left"/>
      <w:lvlText w:val="%1."/>
      <w:numFmt w:val="decimal"/>
      <w:start w:val="3"/>
    </w:lvl>
    <w:lvl w:ilvl="1">
      <w:lvlJc w:val="left"/>
      <w:lvlText w:val="(%2)"/>
      <w:numFmt w:val="lowerLetter"/>
      <w:start w:val="1"/>
    </w:lvl>
  </w:abstractNum>
  <w:abstractNum w:abstractNumId="39">
    <w:nsid w:val="5C10FE21"/>
    <w:multiLevelType w:val="hybridMultilevel"/>
    <w:lvl w:ilvl="0">
      <w:lvlJc w:val="left"/>
      <w:lvlText w:val="%1"/>
      <w:numFmt w:val="lowerLetter"/>
      <w:start w:val="1"/>
    </w:lvl>
    <w:lvl w:ilvl="1">
      <w:lvlJc w:val="left"/>
      <w:lvlText w:val="%2."/>
      <w:numFmt w:val="lowerRoman"/>
      <w:start w:val="1"/>
    </w:lvl>
  </w:abstractNum>
  <w:abstractNum w:abstractNumId="40">
    <w:nsid w:val="E7FFA2B"/>
    <w:multiLevelType w:val="hybridMultilevel"/>
    <w:lvl w:ilvl="0">
      <w:lvlJc w:val="left"/>
      <w:lvlText w:val="(%1)"/>
      <w:numFmt w:val="lowerLetter"/>
      <w:start w:val="3"/>
    </w:lvl>
    <w:lvl w:ilvl="1">
      <w:lvlJc w:val="left"/>
      <w:lvlText w:val="%2"/>
      <w:numFmt w:val="lowerRoman"/>
      <w:start w:val="1"/>
    </w:lvl>
  </w:abstractNum>
  <w:abstractNum w:abstractNumId="41">
    <w:nsid w:val="3C5991AA"/>
    <w:multiLevelType w:val="hybridMultilevel"/>
    <w:lvl w:ilvl="0">
      <w:lvlJc w:val="left"/>
      <w:lvlText w:val="%1"/>
      <w:numFmt w:val="decimal"/>
      <w:start w:val="1"/>
    </w:lvl>
    <w:lvl w:ilvl="1">
      <w:lvlJc w:val="left"/>
      <w:lvlText w:val="(%2)"/>
      <w:numFmt w:val="lowerLetter"/>
      <w:start w:val="4"/>
    </w:lvl>
  </w:abstractNum>
  <w:abstractNum w:abstractNumId="42">
    <w:nsid w:val="4BD8591A"/>
    <w:multiLevelType w:val="hybridMultilevel"/>
    <w:lvl w:ilvl="0">
      <w:lvlJc w:val="left"/>
      <w:lvlText w:val="%1."/>
      <w:numFmt w:val="decimal"/>
      <w:start w:val="4"/>
    </w:lvl>
    <w:lvl w:ilvl="1">
      <w:lvlJc w:val="left"/>
      <w:lvlText w:val="(%2)"/>
      <w:numFmt w:val="lowerLetter"/>
      <w:start w:val="1"/>
    </w:lvl>
  </w:abstractNum>
  <w:abstractNum w:abstractNumId="43">
    <w:nsid w:val="78DF6A5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decimal"/>
      <w:start w:val="1"/>
    </w:lvl>
  </w:abstractNum>
  <w:abstractNum w:abstractNumId="44">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5">
    <w:nsid w:val="2B0D8DB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6C80EC7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7">
    <w:nsid w:val="379E21B5"/>
    <w:multiLevelType w:val="hybridMultilevel"/>
    <w:lvl w:ilvl="0">
      <w:lvlJc w:val="left"/>
      <w:lvlText w:val="(%1)"/>
      <w:numFmt w:val="lowerLetter"/>
      <w:start w:val="3"/>
    </w:lvl>
  </w:abstractNum>
  <w:abstractNum w:abstractNumId="48">
    <w:nsid w:val="69E373"/>
    <w:multiLevelType w:val="hybridMultilevel"/>
    <w:lvl w:ilvl="0">
      <w:lvlJc w:val="left"/>
      <w:lvlText w:val="(%1)"/>
      <w:numFmt w:val="lowerLetter"/>
      <w:start w:val="10"/>
    </w:lvl>
  </w:abstractNum>
  <w:abstractNum w:abstractNumId="49">
    <w:nsid w:val="2C27173B"/>
    <w:multiLevelType w:val="hybridMultilevel"/>
    <w:lvl w:ilvl="0">
      <w:lvlJc w:val="left"/>
      <w:lvlText w:val="(%1)"/>
      <w:numFmt w:val="lowerLetter"/>
      <w:start w:val="14"/>
    </w:lvl>
    <w:lvl w:ilvl="1">
      <w:lvlJc w:val="left"/>
      <w:lvlText w:val="%2."/>
      <w:numFmt w:val="lowerRoman"/>
      <w:start w:val="1"/>
    </w:lvl>
  </w:abstractNum>
  <w:abstractNum w:abstractNumId="50">
    <w:nsid w:val="4C9B0904"/>
    <w:multiLevelType w:val="hybridMultilevel"/>
    <w:lvl w:ilvl="0">
      <w:lvlJc w:val="left"/>
      <w:lvlText w:val="(%1)"/>
      <w:numFmt w:val="lowerLetter"/>
      <w:start w:val="15"/>
    </w:lvl>
  </w:abstractNum>
  <w:abstractNum w:abstractNumId="51">
    <w:nsid w:val="6AA7B75C"/>
    <w:multiLevelType w:val="hybridMultilevel"/>
    <w:lvl w:ilvl="0">
      <w:lvlJc w:val="left"/>
      <w:lvlText w:val="%1."/>
      <w:numFmt w:val="decimal"/>
      <w:start w:val="7"/>
    </w:lvl>
  </w:abstractNum>
  <w:abstractNum w:abstractNumId="52">
    <w:nsid w:val="1DF029D3"/>
    <w:multiLevelType w:val="hybridMultilevel"/>
    <w:lvl w:ilvl="0">
      <w:lvlJc w:val="left"/>
      <w:lvlText w:val="(%1)"/>
      <w:numFmt w:val="lowerLetter"/>
      <w:start w:val="1"/>
    </w:lvl>
    <w:lvl w:ilvl="1">
      <w:lvlJc w:val="left"/>
      <w:lvlText w:val="%2."/>
      <w:numFmt w:val="lowerRoman"/>
      <w:start w:val="1"/>
    </w:lvl>
  </w:abstractNum>
  <w:abstractNum w:abstractNumId="53">
    <w:nsid w:val="5675FF36"/>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54">
    <w:nsid w:val="3DD150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55">
    <w:nsid w:val="3DB012B3"/>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56">
    <w:nsid w:val="2708C9A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7">
    <w:nsid w:val="5B25ACE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8">
    <w:nsid w:val="175DFCF0"/>
    <w:multiLevelType w:val="hybridMultilevel"/>
    <w:lvl w:ilvl="0">
      <w:lvlJc w:val="left"/>
      <w:lvlText w:val="%1"/>
      <w:numFmt w:val="lowerLetter"/>
      <w:start w:val="1"/>
    </w:lvl>
    <w:lvl w:ilvl="1">
      <w:lvlJc w:val="left"/>
      <w:lvlText w:val="%2."/>
      <w:numFmt w:val="lowerRoman"/>
      <w:start w:val="3"/>
    </w:lvl>
  </w:abstractNum>
  <w:abstractNum w:abstractNumId="59">
    <w:nsid w:val="4F97E3E4"/>
    <w:multiLevelType w:val="hybridMultilevel"/>
    <w:lvl w:ilvl="0">
      <w:lvlJc w:val="left"/>
      <w:lvlText w:val="(%1)"/>
      <w:numFmt w:val="lowerLetter"/>
      <w:start w:val="5"/>
    </w:lvl>
    <w:lvl w:ilvl="1">
      <w:lvlJc w:val="left"/>
      <w:lvlText w:val="%2"/>
      <w:numFmt w:val="lowerRoman"/>
      <w:start w:val="1"/>
    </w:lvl>
  </w:abstractNum>
  <w:abstractNum w:abstractNumId="60">
    <w:nsid w:val="53B0A9E"/>
    <w:multiLevelType w:val="hybridMultilevel"/>
    <w:lvl w:ilvl="0">
      <w:lvlJc w:val="left"/>
      <w:lvlText w:val="%1."/>
      <w:numFmt w:val="decimal"/>
      <w:start w:val="8"/>
    </w:lvl>
    <w:lvl w:ilvl="1">
      <w:lvlJc w:val="left"/>
      <w:lvlText w:val="(%2)"/>
      <w:numFmt w:val="lowerLetter"/>
      <w:start w:val="1"/>
    </w:lvl>
  </w:abstractNum>
  <w:abstractNum w:abstractNumId="61">
    <w:nsid w:val="34FD6B4F"/>
    <w:multiLevelType w:val="hybridMultilevel"/>
    <w:lvl w:ilvl="0">
      <w:lvlJc w:val="left"/>
      <w:lvlText w:val="%1."/>
      <w:numFmt w:val="decimal"/>
      <w:start w:val="11"/>
    </w:lvl>
  </w:abstractNum>
  <w:abstractNum w:abstractNumId="62">
    <w:nsid w:val="5915FF32"/>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63">
    <w:nsid w:val="56438D15"/>
    <w:multiLevelType w:val="hybridMultilevel"/>
    <w:lvl w:ilvl="0">
      <w:lvlJc w:val="left"/>
      <w:lvlText w:val="%1"/>
      <w:numFmt w:val="lowerLetter"/>
      <w:start w:val="1"/>
    </w:lvl>
    <w:lvl w:ilvl="1">
      <w:lvlJc w:val="left"/>
      <w:lvlText w:val="%2."/>
      <w:numFmt w:val="lowerRoman"/>
      <w:start w:val="2"/>
    </w:lvl>
  </w:abstractNum>
  <w:abstractNum w:abstractNumId="64">
    <w:nsid w:val="519E3149"/>
    <w:multiLevelType w:val="hybridMultilevel"/>
    <w:lvl w:ilvl="0">
      <w:lvlJc w:val="left"/>
      <w:lvlText w:val="(%1)"/>
      <w:numFmt w:val="lowerLetter"/>
      <w:start w:val="2"/>
    </w:lvl>
    <w:lvl w:ilvl="1">
      <w:lvlJc w:val="left"/>
      <w:lvlText w:val="%2."/>
      <w:numFmt w:val="lowerRoman"/>
      <w:start w:val="1"/>
    </w:lvl>
  </w:abstractNum>
  <w:abstractNum w:abstractNumId="65">
    <w:nsid w:val="2C6E4AFD"/>
    <w:multiLevelType w:val="hybridMultilevel"/>
    <w:lvl w:ilvl="0">
      <w:lvlJc w:val="left"/>
      <w:lvlText w:val="%1."/>
      <w:numFmt w:val="decimal"/>
      <w:start w:val="13"/>
    </w:lvl>
  </w:abstractNum>
  <w:abstractNum w:abstractNumId="66">
    <w:nsid w:val="17A1B582"/>
    <w:multiLevelType w:val="hybridMultilevel"/>
    <w:lvl w:ilvl="0">
      <w:lvlJc w:val="left"/>
      <w:lvlText w:val="%1."/>
      <w:numFmt w:val="decimal"/>
      <w:start w:val="14"/>
    </w:lvl>
  </w:abstractNum>
  <w:abstractNum w:abstractNumId="67">
    <w:nsid w:val="4DF72E4E"/>
    <w:multiLevelType w:val="hybridMultilevel"/>
    <w:lvl w:ilvl="0">
      <w:lvlJc w:val="left"/>
      <w:lvlText w:val="%1."/>
      <w:numFmt w:val="decimal"/>
      <w:start w:val="15"/>
    </w:lvl>
  </w:abstractNum>
  <w:abstractNum w:abstractNumId="68">
    <w:nsid w:val="5046B5A9"/>
    <w:multiLevelType w:val="hybridMultilevel"/>
    <w:lvl w:ilvl="0">
      <w:lvlJc w:val="left"/>
      <w:lvlText w:val="%1."/>
      <w:numFmt w:val="decimal"/>
      <w:start w:val="16"/>
    </w:lvl>
    <w:lvl w:ilvl="1">
      <w:lvlJc w:val="left"/>
      <w:lvlText w:val="(%2)"/>
      <w:numFmt w:val="lowerLetter"/>
      <w:start w:val="1"/>
    </w:lvl>
  </w:abstractNum>
  <w:abstractNum w:abstractNumId="69">
    <w:nsid w:val="5D888A08"/>
    <w:multiLevelType w:val="hybridMultilevel"/>
    <w:lvl w:ilvl="0">
      <w:lvlJc w:val="left"/>
      <w:lvlText w:val="%1."/>
      <w:numFmt w:val="decimal"/>
      <w:start w:val="18"/>
    </w:lvl>
    <w:lvl w:ilvl="1">
      <w:lvlJc w:val="left"/>
      <w:lvlText w:val="(%2)"/>
      <w:numFmt w:val="lowerLetter"/>
      <w:start w:val="1"/>
    </w:lvl>
  </w:abstractNum>
  <w:abstractNum w:abstractNumId="70">
    <w:nsid w:val="2A082C70"/>
    <w:multiLevelType w:val="hybridMultilevel"/>
    <w:lvl w:ilvl="0">
      <w:lvlJc w:val="left"/>
      <w:lvlText w:val="(%1)"/>
      <w:numFmt w:val="lowerLetter"/>
      <w:start w:val="1"/>
    </w:lvl>
  </w:abstractNum>
  <w:abstractNum w:abstractNumId="71">
    <w:nsid w:val="5EC6AFD4"/>
    <w:multiLevelType w:val="hybridMultilevel"/>
    <w:lvl w:ilvl="0">
      <w:lvlJc w:val="left"/>
      <w:lvlText w:val="(%1)"/>
      <w:numFmt w:val="lowerLetter"/>
      <w:start w:val="3"/>
    </w:lvl>
  </w:abstractNum>
  <w:abstractNum w:abstractNumId="72">
    <w:nsid w:val="19E21BB2"/>
    <w:multiLevelType w:val="hybridMultilevel"/>
    <w:lvl w:ilvl="0">
      <w:lvlJc w:val="left"/>
      <w:lvlText w:val="(%1)"/>
      <w:numFmt w:val="lowerLetter"/>
      <w:start w:val="1"/>
    </w:lvl>
  </w:abstractNum>
  <w:abstractNum w:abstractNumId="73">
    <w:nsid w:val="75E0858A"/>
    <w:multiLevelType w:val="hybridMultilevel"/>
    <w:lvl w:ilvl="0">
      <w:lvlJc w:val="left"/>
      <w:lvlText w:val="(%1)"/>
      <w:numFmt w:val="lowerLetter"/>
      <w:start w:val="1"/>
    </w:lvl>
  </w:abstractNum>
  <w:abstractNum w:abstractNumId="74">
    <w:nsid w:val="57A61A29"/>
    <w:multiLevelType w:val="hybridMultilevel"/>
    <w:lvl w:ilvl="0">
      <w:lvlJc w:val="left"/>
      <w:lvlText w:val="(%1)"/>
      <w:numFmt w:val="lowerLetter"/>
      <w:start w:val="2"/>
    </w:lvl>
  </w:abstractNum>
  <w:abstractNum w:abstractNumId="75">
    <w:nsid w:val="5399C654"/>
    <w:multiLevelType w:val="hybridMultilevel"/>
    <w:lvl w:ilvl="0">
      <w:lvlJc w:val="left"/>
      <w:lvlText w:val="(%1)"/>
      <w:numFmt w:val="lowerLetter"/>
      <w:start w:val="1"/>
    </w:lvl>
  </w:abstractNum>
  <w:abstractNum w:abstractNumId="76">
    <w:nsid w:val="20EE1348"/>
    <w:multiLevelType w:val="hybridMultilevel"/>
    <w:lvl w:ilvl="0">
      <w:lvlJc w:val="left"/>
      <w:lvlText w:val="(%1)"/>
      <w:numFmt w:val="lowerLetter"/>
      <w:start w:val="1"/>
    </w:lvl>
  </w:abstractNum>
  <w:abstractNum w:abstractNumId="77">
    <w:nsid w:val="4427069A"/>
    <w:multiLevelType w:val="hybridMultilevel"/>
    <w:lvl w:ilvl="0">
      <w:lvlJc w:val="left"/>
      <w:lvlText w:val="%1."/>
      <w:numFmt w:val="decimal"/>
      <w:start w:val="1"/>
    </w:lvl>
  </w:abstractNum>
  <w:abstractNum w:abstractNumId="78">
    <w:nsid w:val="B37E80A"/>
    <w:multiLevelType w:val="hybridMultilevel"/>
    <w:lvl w:ilvl="0">
      <w:lvlJc w:val="left"/>
      <w:lvlText w:val="%1."/>
      <w:numFmt w:val="decimal"/>
      <w:start w:val="2"/>
    </w:lvl>
  </w:abstractNum>
  <w:abstractNum w:abstractNumId="79">
    <w:nsid w:val="2157F6BC"/>
    <w:multiLevelType w:val="hybridMultilevel"/>
    <w:lvl w:ilvl="0">
      <w:lvlJc w:val="left"/>
      <w:lvlText w:val="(%1)"/>
      <w:numFmt w:val="lowerLetter"/>
      <w:start w:val="1"/>
    </w:lvl>
  </w:abstractNum>
  <w:abstractNum w:abstractNumId="80">
    <w:nsid w:val="704E1DD5"/>
    <w:multiLevelType w:val="hybridMultilevel"/>
    <w:lvl w:ilvl="0">
      <w:lvlJc w:val="left"/>
      <w:lvlText w:val="%1."/>
      <w:numFmt w:val="decimal"/>
      <w:start w:val="3"/>
    </w:lvl>
  </w:abstractNum>
  <w:abstractNum w:abstractNumId="81">
    <w:nsid w:val="57D2F10E"/>
    <w:multiLevelType w:val="hybridMultilevel"/>
    <w:lvl w:ilvl="0">
      <w:lvlJc w:val="left"/>
      <w:lvlText w:val="(%1)"/>
      <w:numFmt w:val="lowerLetter"/>
      <w:start w:val="1"/>
    </w:lvl>
    <w:lvl w:ilvl="1">
      <w:lvlJc w:val="left"/>
      <w:lvlText w:val="(%2)"/>
      <w:numFmt w:val="lowerLetter"/>
      <w:start w:val="4"/>
    </w:lvl>
  </w:abstractNum>
  <w:abstractNum w:abstractNumId="82">
    <w:nsid w:val="BFFAE18"/>
    <w:multiLevelType w:val="hybridMultilevel"/>
    <w:lvl w:ilvl="0">
      <w:lvlJc w:val="left"/>
      <w:lvlText w:val="(%1)"/>
      <w:numFmt w:val="lowerLetter"/>
      <w:start w:val="5"/>
    </w:lvl>
    <w:lvl w:ilvl="1">
      <w:lvlJc w:val="left"/>
      <w:lvlText w:val="(%2)"/>
      <w:numFmt w:val="lowerLetter"/>
      <w:start w:val="7"/>
    </w:lvl>
  </w:abstractNum>
  <w:abstractNum w:abstractNumId="83">
    <w:nsid w:val="E3E47A8"/>
    <w:multiLevelType w:val="hybridMultilevel"/>
    <w:lvl w:ilvl="0">
      <w:lvlJc w:val="left"/>
      <w:lvlText w:val="(%1)"/>
      <w:numFmt w:val="lowerLetter"/>
      <w:start w:val="9"/>
    </w:lvl>
    <w:lvl w:ilvl="1">
      <w:lvlJc w:val="left"/>
      <w:lvlText w:val="(%2)"/>
      <w:numFmt w:val="lowerLetter"/>
      <w:start w:val="10"/>
    </w:lvl>
  </w:abstractNum>
  <w:abstractNum w:abstractNumId="84">
    <w:nsid w:val="2E48F044"/>
    <w:multiLevelType w:val="hybridMultilevel"/>
    <w:lvl w:ilvl="0">
      <w:lvlJc w:val="left"/>
      <w:lvlText w:val="%1."/>
      <w:numFmt w:val="decimal"/>
      <w:start w:val="4"/>
    </w:lvl>
  </w:abstractNum>
  <w:abstractNum w:abstractNumId="85">
    <w:nsid w:val="49D0FEAC"/>
    <w:multiLevelType w:val="hybridMultilevel"/>
    <w:lvl w:ilvl="0">
      <w:lvlJc w:val="left"/>
      <w:lvlText w:val="%1."/>
      <w:numFmt w:val="decimal"/>
      <w:start w:val="5"/>
    </w:lvl>
  </w:abstractNum>
  <w:abstractNum w:abstractNumId="86">
    <w:nsid w:val="4BEE5A5B"/>
    <w:multiLevelType w:val="hybridMultilevel"/>
    <w:lvl w:ilvl="0">
      <w:lvlJc w:val="left"/>
      <w:lvlText w:val="%1."/>
      <w:numFmt w:val="decimal"/>
      <w:start w:val="6"/>
    </w:lvl>
  </w:abstractNum>
  <w:abstractNum w:abstractNumId="87">
    <w:nsid w:val="5551B9F3"/>
    <w:multiLevelType w:val="hybridMultilevel"/>
    <w:lvl w:ilvl="0">
      <w:lvlJc w:val="left"/>
      <w:lvlText w:val="%1."/>
      <w:numFmt w:val="decimal"/>
      <w:start w:val="7"/>
    </w:lvl>
  </w:abstractNum>
  <w:abstractNum w:abstractNumId="88">
    <w:nsid w:val="24F6AB8E"/>
    <w:multiLevelType w:val="hybridMultilevel"/>
    <w:lvl w:ilvl="0">
      <w:lvlJc w:val="left"/>
      <w:lvlText w:val="%1."/>
      <w:numFmt w:val="decimal"/>
      <w:start w:val="8"/>
    </w:lvl>
  </w:abstractNum>
  <w:abstractNum w:abstractNumId="89">
    <w:nsid w:val="634C574C"/>
    <w:multiLevelType w:val="hybridMultilevel"/>
    <w:lvl w:ilvl="0">
      <w:lvlJc w:val="left"/>
      <w:lvlText w:val="%1."/>
      <w:numFmt w:val="decimal"/>
      <w:start w:val="9"/>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1."/>
      <w:numFmt w:val="decimal"/>
      <w:start w:val="10"/>
    </w:lvl>
  </w:abstractNum>
  <w:abstractNum w:abstractNumId="92">
    <w:nsid w:val="1849C29B"/>
    <w:multiLevelType w:val="hybridMultilevel"/>
    <w:lvl w:ilvl="0">
      <w:lvlJc w:val="left"/>
      <w:lvlText w:val="%1."/>
      <w:numFmt w:val="decimal"/>
      <w:start w:val="11"/>
    </w:lvl>
  </w:abstractNum>
  <w:abstractNum w:abstractNumId="93">
    <w:nsid w:val="7DFF9D09"/>
    <w:multiLevelType w:val="hybridMultilevel"/>
    <w:lvl w:ilvl="0">
      <w:lvlJc w:val="left"/>
      <w:lvlText w:val="%1."/>
      <w:numFmt w:val="decimal"/>
      <w:start w:val="12"/>
    </w:lvl>
  </w:abstractNum>
  <w:abstractNum w:abstractNumId="94">
    <w:nsid w:val="754342"/>
    <w:multiLevelType w:val="hybridMultilevel"/>
    <w:lvl w:ilvl="0">
      <w:lvlJc w:val="left"/>
      <w:lvlText w:val="•"/>
      <w:numFmt w:val="bullet"/>
      <w:start w:val="1"/>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
      <w:numFmt w:val="bullet"/>
      <w:start w:val="1"/>
    </w:lvl>
  </w:abstractNum>
  <w:abstractNum w:abstractNumId="97">
    <w:nsid w:val="1816F8C4"/>
    <w:multiLevelType w:val="hybridMultilevel"/>
    <w:lvl w:ilvl="0">
      <w:lvlJc w:val="left"/>
      <w:lvlText w:val="•"/>
      <w:numFmt w:val="bullet"/>
      <w:start w:val="1"/>
    </w:lvl>
  </w:abstractNum>
  <w:abstractNum w:abstractNumId="98">
    <w:nsid w:val="37DF2233"/>
    <w:multiLevelType w:val="hybridMultilevel"/>
    <w:lvl w:ilvl="0">
      <w:lvlJc w:val="left"/>
      <w:lvlText w:val="•"/>
      <w:numFmt w:val="bullet"/>
      <w:start w:val="1"/>
    </w:lvl>
  </w:abstractNum>
  <w:abstractNum w:abstractNumId="99">
    <w:nsid w:val="7AB49DAF"/>
    <w:multiLevelType w:val="hybridMultilevel"/>
    <w:lvl w:ilvl="0">
      <w:lvlJc w:val="left"/>
      <w:lvlText w:val="•"/>
      <w:numFmt w:val="bullet"/>
      <w:start w:val="1"/>
    </w:lvl>
  </w:abstractNum>
  <w:abstractNum w:abstractNumId="100">
    <w:nsid w:val="759F82CD"/>
    <w:multiLevelType w:val="hybridMultilevel"/>
    <w:lvl w:ilvl="0">
      <w:lvlJc w:val="left"/>
      <w:lvlText w:val="•"/>
      <w:numFmt w:val="bullet"/>
      <w:start w:val="1"/>
    </w:lvl>
  </w:abstractNum>
  <w:abstractNum w:abstractNumId="101">
    <w:nsid w:val="61E74EA3"/>
    <w:multiLevelType w:val="hybridMultilevel"/>
    <w:lvl w:ilvl="0">
      <w:lvlJc w:val="left"/>
      <w:lvlText w:val="•"/>
      <w:numFmt w:val="bullet"/>
      <w:start w:val="1"/>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
      <w:numFmt w:val="bullet"/>
      <w:start w:val="1"/>
    </w:lvl>
  </w:abstractNum>
  <w:abstractNum w:abstractNumId="104">
    <w:nsid w:val="57C7D42D"/>
    <w:multiLevelType w:val="hybridMultilevel"/>
    <w:lvl w:ilvl="0">
      <w:lvlJc w:val="left"/>
      <w:lvlText w:val="•"/>
      <w:numFmt w:val="bullet"/>
      <w:start w:val="1"/>
    </w:lvl>
  </w:abstractNum>
  <w:abstractNum w:abstractNumId="105">
    <w:nsid w:val="312167AD"/>
    <w:multiLevelType w:val="hybridMultilevel"/>
    <w:lvl w:ilvl="0">
      <w:lvlJc w:val="left"/>
      <w:lvlText w:val="o"/>
      <w:numFmt w:val="bullet"/>
      <w:start w:val="1"/>
    </w:lvl>
  </w:abstractNum>
  <w:abstractNum w:abstractNumId="106">
    <w:nsid w:val="631B64D4"/>
    <w:multiLevelType w:val="hybridMultilevel"/>
    <w:lvl w:ilvl="0">
      <w:lvlJc w:val="left"/>
      <w:lvlText w:val="•"/>
      <w:numFmt w:val="bullet"/>
      <w:start w:val="1"/>
    </w:lvl>
  </w:abstractNum>
  <w:abstractNum w:abstractNumId="107">
    <w:nsid w:val="78B5E776"/>
    <w:multiLevelType w:val="hybridMultilevel"/>
    <w:lvl w:ilvl="0">
      <w:lvlJc w:val="left"/>
      <w:lvlText w:val="•"/>
      <w:numFmt w:val="bullet"/>
      <w:start w:val="1"/>
    </w:lvl>
  </w:abstractNum>
  <w:abstractNum w:abstractNumId="108">
    <w:nsid w:val="75486E47"/>
    <w:multiLevelType w:val="hybridMultilevel"/>
    <w:lvl w:ilvl="0">
      <w:lvlJc w:val="left"/>
      <w:lvlText w:val="•"/>
      <w:numFmt w:val="bullet"/>
      <w:start w:val="1"/>
    </w:lvl>
  </w:abstractNum>
  <w:abstractNum w:abstractNumId="109">
    <w:nsid w:val="6E534CDE"/>
    <w:multiLevelType w:val="hybridMultilevel"/>
    <w:lvl w:ilvl="0">
      <w:lvlJc w:val="left"/>
      <w:lvlText w:val="•"/>
      <w:numFmt w:val="bullet"/>
      <w:start w:val="1"/>
    </w:lvl>
  </w:abstractNum>
  <w:abstractNum w:abstractNumId="110">
    <w:nsid w:val="1A0DDE32"/>
    <w:multiLevelType w:val="hybridMultilevel"/>
    <w:lvl w:ilvl="0">
      <w:lvlJc w:val="left"/>
      <w:lvlText w:val="%1."/>
      <w:numFmt w:val="decimal"/>
      <w:start w:val="1"/>
    </w:lvl>
  </w:abstractNum>
  <w:abstractNum w:abstractNumId="111">
    <w:nsid w:val="65968C1C"/>
    <w:multiLevelType w:val="hybridMultilevel"/>
    <w:lvl w:ilvl="0">
      <w:lvlJc w:val="left"/>
      <w:lvlText w:val="%1."/>
      <w:numFmt w:val="decimal"/>
      <w:start w:val="2"/>
    </w:lvl>
  </w:abstractNum>
  <w:abstractNum w:abstractNumId="112">
    <w:nsid w:val="46263DEC"/>
    <w:multiLevelType w:val="hybridMultilevel"/>
    <w:lvl w:ilvl="0">
      <w:lvlJc w:val="left"/>
      <w:lvlText w:val="%1."/>
      <w:numFmt w:val="decimal"/>
      <w:start w:val="3"/>
    </w:lvl>
  </w:abstractNum>
  <w:abstractNum w:abstractNumId="113">
    <w:nsid w:val="260D8C4A"/>
    <w:multiLevelType w:val="hybridMultilevel"/>
    <w:lvl w:ilvl="0">
      <w:lvlJc w:val="left"/>
      <w:lvlText w:val="%1."/>
      <w:numFmt w:val="decimal"/>
      <w:start w:val="4"/>
    </w:lvl>
  </w:abstractNum>
  <w:abstractNum w:abstractNumId="114">
    <w:nsid w:val="73D4D3C4"/>
    <w:multiLevelType w:val="hybridMultilevel"/>
    <w:lvl w:ilvl="0">
      <w:lvlJc w:val="left"/>
      <w:lvlText w:val="(%1)"/>
      <w:numFmt w:val="lowerLetter"/>
      <w:start w:val="1"/>
    </w:lvl>
  </w:abstractNum>
  <w:abstractNum w:abstractNumId="115">
    <w:nsid w:val="746F2E30"/>
    <w:multiLevelType w:val="hybridMultilevel"/>
    <w:lvl w:ilvl="0">
      <w:lvlJc w:val="left"/>
      <w:lvlText w:val="(%1)"/>
      <w:numFmt w:val="lowerLetter"/>
      <w:start w:val="2"/>
    </w:lvl>
  </w:abstractNum>
  <w:abstractNum w:abstractNumId="116">
    <w:nsid w:val="6FDE8AF6"/>
    <w:multiLevelType w:val="hybridMultilevel"/>
    <w:lvl w:ilvl="0">
      <w:lvlJc w:val="left"/>
      <w:lvlText w:val="%1."/>
      <w:numFmt w:val="decimal"/>
      <w:start w:val="5"/>
    </w:lvl>
  </w:abstractNum>
  <w:abstractNum w:abstractNumId="117">
    <w:nsid w:val="3FC32E20"/>
    <w:multiLevelType w:val="hybridMultilevel"/>
    <w:lvl w:ilvl="0">
      <w:lvlJc w:val="left"/>
      <w:lvlText w:val="•"/>
      <w:numFmt w:val="bullet"/>
      <w:start w:val="1"/>
    </w:lvl>
  </w:abstractNum>
  <w:abstractNum w:abstractNumId="118">
    <w:nsid w:val="49C0E823"/>
    <w:multiLevelType w:val="hybridMultilevel"/>
    <w:lvl w:ilvl="0">
      <w:lvlJc w:val="left"/>
      <w:lvlText w:val="%1."/>
      <w:numFmt w:val="decimal"/>
      <w:start w:val="6"/>
    </w:lvl>
  </w:abstractNum>
  <w:abstractNum w:abstractNumId="119">
    <w:nsid w:val="14D53685"/>
    <w:multiLevelType w:val="hybridMultilevel"/>
    <w:lvl w:ilvl="0">
      <w:lvlJc w:val="left"/>
      <w:lvlText w:val="%1."/>
      <w:numFmt w:val="decimal"/>
      <w:start w:val="7"/>
    </w:lvl>
  </w:abstractNum>
  <w:abstractNum w:abstractNumId="120">
    <w:nsid w:val="230F856C"/>
    <w:multiLevelType w:val="hybridMultilevel"/>
    <w:lvl w:ilvl="0">
      <w:lvlJc w:val="left"/>
      <w:lvlText w:val="%1."/>
      <w:numFmt w:val="decimal"/>
      <w:start w:val="8"/>
    </w:lvl>
  </w:abstractNum>
  <w:abstractNum w:abstractNumId="121">
    <w:nsid w:val="6EAA85FB"/>
    <w:multiLevelType w:val="hybridMultilevel"/>
    <w:lvl w:ilvl="0">
      <w:lvlJc w:val="left"/>
      <w:lvlText w:val="•"/>
      <w:numFmt w:val="bullet"/>
      <w:start w:val="1"/>
    </w:lvl>
  </w:abstractNum>
  <w:abstractNum w:abstractNumId="122">
    <w:nsid w:val="3F06ECB2"/>
    <w:multiLevelType w:val="hybridMultilevel"/>
    <w:lvl w:ilvl="0">
      <w:lvlJc w:val="left"/>
      <w:lvlText w:val="(%1)"/>
      <w:numFmt w:val="lowerLetter"/>
      <w:start w:val="1"/>
    </w:lvl>
  </w:abstractNum>
  <w:abstractNum w:abstractNumId="123">
    <w:nsid w:val="3B594807"/>
    <w:multiLevelType w:val="hybridMultilevel"/>
    <w:lvl w:ilvl="0">
      <w:lvlJc w:val="left"/>
      <w:lvlText w:val="(%1)"/>
      <w:numFmt w:val="lowerLetter"/>
      <w:start w:val="1"/>
    </w:lvl>
  </w:abstractNum>
  <w:abstractNum w:abstractNumId="124">
    <w:nsid w:val="6CAA2304"/>
    <w:multiLevelType w:val="hybridMultilevel"/>
    <w:lvl w:ilvl="0">
      <w:lvlJc w:val="left"/>
      <w:lvlText w:val="(%1)"/>
      <w:numFmt w:val="lowerLetter"/>
      <w:start w:val="9"/>
    </w:lvl>
  </w:abstractNum>
  <w:abstractNum w:abstractNumId="125">
    <w:nsid w:val="3F7C2FF4"/>
    <w:multiLevelType w:val="hybridMultilevel"/>
    <w:lvl w:ilvl="0">
      <w:lvlJc w:val="left"/>
      <w:lvlText w:val="•"/>
      <w:numFmt w:val="bullet"/>
      <w:start w:val="1"/>
    </w:lvl>
  </w:abstractNum>
  <w:abstractNum w:abstractNumId="126">
    <w:nsid w:val="25413BEC"/>
    <w:multiLevelType w:val="hybridMultilevel"/>
    <w:lvl w:ilvl="0">
      <w:lvlJc w:val="left"/>
      <w:lvlText w:val="(%1)"/>
      <w:numFmt w:val="lowerLetter"/>
      <w:start w:val="1"/>
    </w:lvl>
  </w:abstractNum>
  <w:abstractNum w:abstractNumId="127">
    <w:nsid w:val="17180B0B"/>
    <w:multiLevelType w:val="hybridMultilevel"/>
    <w:lvl w:ilvl="0">
      <w:lvlJc w:val="left"/>
      <w:lvlText w:val="(%1)"/>
      <w:numFmt w:val="lowerLetter"/>
      <w:start w:val="1"/>
    </w:lvl>
  </w:abstractNum>
  <w:abstractNum w:abstractNumId="128">
    <w:nsid w:val="579328B9"/>
    <w:multiLevelType w:val="hybridMultilevel"/>
    <w:lvl w:ilvl="0">
      <w:lvlJc w:val="left"/>
      <w:lvlText w:val="(%1)"/>
      <w:numFmt w:val="lowerLetter"/>
      <w:start w:val="6"/>
    </w:lvl>
  </w:abstractNum>
  <w:abstractNum w:abstractNumId="129">
    <w:nsid w:val="5D205E20"/>
    <w:multiLevelType w:val="hybridMultilevel"/>
    <w:lvl w:ilvl="0">
      <w:lvlJc w:val="left"/>
      <w:lvlText w:val="(%1)"/>
      <w:numFmt w:val="lowerLetter"/>
      <w:start w:val="1"/>
    </w:lvl>
  </w:abstractNum>
  <w:abstractNum w:abstractNumId="130">
    <w:nsid w:val="11CCA8BA"/>
    <w:multiLevelType w:val="hybridMultilevel"/>
    <w:lvl w:ilvl="0">
      <w:lvlJc w:val="left"/>
      <w:lvlText w:val="(%1)"/>
      <w:numFmt w:val="lowerLetter"/>
      <w:start w:val="1"/>
    </w:lvl>
  </w:abstractNum>
  <w:abstractNum w:abstractNumId="131">
    <w:nsid w:val="4D32AB86"/>
    <w:multiLevelType w:val="hybridMultilevel"/>
    <w:lvl w:ilvl="0">
      <w:lvlJc w:val="left"/>
      <w:lvlText w:val="(%1)"/>
      <w:numFmt w:val="lowerLetter"/>
      <w:start w:val="1"/>
    </w:lvl>
  </w:abstractNum>
  <w:abstractNum w:abstractNumId="132">
    <w:nsid w:val="3F07ACC3"/>
    <w:multiLevelType w:val="hybridMultilevel"/>
    <w:lvl w:ilvl="0">
      <w:lvlJc w:val="left"/>
      <w:lvlText w:val="(%1)"/>
      <w:numFmt w:val="lowerLetter"/>
      <w:start w:val="3"/>
    </w:lvl>
  </w:abstractNum>
  <w:abstractNum w:abstractNumId="133">
    <w:nsid w:val="6B47F63E"/>
    <w:multiLevelType w:val="hybridMultilevel"/>
    <w:lvl w:ilvl="0">
      <w:lvlJc w:val="left"/>
      <w:lvlText w:val="(%1)"/>
      <w:numFmt w:val="lowerLetter"/>
      <w:start w:val="1"/>
    </w:lvl>
  </w:abstractNum>
  <w:abstractNum w:abstractNumId="134">
    <w:nsid w:val="5CB44A05"/>
    <w:multiLevelType w:val="hybridMultilevel"/>
    <w:lvl w:ilvl="0">
      <w:lvlJc w:val="left"/>
      <w:lvlText w:val="["/>
      <w:numFmt w:val="bullet"/>
      <w:start w:val="1"/>
    </w:lvl>
    <w:lvl w:ilvl="1">
      <w:lvlJc w:val="left"/>
      <w:lvlText w:val="(%2)"/>
      <w:numFmt w:val="upperLetter"/>
      <w:start w:val="1"/>
    </w:lvl>
  </w:abstractNum>
  <w:abstractNum w:abstractNumId="135">
    <w:nsid w:val="16CF80F1"/>
    <w:multiLevelType w:val="hybridMultilevel"/>
    <w:lvl w:ilvl="0">
      <w:lvlJc w:val="left"/>
      <w:lvlText w:val="%1."/>
      <w:numFmt w:val="decimal"/>
      <w:start w:val="1"/>
    </w:lvl>
  </w:abstractNum>
  <w:abstractNum w:abstractNumId="136">
    <w:nsid w:val="1C695DEC"/>
    <w:multiLevelType w:val="hybridMultilevel"/>
    <w:lvl w:ilvl="0">
      <w:lvlJc w:val="left"/>
      <w:lvlText w:val="%1."/>
      <w:numFmt w:val="decimal"/>
      <w:start w:val="2"/>
    </w:lvl>
  </w:abstractNum>
  <w:abstractNum w:abstractNumId="137">
    <w:nsid w:val="3FCFAED9"/>
    <w:multiLevelType w:val="hybridMultilevel"/>
    <w:lvl w:ilvl="0">
      <w:lvlJc w:val="left"/>
      <w:lvlText w:val="%1"/>
      <w:numFmt w:val="decimal"/>
      <w:start w:val="1"/>
    </w:lvl>
    <w:lvl w:ilvl="1">
      <w:lvlJc w:val="left"/>
      <w:lvlText w:val="(%2)"/>
      <w:numFmt w:val="lowerLetter"/>
      <w:start w:val="1"/>
    </w:lvl>
  </w:abstractNum>
  <w:abstractNum w:abstractNumId="138">
    <w:nsid w:val="F856867"/>
    <w:multiLevelType w:val="hybridMultilevel"/>
    <w:lvl w:ilvl="0">
      <w:lvlJc w:val="left"/>
      <w:lvlText w:val="%1."/>
      <w:numFmt w:val="decimal"/>
      <w:start w:val="3"/>
    </w:lvl>
    <w:lvl w:ilvl="1">
      <w:lvlJc w:val="left"/>
      <w:lvlText w:val="%2"/>
      <w:numFmt w:val="lowerLetter"/>
      <w:start w:val="1"/>
    </w:lvl>
  </w:abstractNum>
  <w:abstractNum w:abstractNumId="139">
    <w:nsid w:val="11B1CC33"/>
    <w:multiLevelType w:val="hybridMultilevel"/>
    <w:lvl w:ilvl="0">
      <w:lvlJc w:val="left"/>
      <w:lvlText w:val="(%1)"/>
      <w:numFmt w:val="lowerLetter"/>
      <w:start w:val="1"/>
    </w:lvl>
  </w:abstractNum>
  <w:abstractNum w:abstractNumId="140">
    <w:nsid w:val="2E22FBB7"/>
    <w:multiLevelType w:val="hybridMultilevel"/>
    <w:lvl w:ilvl="0">
      <w:lvlJc w:val="left"/>
      <w:lvlText w:val="%1."/>
      <w:numFmt w:val="decimal"/>
      <w:start w:val="4"/>
    </w:lvl>
  </w:abstractNum>
  <w:abstractNum w:abstractNumId="141">
    <w:nsid w:val="29934699"/>
    <w:multiLevelType w:val="hybridMultilevel"/>
    <w:lvl w:ilvl="0">
      <w:lvlJc w:val="left"/>
      <w:lvlText w:val="%1."/>
      <w:numFmt w:val="decimal"/>
      <w:start w:val="5"/>
    </w:lvl>
  </w:abstractNum>
  <w:abstractNum w:abstractNumId="142">
    <w:nsid w:val="77485850"/>
    <w:multiLevelType w:val="hybridMultilevel"/>
    <w:lvl w:ilvl="0">
      <w:lvlJc w:val="left"/>
      <w:lvlText w:val="%1."/>
      <w:numFmt w:val="decimal"/>
      <w:start w:val="6"/>
    </w:lvl>
  </w:abstractNum>
  <w:abstractNum w:abstractNumId="143">
    <w:nsid w:val="744939A3"/>
    <w:multiLevelType w:val="hybridMultilevel"/>
    <w:lvl w:ilvl="0">
      <w:lvlJc w:val="left"/>
      <w:lvlText w:val="%1."/>
      <w:numFmt w:val="decimal"/>
      <w:start w:val="7"/>
    </w:lvl>
  </w:abstractNum>
  <w:abstractNum w:abstractNumId="144">
    <w:nsid w:val="4FA0D2E3"/>
    <w:multiLevelType w:val="hybridMultilevel"/>
    <w:lvl w:ilvl="0">
      <w:lvlJc w:val="left"/>
      <w:lvlText w:val="%1."/>
      <w:numFmt w:val="decimal"/>
      <w:start w:val="8"/>
    </w:lvl>
  </w:abstractNum>
  <w:abstractNum w:abstractNumId="145">
    <w:nsid w:val="6B1D2C14"/>
    <w:multiLevelType w:val="hybridMultilevel"/>
    <w:lvl w:ilvl="0">
      <w:lvlJc w:val="left"/>
      <w:lvlText w:val="%1."/>
      <w:numFmt w:val="decimal"/>
      <w:start w:val="9"/>
    </w:lvl>
  </w:abstractNum>
  <w:abstractNum w:abstractNumId="146">
    <w:nsid w:val="68B867D3"/>
    <w:multiLevelType w:val="hybridMultilevel"/>
    <w:lvl w:ilvl="0">
      <w:lvlJc w:val="left"/>
      <w:lvlText w:val="•"/>
      <w:numFmt w:val="bullet"/>
      <w:start w:val="1"/>
    </w:lvl>
  </w:abstractNum>
  <w:abstractNum w:abstractNumId="147">
    <w:nsid w:val="3F7F5DD9"/>
    <w:multiLevelType w:val="hybridMultilevel"/>
    <w:lvl w:ilvl="0">
      <w:lvlJc w:val="left"/>
      <w:lvlText w:val="•"/>
      <w:numFmt w:val="bullet"/>
      <w:start w:val="1"/>
    </w:lvl>
  </w:abstractNum>
  <w:abstractNum w:abstractNumId="148">
    <w:nsid w:val="2AE05A34"/>
    <w:multiLevelType w:val="hybridMultilevel"/>
    <w:lvl w:ilvl="0">
      <w:lvlJc w:val="left"/>
      <w:lvlText w:val="%1."/>
      <w:numFmt w:val="decimal"/>
      <w:start w:val="10"/>
    </w:lvl>
  </w:abstractNum>
  <w:abstractNum w:abstractNumId="149">
    <w:nsid w:val="32794FF7"/>
    <w:multiLevelType w:val="hybridMultilevel"/>
    <w:lvl w:ilvl="0">
      <w:lvlJc w:val="left"/>
      <w:lvlText w:val="%1."/>
      <w:numFmt w:val="decimal"/>
      <w:start w:val="11"/>
    </w:lvl>
  </w:abstractNum>
  <w:abstractNum w:abstractNumId="150">
    <w:nsid w:val="5454945E"/>
    <w:multiLevelType w:val="hybridMultilevel"/>
    <w:lvl w:ilvl="0">
      <w:lvlJc w:val="left"/>
      <w:lvlText w:val="%1."/>
      <w:numFmt w:val="decimal"/>
      <w:start w:val="12"/>
    </w:lvl>
  </w:abstractNum>
  <w:abstractNum w:abstractNumId="151">
    <w:nsid w:val="4DEFDFA0"/>
    <w:multiLevelType w:val="hybridMultilevel"/>
    <w:lvl w:ilvl="0">
      <w:lvlJc w:val="left"/>
      <w:lvlText w:val="•"/>
      <w:numFmt w:val="bullet"/>
      <w:start w:val="1"/>
    </w:lvl>
  </w:abstractNum>
  <w:abstractNum w:abstractNumId="152">
    <w:nsid w:val="2123D5F2"/>
    <w:multiLevelType w:val="hybridMultilevel"/>
    <w:lvl w:ilvl="0">
      <w:lvlJc w:val="left"/>
      <w:lvlText w:val="•"/>
      <w:numFmt w:val="bullet"/>
      <w:start w:val="1"/>
    </w:lvl>
  </w:abstractNum>
  <w:abstractNum w:abstractNumId="153">
    <w:nsid w:val="135B8110"/>
    <w:multiLevelType w:val="hybridMultilevel"/>
    <w:lvl w:ilvl="0">
      <w:lvlJc w:val="left"/>
      <w:lvlText w:val="•"/>
      <w:numFmt w:val="bullet"/>
      <w:start w:val="1"/>
    </w:lvl>
  </w:abstractNum>
  <w:abstractNum w:abstractNumId="154">
    <w:nsid w:val="94927A8"/>
    <w:multiLevelType w:val="hybridMultilevel"/>
    <w:lvl w:ilvl="0">
      <w:lvlJc w:val="left"/>
      <w:lvlText w:val="•"/>
      <w:numFmt w:val="bullet"/>
      <w:start w:val="1"/>
    </w:lvl>
  </w:abstractNum>
  <w:abstractNum w:abstractNumId="155">
    <w:nsid w:val="DCDF8F6"/>
    <w:multiLevelType w:val="hybridMultilevel"/>
    <w:lvl w:ilvl="0">
      <w:lvlJc w:val="left"/>
      <w:lvlText w:val="•"/>
      <w:numFmt w:val="bullet"/>
      <w:start w:val="1"/>
    </w:lvl>
  </w:abstractNum>
  <w:abstractNum w:abstractNumId="156">
    <w:nsid w:val="52D7B105"/>
    <w:multiLevelType w:val="hybridMultilevel"/>
    <w:lvl w:ilvl="0">
      <w:lvlJc w:val="left"/>
      <w:lvlText w:val="•"/>
      <w:numFmt w:val="bullet"/>
      <w:start w:val="1"/>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
      <w:numFmt w:val="bullet"/>
      <w:start w:val="1"/>
    </w:lvl>
  </w:abstractNum>
  <w:abstractNum w:abstractNumId="160">
    <w:nsid w:val="BAAC1B4"/>
    <w:multiLevelType w:val="hybridMultilevel"/>
    <w:lvl w:ilvl="0">
      <w:lvlJc w:val="left"/>
      <w:lvlText w:val="•"/>
      <w:numFmt w:val="bullet"/>
      <w:start w:val="1"/>
    </w:lvl>
  </w:abstractNum>
  <w:abstractNum w:abstractNumId="161">
    <w:nsid w:val="36B2ACBC"/>
    <w:multiLevelType w:val="hybridMultilevel"/>
    <w:lvl w:ilvl="0">
      <w:lvlJc w:val="left"/>
      <w:lvlText w:val="•"/>
      <w:numFmt w:val="bullet"/>
      <w:start w:val="1"/>
    </w:lvl>
  </w:abstractNum>
  <w:abstractNum w:abstractNumId="162">
    <w:nsid w:val="779D8544"/>
    <w:multiLevelType w:val="hybridMultilevel"/>
    <w:lvl w:ilvl="0">
      <w:lvlJc w:val="left"/>
      <w:lvlText w:val="o"/>
      <w:numFmt w:val="bullet"/>
      <w:start w:val="1"/>
    </w:lvl>
  </w:abstractNum>
  <w:abstractNum w:abstractNumId="163">
    <w:nsid w:val="4AB26E78"/>
    <w:multiLevelType w:val="hybridMultilevel"/>
    <w:lvl w:ilvl="0">
      <w:lvlJc w:val="left"/>
      <w:lvlText w:val="•"/>
      <w:numFmt w:val="bullet"/>
      <w:start w:val="1"/>
    </w:lvl>
  </w:abstractNum>
  <w:abstractNum w:abstractNumId="164">
    <w:nsid w:val="21FAA2FA"/>
    <w:multiLevelType w:val="hybridMultilevel"/>
    <w:lvl w:ilvl="0">
      <w:lvlJc w:val="left"/>
      <w:lvlText w:val="o"/>
      <w:numFmt w:val="bullet"/>
      <w:start w:val="1"/>
    </w:lvl>
  </w:abstractNum>
  <w:abstractNum w:abstractNumId="165">
    <w:nsid w:val="5451CF49"/>
    <w:multiLevelType w:val="hybridMultilevel"/>
    <w:lvl w:ilvl="0">
      <w:lvlJc w:val="left"/>
      <w:lvlText w:val="•"/>
      <w:numFmt w:val="bullet"/>
      <w:start w:val="1"/>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
      <w:numFmt w:val="bullet"/>
      <w:start w:val="1"/>
    </w:lvl>
  </w:abstractNum>
  <w:abstractNum w:abstractNumId="168">
    <w:nsid w:val="14217E23"/>
    <w:multiLevelType w:val="hybridMultilevel"/>
    <w:lvl w:ilvl="0">
      <w:lvlJc w:val="left"/>
      <w:lvlText w:val="%1."/>
      <w:numFmt w:val="decimal"/>
      <w:start w:val="1"/>
    </w:lvl>
  </w:abstractNum>
  <w:abstractNum w:abstractNumId="169">
    <w:nsid w:val="710757D0"/>
    <w:multiLevelType w:val="hybridMultilevel"/>
    <w:lvl w:ilvl="0">
      <w:lvlJc w:val="left"/>
      <w:lvlText w:val="%1."/>
      <w:numFmt w:val="decimal"/>
      <w:start w:val="2"/>
    </w:lvl>
  </w:abstractNum>
  <w:abstractNum w:abstractNumId="170">
    <w:nsid w:val="5015CD1A"/>
    <w:multiLevelType w:val="hybridMultilevel"/>
    <w:lvl w:ilvl="0">
      <w:lvlJc w:val="left"/>
      <w:lvlText w:val="%1."/>
      <w:numFmt w:val="decimal"/>
      <w:start w:val="3"/>
    </w:lvl>
  </w:abstractNum>
  <w:abstractNum w:abstractNumId="171">
    <w:nsid w:val="424479DA"/>
    <w:multiLevelType w:val="hybridMultilevel"/>
    <w:lvl w:ilvl="0">
      <w:lvlJc w:val="left"/>
      <w:lvlText w:val="%1."/>
      <w:numFmt w:val="decimal"/>
      <w:start w:val="4"/>
    </w:lvl>
  </w:abstractNum>
  <w:abstractNum w:abstractNumId="172">
    <w:nsid w:val="1A9A9E69"/>
    <w:multiLevelType w:val="hybridMultilevel"/>
    <w:lvl w:ilvl="0">
      <w:lvlJc w:val="left"/>
      <w:lvlText w:val="(%1)"/>
      <w:numFmt w:val="lowerLetter"/>
      <w:start w:val="1"/>
    </w:lvl>
  </w:abstractNum>
  <w:abstractNum w:abstractNumId="173">
    <w:nsid w:val="475E256A"/>
    <w:multiLevelType w:val="hybridMultilevel"/>
    <w:lvl w:ilvl="0">
      <w:lvlJc w:val="left"/>
      <w:lvlText w:val="(%1)"/>
      <w:numFmt w:val="lowerLetter"/>
      <w:start w:val="3"/>
    </w:lvl>
  </w:abstractNum>
  <w:abstractNum w:abstractNumId="174">
    <w:nsid w:val="368DB37E"/>
    <w:multiLevelType w:val="hybridMultilevel"/>
    <w:lvl w:ilvl="0">
      <w:lvlJc w:val="left"/>
      <w:lvlText w:val="%1."/>
      <w:numFmt w:val="decimal"/>
      <w:start w:val="5"/>
    </w:lvl>
  </w:abstractNum>
  <w:abstractNum w:abstractNumId="175">
    <w:nsid w:val="6A3B714C"/>
    <w:multiLevelType w:val="hybridMultilevel"/>
    <w:lvl w:ilvl="0">
      <w:lvlJc w:val="left"/>
      <w:lvlText w:val="•"/>
      <w:numFmt w:val="bullet"/>
      <w:start w:val="1"/>
    </w:lvl>
  </w:abstractNum>
  <w:abstractNum w:abstractNumId="176">
    <w:nsid w:val="327B517E"/>
    <w:multiLevelType w:val="hybridMultilevel"/>
    <w:lvl w:ilvl="0">
      <w:lvlJc w:val="left"/>
      <w:lvlText w:val="%1."/>
      <w:numFmt w:val="decimal"/>
      <w:start w:val="6"/>
    </w:lvl>
  </w:abstractNum>
  <w:abstractNum w:abstractNumId="177">
    <w:nsid w:val="1F461B51"/>
    <w:multiLevelType w:val="hybridMultilevel"/>
    <w:lvl w:ilvl="0">
      <w:lvlJc w:val="left"/>
      <w:lvlText w:val="%1."/>
      <w:numFmt w:val="decimal"/>
      <w:start w:val="7"/>
    </w:lvl>
  </w:abstractNum>
  <w:abstractNum w:abstractNumId="178">
    <w:nsid w:val="29BACF25"/>
    <w:multiLevelType w:val="hybridMultilevel"/>
    <w:lvl w:ilvl="0">
      <w:lvlJc w:val="left"/>
      <w:lvlText w:val="%1."/>
      <w:numFmt w:val="decimal"/>
      <w:start w:val="8"/>
    </w:lvl>
  </w:abstractNum>
  <w:abstractNum w:abstractNumId="179">
    <w:nsid w:val="5D5BABB3"/>
    <w:multiLevelType w:val="hybridMultilevel"/>
    <w:lvl w:ilvl="0">
      <w:lvlJc w:val="left"/>
      <w:lvlText w:val="•"/>
      <w:numFmt w:val="bullet"/>
      <w:start w:val="1"/>
    </w:lvl>
  </w:abstractNum>
  <w:abstractNum w:abstractNumId="180">
    <w:nsid w:val="51BF6B48"/>
    <w:multiLevelType w:val="hybridMultilevel"/>
    <w:lvl w:ilvl="0">
      <w:lvlJc w:val="left"/>
      <w:lvlText w:val="(%1)"/>
      <w:numFmt w:val="lowerLetter"/>
      <w:start w:val="1"/>
    </w:lvl>
  </w:abstractNum>
  <w:abstractNum w:abstractNumId="181">
    <w:nsid w:val="7E0F6384"/>
    <w:multiLevelType w:val="hybridMultilevel"/>
    <w:lvl w:ilvl="0">
      <w:lvlJc w:val="left"/>
      <w:lvlText w:val="(%1)"/>
      <w:numFmt w:val="lowerLetter"/>
      <w:start w:val="1"/>
    </w:lvl>
  </w:abstractNum>
  <w:abstractNum w:abstractNumId="182">
    <w:nsid w:val="2B4B8B53"/>
    <w:multiLevelType w:val="hybridMultilevel"/>
    <w:lvl w:ilvl="0">
      <w:lvlJc w:val="left"/>
      <w:lvlText w:val="(%1)"/>
      <w:numFmt w:val="lowerLetter"/>
      <w:start w:val="10"/>
    </w:lvl>
  </w:abstractNum>
  <w:abstractNum w:abstractNumId="183">
    <w:nsid w:val="72E3413A"/>
    <w:multiLevelType w:val="hybridMultilevel"/>
    <w:lvl w:ilvl="0">
      <w:lvlJc w:val="left"/>
      <w:lvlText w:val="•"/>
      <w:numFmt w:val="bullet"/>
      <w:start w:val="1"/>
    </w:lvl>
  </w:abstractNum>
  <w:abstractNum w:abstractNumId="184">
    <w:nsid w:val="116AE494"/>
    <w:multiLevelType w:val="hybridMultilevel"/>
    <w:lvl w:ilvl="0">
      <w:lvlJc w:val="left"/>
      <w:lvlText w:val="%1."/>
      <w:numFmt w:val="decimal"/>
      <w:start w:val="1"/>
    </w:lvl>
    <w:lvl w:ilvl="1">
      <w:lvlJc w:val="left"/>
      <w:lvlText w:val="(%2)"/>
      <w:numFmt w:val="lowerLetter"/>
      <w:start w:val="1"/>
    </w:lvl>
  </w:abstractNum>
  <w:abstractNum w:abstractNumId="185">
    <w:nsid w:val="3494B2FB"/>
    <w:multiLevelType w:val="hybridMultilevel"/>
    <w:lvl w:ilvl="0">
      <w:lvlJc w:val="left"/>
      <w:lvlText w:val="%1."/>
      <w:numFmt w:val="decimal"/>
      <w:start w:val="1"/>
    </w:lvl>
    <w:lvl w:ilvl="1">
      <w:lvlJc w:val="left"/>
      <w:lvlText w:val="(%2)"/>
      <w:numFmt w:val="lowerLetter"/>
      <w:start w:val="1"/>
    </w:lvl>
  </w:abstractNum>
  <w:abstractNum w:abstractNumId="186">
    <w:nsid w:val="B13A3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2026-04-30T10:58:39Z</dcterms:created>
  <dcterms:modified xsi:type="dcterms:W3CDTF">2026-04-30T10:58:39Z</dcterms:modified>
</cp:coreProperties>
</file>