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-228600</wp:posOffset>
            </wp:positionV>
            <wp:extent cx="285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6" w:lineRule="exact"/>
        <w:rPr>
          <w:sz w:val="24"/>
          <w:szCs w:val="24"/>
          <w:color w:val="auto"/>
        </w:rPr>
      </w:pPr>
    </w:p>
    <w:p>
      <w:pPr>
        <w:ind w:left="290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-20320</wp:posOffset>
            </wp:positionV>
            <wp:extent cx="571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114300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259715</wp:posOffset>
            </wp:positionV>
            <wp:extent cx="120015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94615</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400" w:type="dxa"/>
            <w:vAlign w:val="bottom"/>
            <w:gridSpan w:val="2"/>
            <w:vMerge w:val="restart"/>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1680" w:type="dxa"/>
            <w:vAlign w:val="bottom"/>
          </w:tcPr>
          <w:p>
            <w:pPr>
              <w:spacing w:after="0"/>
              <w:rPr>
                <w:sz w:val="16"/>
                <w:szCs w:val="16"/>
                <w:color w:val="auto"/>
              </w:rPr>
            </w:pPr>
          </w:p>
        </w:tc>
        <w:tc>
          <w:tcPr>
            <w:tcW w:w="5160" w:type="dxa"/>
            <w:vAlign w:val="bottom"/>
            <w:gridSpan w:val="2"/>
          </w:tcPr>
          <w:p>
            <w:pPr>
              <w:jc w:val="right"/>
              <w:ind w:right="2228"/>
              <w:spacing w:after="0"/>
              <w:rPr>
                <w:sz w:val="20"/>
                <w:szCs w:val="20"/>
                <w:color w:val="auto"/>
              </w:rPr>
            </w:pPr>
            <w:r>
              <w:rPr>
                <w:rFonts w:ascii="Times New Roman" w:cs="Times New Roman" w:eastAsia="Times New Roman" w:hAnsi="Times New Roman"/>
                <w:sz w:val="16"/>
                <w:szCs w:val="16"/>
                <w:b w:val="1"/>
                <w:bCs w:val="1"/>
                <w:color w:val="auto"/>
              </w:rPr>
              <w:t>98-0352587</w:t>
            </w:r>
          </w:p>
        </w:tc>
        <w:tc>
          <w:tcPr>
            <w:tcW w:w="0" w:type="dxa"/>
            <w:vAlign w:val="bottom"/>
          </w:tcPr>
          <w:p>
            <w:pPr>
              <w:spacing w:after="0"/>
              <w:rPr>
                <w:sz w:val="1"/>
                <w:szCs w:val="1"/>
                <w:color w:val="auto"/>
              </w:rPr>
            </w:pPr>
          </w:p>
        </w:tc>
      </w:tr>
      <w:tr>
        <w:trPr>
          <w:trHeight w:val="68"/>
        </w:trPr>
        <w:tc>
          <w:tcPr>
            <w:tcW w:w="44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22"/>
        </w:trPr>
        <w:tc>
          <w:tcPr>
            <w:tcW w:w="4400" w:type="dxa"/>
            <w:vAlign w:val="bottom"/>
            <w:gridSpan w:val="2"/>
            <w:vMerge w:val="restart"/>
          </w:tcPr>
          <w:p>
            <w:pPr>
              <w:jc w:val="center"/>
              <w:ind w:left="1045"/>
              <w:spacing w:after="0" w:line="149" w:lineRule="exact"/>
              <w:rPr>
                <w:sz w:val="20"/>
                <w:szCs w:val="20"/>
                <w:color w:val="auto"/>
              </w:rPr>
            </w:pPr>
            <w:r>
              <w:rPr>
                <w:rFonts w:ascii="Times New Roman" w:cs="Times New Roman" w:eastAsia="Times New Roman" w:hAnsi="Times New Roman"/>
                <w:sz w:val="14"/>
                <w:szCs w:val="14"/>
                <w:i w:val="1"/>
                <w:iCs w:val="1"/>
                <w:color w:val="auto"/>
              </w:rPr>
              <w:t>(Jurisdiction of</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0" w:type="dxa"/>
            <w:vAlign w:val="bottom"/>
            <w:gridSpan w:val="2"/>
            <w:vMerge w:val="continue"/>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line="20" w:lineRule="exact"/>
              <w:rPr>
                <w:sz w:val="1"/>
                <w:szCs w:val="1"/>
                <w:color w:val="auto"/>
              </w:rPr>
            </w:pPr>
          </w:p>
        </w:tc>
      </w:tr>
      <w:tr>
        <w:trPr>
          <w:trHeight w:val="190"/>
        </w:trPr>
        <w:tc>
          <w:tcPr>
            <w:tcW w:w="4400" w:type="dxa"/>
            <w:vAlign w:val="bottom"/>
            <w:gridSpan w:val="2"/>
          </w:tcPr>
          <w:p>
            <w:pPr>
              <w:jc w:val="center"/>
              <w:ind w:left="1065"/>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1680" w:type="dxa"/>
            <w:vAlign w:val="bottom"/>
          </w:tcPr>
          <w:p>
            <w:pPr>
              <w:spacing w:after="0"/>
              <w:rPr>
                <w:sz w:val="16"/>
                <w:szCs w:val="16"/>
                <w:color w:val="auto"/>
              </w:rPr>
            </w:pPr>
          </w:p>
        </w:tc>
        <w:tc>
          <w:tcPr>
            <w:tcW w:w="5160" w:type="dxa"/>
            <w:vAlign w:val="bottom"/>
            <w:gridSpan w:val="2"/>
          </w:tcPr>
          <w:p>
            <w:pPr>
              <w:jc w:val="right"/>
              <w:ind w:right="1848"/>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90"/>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r>
        <w:trPr>
          <w:trHeight w:val="257"/>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22"/>
                <w:szCs w:val="22"/>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120" w:type="dxa"/>
            <w:vAlign w:val="bottom"/>
          </w:tcPr>
          <w:p>
            <w:pPr>
              <w:spacing w:after="0"/>
              <w:rPr>
                <w:sz w:val="14"/>
                <w:szCs w:val="14"/>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4"/>
                <w:szCs w:val="14"/>
                <w:color w:val="auto"/>
              </w:rPr>
            </w:pPr>
          </w:p>
        </w:tc>
        <w:tc>
          <w:tcPr>
            <w:tcW w:w="5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44"/>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45" w:right="339" w:bottom="1440" w:gutter="0" w:footer="0" w:header="0"/>
        </w:sectPr>
      </w:pP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ectPr>
          <w:pgSz w:w="11900" w:h="16838" w:orient="portrait"/>
          <w:cols w:equalWidth="0" w:num="8">
            <w:col w:w="1640" w:space="720"/>
            <w:col w:w="200" w:space="720"/>
            <w:col w:w="960" w:space="460"/>
            <w:col w:w="280" w:space="680"/>
            <w:col w:w="1220" w:space="620"/>
            <w:col w:w="400" w:space="720"/>
            <w:col w:w="1640" w:space="720"/>
            <w:col w:w="260"/>
          </w:cols>
          <w:pgMar w:left="320" w:top="1245" w:right="3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6" w:lineRule="exact"/>
        <w:rPr>
          <w:sz w:val="24"/>
          <w:szCs w:val="24"/>
          <w:color w:val="auto"/>
        </w:rPr>
      </w:pPr>
    </w:p>
    <w:p>
      <w:pPr>
        <w:sectPr>
          <w:pgSz w:w="11900" w:h="16838" w:orient="portrait"/>
          <w:cols w:equalWidth="0" w:num="2">
            <w:col w:w="1640" w:space="720"/>
            <w:col w:w="8880"/>
          </w:cols>
          <w:pgMar w:left="320" w:top="1245" w:right="339" w:bottom="1440" w:gutter="0" w:footer="0" w:header="0"/>
          <w:type w:val="continuous"/>
        </w:sect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right="3360"/>
        <w:spacing w:after="0" w:line="25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As of October 28, 2025, there were outstanding 95,748,613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For the Three and Nine Months Ended </w:t>
      </w:r>
      <w:r>
        <w:rPr>
          <w:rFonts w:ascii="Times New Roman" w:cs="Times New Roman" w:eastAsia="Times New Roman" w:hAnsi="Times New Roman"/>
          <w:sz w:val="21"/>
          <w:szCs w:val="21"/>
          <w:color w:val="auto"/>
        </w:rPr>
        <w:t>September</w:t>
      </w:r>
      <w:r>
        <w:rPr>
          <w:rFonts w:ascii="Times New Roman" w:cs="Times New Roman" w:eastAsia="Times New Roman" w:hAnsi="Times New Roman"/>
          <w:sz w:val="18"/>
          <w:szCs w:val="18"/>
          <w:color w:val="auto"/>
        </w:rPr>
        <w:t xml:space="preserve"> 30, 2025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0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Certain Definitions</w:t>
            </w: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640" w:type="dxa"/>
            <w:vAlign w:val="bottom"/>
            <w:gridSpan w:val="22"/>
            <w:vMerge w:val="continue"/>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6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6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9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 (Unaudited)</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 Three and Nine Months Ended September 30, 2025 and 2024</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00" w:type="dxa"/>
            <w:vAlign w:val="bottom"/>
            <w:tcBorders>
              <w:top w:val="single" w:sz="8" w:color="0000FF"/>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 September 30, 2025 and December 31, 2024</w:t>
            </w:r>
          </w:p>
        </w:tc>
        <w:tc>
          <w:tcPr>
            <w:tcW w:w="20" w:type="dxa"/>
            <w:vAlign w:val="bottom"/>
            <w:tcBorders>
              <w:top w:val="single" w:sz="8" w:color="0000FF"/>
              <w:bottom w:val="single" w:sz="8" w:color="0000EE"/>
            </w:tcBorders>
          </w:tcPr>
          <w:p>
            <w:pPr>
              <w:spacing w:after="0"/>
              <w:rPr>
                <w:sz w:val="17"/>
                <w:szCs w:val="17"/>
                <w:color w:val="auto"/>
              </w:rPr>
            </w:pPr>
          </w:p>
        </w:tc>
        <w:tc>
          <w:tcPr>
            <w:tcW w:w="2820" w:type="dxa"/>
            <w:vAlign w:val="bottom"/>
            <w:tcBorders>
              <w:top w:val="single" w:sz="8" w:color="0000FF"/>
            </w:tcBorders>
            <w:gridSpan w:val="4"/>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 Nine Months Ended September 30, 2025 and 2024</w:t>
            </w:r>
          </w:p>
        </w:tc>
        <w:tc>
          <w:tcPr>
            <w:tcW w:w="274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Equity - Three and Nine Months Ended September 30, 2025 and 2024</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top w:val="single" w:sz="8" w:color="0000FF"/>
              <w:bottom w:val="single" w:sz="8" w:color="0000EE"/>
            </w:tcBorders>
          </w:tcPr>
          <w:p>
            <w:pPr>
              <w:spacing w:after="0"/>
              <w:rPr>
                <w:sz w:val="17"/>
                <w:szCs w:val="17"/>
                <w:color w:val="auto"/>
              </w:rPr>
            </w:pPr>
          </w:p>
        </w:tc>
        <w:tc>
          <w:tcPr>
            <w:tcW w:w="4480" w:type="dxa"/>
            <w:vAlign w:val="bottom"/>
            <w:tcBorders>
              <w:top w:val="single" w:sz="8" w:color="0000FF"/>
            </w:tcBorders>
            <w:gridSpan w:val="6"/>
          </w:tcPr>
          <w:p>
            <w:pPr>
              <w:spacing w:after="0"/>
              <w:rPr>
                <w:sz w:val="17"/>
                <w:szCs w:val="17"/>
                <w:color w:val="auto"/>
              </w:rPr>
            </w:pPr>
          </w:p>
        </w:tc>
        <w:tc>
          <w:tcPr>
            <w:tcW w:w="150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560" w:type="dxa"/>
            <w:vAlign w:val="bottom"/>
            <w:tcBorders>
              <w:left w:val="single" w:sz="8" w:color="0000FF"/>
            </w:tcBorders>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2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802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60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2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Signatures</w:t>
            </w:r>
          </w:p>
        </w:tc>
        <w:tc>
          <w:tcPr>
            <w:tcW w:w="9880" w:type="dxa"/>
            <w:vAlign w:val="bottom"/>
            <w:gridSpan w:val="19"/>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628"/>
        </w:trPr>
        <w:tc>
          <w:tcPr>
            <w:tcW w:w="6720" w:type="dxa"/>
            <w:vAlign w:val="bottom"/>
            <w:gridSpan w:val="17"/>
          </w:tcPr>
          <w:p>
            <w:pPr>
              <w:jc w:val="right"/>
              <w:ind w:right="10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quarterly report unless the context requires otherwise:</w:t>
      </w:r>
    </w:p>
    <w:p>
      <w:pPr>
        <w:sectPr>
          <w:pgSz w:w="11900" w:h="16838" w:orient="portrait"/>
          <w:cols w:equalWidth="0" w:num="1">
            <w:col w:w="11240"/>
          </w:cols>
          <w:pgMar w:left="320" w:top="981" w:right="339" w:bottom="1440" w:gutter="0" w:footer="0" w:header="0"/>
        </w:sectPr>
      </w:pPr>
    </w:p>
    <w:p>
      <w:pPr>
        <w:spacing w:after="0" w:line="25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‘We’, ‘Us’, ‘Company’, ‘Willis Towers Watson’, ‘Our’, ‘Willis Towers Watson plc’ or ‘WTW’</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 Ireland, and its subsidiaries</w:t>
      </w:r>
    </w:p>
    <w:p>
      <w:pPr>
        <w:spacing w:after="0" w:line="6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 $0.000304635 per share</w:t>
      </w:r>
    </w:p>
    <w:p>
      <w:pPr>
        <w:spacing w:after="0" w:line="67" w:lineRule="exact"/>
        <w:rPr>
          <w:sz w:val="20"/>
          <w:szCs w:val="20"/>
          <w:color w:val="auto"/>
        </w:rPr>
      </w:pPr>
    </w:p>
    <w:p>
      <w:pPr>
        <w:sectPr>
          <w:pgSz w:w="11900" w:h="16838" w:orient="portrait"/>
          <w:cols w:equalWidth="0" w:num="2">
            <w:col w:w="4100" w:space="440"/>
            <w:col w:w="670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‘TRANZACT’</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TZ Holdings, Inc. and its subsidiaries, doing business as TRANZACT. The Company sold</w:t>
            </w:r>
          </w:p>
        </w:tc>
      </w:tr>
      <w:tr>
        <w:trPr>
          <w:trHeight w:val="234"/>
        </w:trPr>
        <w:tc>
          <w:tcPr>
            <w:tcW w:w="3080" w:type="dxa"/>
            <w:vAlign w:val="bottom"/>
          </w:tcPr>
          <w:p>
            <w:pPr>
              <w:spacing w:after="0"/>
              <w:rPr>
                <w:sz w:val="20"/>
                <w:szCs w:val="20"/>
                <w:color w:val="auto"/>
              </w:rPr>
            </w:pP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TRANZACT on December 31, 2024.</w:t>
            </w:r>
          </w:p>
        </w:tc>
      </w:tr>
      <w:tr>
        <w:trPr>
          <w:trHeight w:val="338"/>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38"/>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‘U.K.’</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46"/>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‘E.U.’</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w:t>
            </w:r>
          </w:p>
        </w:tc>
      </w:tr>
      <w:tr>
        <w:trPr>
          <w:trHeight w:val="234"/>
        </w:trPr>
        <w:tc>
          <w:tcPr>
            <w:tcW w:w="3080" w:type="dxa"/>
            <w:vAlign w:val="bottom"/>
          </w:tcPr>
          <w:p>
            <w:pPr>
              <w:spacing w:after="0"/>
              <w:rPr>
                <w:sz w:val="20"/>
                <w:szCs w:val="20"/>
                <w:color w:val="auto"/>
              </w:rPr>
            </w:pP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Kingdom’s exit)</w:t>
            </w:r>
          </w:p>
        </w:tc>
      </w:tr>
      <w:tr>
        <w:trPr>
          <w:trHeight w:val="338"/>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GAAP’</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364"/>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‘FASB’</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365"/>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‘ASC’</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364"/>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‘ASU’</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364"/>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405"/>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‘EBITDA’</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797"/>
        </w:trPr>
        <w:tc>
          <w:tcPr>
            <w:tcW w:w="3080" w:type="dxa"/>
            <w:vAlign w:val="bottom"/>
          </w:tcPr>
          <w:p>
            <w:pPr>
              <w:spacing w:after="0"/>
              <w:rPr>
                <w:sz w:val="24"/>
                <w:szCs w:val="24"/>
                <w:color w:val="auto"/>
              </w:rPr>
            </w:pPr>
          </w:p>
        </w:tc>
        <w:tc>
          <w:tcPr>
            <w:tcW w:w="81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3</w:t>
            </w:r>
          </w:p>
        </w:tc>
      </w:tr>
      <w:tr>
        <w:trPr>
          <w:trHeight w:val="763"/>
        </w:trPr>
        <w:tc>
          <w:tcPr>
            <w:tcW w:w="308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future capital expenditures; ongoing working capital efforts; future share repurchases; financial results (including our revenue, costs or margins) and the impact of changes to tax laws on our financial results; existing and evolving business strategies including those related to acquisitions and dispositions; demand for our services and competitive strengths; strategic goals; the benefits of new initiatives;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initiatives generated from our completed multi-year operational transformation program or other expense savings initiatives; our recognition of future impairment charges; and plans and references to future performance, including our future financial and operating results, short-term and long-term financial goals, plans, objectives, expectations and intentions, including with respect to free cash flow generation, adjusted net revenue, adjusted operating margin and adjusted earnings per share, are all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5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execute and achieve our global business strategy as it evolves;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anticipated benefits of our growth strategy, including inorganic growth through acquisitions;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short-term and long-term financial goals, including with respect to our cash flow generation, the timing with respect to such achievement and how such achievement may be impacted by any of the risks or uncertainties set forth herein or elsewhere;</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changes in general economic conditions, business and political conditions, changes in the financial markets, inflation, credit availability, increased interest rates, changes in trade policies, increased tariffs and retaliatory actions;</w:t>
      </w:r>
    </w:p>
    <w:p>
      <w:pPr>
        <w:spacing w:after="0" w:line="5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divestitures or acquisitions, including our ability to integrate or manage acquired businesses or carve-out businesses to be disposed, as well as our ability to identify and successfully execute on opportunities for strategic collaboration;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transitional arrangements in effect following our sale of TRANZACT;</w:t>
      </w:r>
    </w:p>
    <w:p>
      <w:pPr>
        <w:spacing w:after="0" w:line="117" w:lineRule="exact"/>
        <w:rPr>
          <w:rFonts w:ascii="Times New Roman" w:cs="Times New Roman" w:eastAsia="Times New Roman" w:hAnsi="Times New Roman"/>
          <w:sz w:val="18"/>
          <w:szCs w:val="18"/>
          <w:color w:val="auto"/>
        </w:rPr>
      </w:pPr>
    </w:p>
    <w:p>
      <w:pPr>
        <w:ind w:left="760" w:right="6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macroeconomic trends, including those relating to changes in trade policies and tariffs, as well as political events, war, such as the Russia-Ukraine war, and other international disputes, terrorism, natural disasters, public health issues and other business interruptions on the global economy and capital markets, such as uncertainty in the global markets, inflation, changes in interest rates and recessionary trends, changes in spending by government agencies and contractors, which could have a material adverse effect on our business, financial condition, results of operations and long-term goals;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against fluctuations in foreign currency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that we face and the potential for loss of market share and/or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differences in timing of renewals and non-recurring revenue increases from disposals and book-of-business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complex and evolving regulations related to data privacy, cybersecurity and artificial intelligence;</w:t>
      </w:r>
    </w:p>
    <w:p>
      <w:pPr>
        <w:spacing w:after="0" w:line="117"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interruptions to or loss of our information processing capabilities, or failure to effectively maintain and upgrade our information technology resources and systems and related risks of cybersecurity breaches or incidents;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client data protection, potential breaches of information systems or insufficient safeguards against cybersecurity breaches or incidents;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ind w:left="380" w:right="800" w:hanging="378"/>
        <w:spacing w:after="0" w:line="312" w:lineRule="auto"/>
        <w:tabs>
          <w:tab w:leader="none" w:pos="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apply technology, data and analytics solutions, including through the use of artificial intelligence, for internal operations, maintaining industry standards, meeting client preferences and gaining competitive advantage, among other things;</w:t>
      </w:r>
    </w:p>
    <w:p>
      <w:pPr>
        <w:spacing w:after="0" w:line="31" w:lineRule="exact"/>
        <w:rPr>
          <w:rFonts w:ascii="Times New Roman" w:cs="Times New Roman" w:eastAsia="Times New Roman" w:hAnsi="Times New Roman"/>
          <w:sz w:val="17"/>
          <w:szCs w:val="17"/>
          <w:color w:val="auto"/>
        </w:rPr>
      </w:pPr>
    </w:p>
    <w:p>
      <w:pPr>
        <w:ind w:left="380" w:right="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increased liability or new legal claims arising from or relating to our operations, products and/or services, and expectations, intentions and outcomes relating to outstanding litigation;</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negative outcomes on existing or potential future litigation or investigation matters;</w:t>
      </w:r>
    </w:p>
    <w:p>
      <w:pPr>
        <w:spacing w:after="0" w:line="117"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 which we operate, including, among other risks, the impacts of pending competition law and regulatory investigations;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w:t>
      </w:r>
    </w:p>
    <w:p>
      <w:pPr>
        <w:spacing w:after="0" w:line="117" w:lineRule="exact"/>
        <w:rPr>
          <w:rFonts w:ascii="Times New Roman" w:cs="Times New Roman" w:eastAsia="Times New Roman" w:hAnsi="Times New Roman"/>
          <w:sz w:val="18"/>
          <w:szCs w:val="18"/>
          <w:color w:val="auto"/>
        </w:rPr>
      </w:pPr>
    </w:p>
    <w:p>
      <w:pPr>
        <w:ind w:left="380" w:right="4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regulatory claims, government inquiries or investigations or the potential for regulatory action in various jurisdictions where we operate around the world;</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direct-to-consumer sales and marketing solutions with our existing offerings and solutions;</w:t>
      </w:r>
    </w:p>
    <w:p>
      <w:pPr>
        <w:spacing w:after="0" w:line="117" w:lineRule="exact"/>
        <w:rPr>
          <w:rFonts w:ascii="Times New Roman" w:cs="Times New Roman" w:eastAsia="Times New Roman" w:hAnsi="Times New Roman"/>
          <w:sz w:val="18"/>
          <w:szCs w:val="18"/>
          <w:color w:val="auto"/>
        </w:rPr>
      </w:pPr>
    </w:p>
    <w:p>
      <w:pPr>
        <w:ind w:left="380" w:right="100" w:hanging="378"/>
        <w:spacing w:after="0" w:line="312" w:lineRule="auto"/>
        <w:tabs>
          <w:tab w:leader="none" w:pos="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organizational changes, including as a result of our recently-completed multi-year operational transformation program, investments in improving systems and processes or other initiatives, and in connection with our acquisition and divestiture activities;</w:t>
      </w:r>
    </w:p>
    <w:p>
      <w:pPr>
        <w:spacing w:after="0" w:line="31" w:lineRule="exact"/>
        <w:rPr>
          <w:rFonts w:ascii="Times New Roman" w:cs="Times New Roman" w:eastAsia="Times New Roman" w:hAnsi="Times New Roman"/>
          <w:sz w:val="17"/>
          <w:szCs w:val="17"/>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or business continuity problems;</w:t>
      </w:r>
    </w:p>
    <w:p>
      <w:pPr>
        <w:spacing w:after="0" w:line="117" w:lineRule="exact"/>
        <w:rPr>
          <w:rFonts w:ascii="Times New Roman" w:cs="Times New Roman" w:eastAsia="Times New Roman" w:hAnsi="Times New Roman"/>
          <w:sz w:val="18"/>
          <w:szCs w:val="18"/>
          <w:color w:val="auto"/>
        </w:rPr>
      </w:pPr>
    </w:p>
    <w:p>
      <w:pPr>
        <w:ind w:left="380" w:right="1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natural or man-made disasters such as health pandemics and other world health crises on the demand for our products and services, our cash flows and our business operations;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free cash flow through enhanced billing, collection and other working capital efforts;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identify and manage conflicts of interest;</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including from association with third parties;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service providers and suppliers;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our management structures and in senior leadership;</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key employees and maintain an appropriate number of employees;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corporate culture;</w:t>
      </w:r>
    </w:p>
    <w:p>
      <w:pPr>
        <w:spacing w:after="0" w:line="117" w:lineRule="exact"/>
        <w:rPr>
          <w:rFonts w:ascii="Times New Roman" w:cs="Times New Roman" w:eastAsia="Times New Roman" w:hAnsi="Times New Roman"/>
          <w:sz w:val="18"/>
          <w:szCs w:val="18"/>
          <w:color w:val="auto"/>
        </w:rPr>
      </w:pPr>
    </w:p>
    <w:p>
      <w:pPr>
        <w:ind w:left="380" w:right="16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internationally, including the impact of global trade policies and retaliatory considerations as well as foreign currency exchange rates;</w:t>
      </w:r>
    </w:p>
    <w:p>
      <w:pPr>
        <w:spacing w:after="0" w:line="53" w:lineRule="exact"/>
        <w:rPr>
          <w:rFonts w:ascii="Times New Roman" w:cs="Times New Roman" w:eastAsia="Times New Roman" w:hAnsi="Times New Roman"/>
          <w:sz w:val="18"/>
          <w:szCs w:val="18"/>
          <w:color w:val="auto"/>
        </w:rPr>
      </w:pPr>
    </w:p>
    <w:p>
      <w:pPr>
        <w:ind w:left="380" w:right="20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sanctions imposed by governments, or changes to associated sanction regulations (such as sanctions imposed on Russia) and related counter-sanctions;</w:t>
      </w:r>
    </w:p>
    <w:p>
      <w:pPr>
        <w:spacing w:after="0" w:line="53" w:lineRule="exact"/>
        <w:rPr>
          <w:rFonts w:ascii="Times New Roman" w:cs="Times New Roman" w:eastAsia="Times New Roman" w:hAnsi="Times New Roman"/>
          <w:sz w:val="18"/>
          <w:szCs w:val="18"/>
          <w:color w:val="auto"/>
        </w:rPr>
      </w:pPr>
    </w:p>
    <w:p>
      <w:pPr>
        <w:ind w:left="380" w:right="2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insurance industry or the U.S. healthcare system, including those related to Medicare, and any other changes and developments in legal, regulatory, economic, business or operational conditions that could impact our businesses;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intellectual property rights, or the potential infringement upon the intellectual property rights of others;</w:t>
      </w:r>
    </w:p>
    <w:p>
      <w:pPr>
        <w:spacing w:after="0" w:line="117" w:lineRule="exact"/>
        <w:rPr>
          <w:rFonts w:ascii="Times New Roman" w:cs="Times New Roman" w:eastAsia="Times New Roman" w:hAnsi="Times New Roman"/>
          <w:sz w:val="18"/>
          <w:szCs w:val="18"/>
          <w:color w:val="auto"/>
        </w:rPr>
      </w:pPr>
    </w:p>
    <w:p>
      <w:pPr>
        <w:ind w:left="380" w:right="20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capital structure, including indebtedness amounts, the limitations imposed by the covenants in the documents governing such indebtedness and the maintenance of the financial and disclosure controls and procedures of each;</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at all;</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ratings;</w:t>
      </w:r>
    </w:p>
    <w:p>
      <w:pPr>
        <w:spacing w:after="0" w:line="117" w:lineRule="exact"/>
        <w:rPr>
          <w:rFonts w:ascii="Times New Roman" w:cs="Times New Roman" w:eastAsia="Times New Roman" w:hAnsi="Times New Roman"/>
          <w:sz w:val="18"/>
          <w:szCs w:val="18"/>
          <w:color w:val="auto"/>
        </w:rPr>
      </w:pPr>
    </w:p>
    <w:p>
      <w:pPr>
        <w:jc w:val="both"/>
        <w:ind w:left="380" w:right="4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to applicable U.S. state, federal and/or foreign laws, rules and regulations, recent judicial decisions and case law developments, and any other relevant policy changes and legislative actions, including the ‘Act to provide for reconciliation pursuant to title II of H. Con. Res. 14’ (‘H.R. 1’) signed into law on July 4, 2025, on our business, operations or results;</w:t>
      </w:r>
    </w:p>
    <w:p>
      <w:pPr>
        <w:spacing w:after="0" w:line="1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093" w:right="359" w:bottom="1440" w:gutter="0" w:footer="0" w:header="0"/>
        </w:sectPr>
      </w:pPr>
    </w:p>
    <w:bookmarkStart w:id="5" w:name="page6"/>
    <w:bookmarkEnd w:id="5"/>
    <w:p>
      <w:pPr>
        <w:ind w:left="760" w:right="3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in state, federal, and/or foreign tax laws and regulations, including those that may impose additional excise taxes or impact our effective tax rate, including H.R. 1;</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to U.S. persons owning at least 10% of our shares;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estimates or assumptions;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recognition of future impairment charges;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or arising from environmental, social and governance (‘ESG’) practices;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revenue against our relatively fixed or higher-than-expected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market downturns can have a significant impact on investments made across our portfolios;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Ireland being different from the laws of the U.S. and potentially affording less protections to the holders of our securities; and</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holding company structure potentially preventing us from being able to receive dividends or other distributions in needed amounts from our subsidiaries.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600" w:type="dxa"/>
            <w:vAlign w:val="bottom"/>
            <w:gridSpan w:val="5"/>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2,288</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2,289</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6,772</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6,895</w:t>
            </w:r>
          </w:p>
        </w:tc>
      </w:tr>
      <w:tr>
        <w:trPr>
          <w:trHeight w:val="210"/>
        </w:trPr>
        <w:tc>
          <w:tcPr>
            <w:tcW w:w="5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7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6"/>
        </w:trPr>
        <w:tc>
          <w:tcPr>
            <w:tcW w:w="5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1,413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4,186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4,135</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70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1,315</w:t>
            </w:r>
          </w:p>
        </w:tc>
      </w:tr>
      <w:tr>
        <w:trPr>
          <w:trHeight w:val="216"/>
        </w:trPr>
        <w:tc>
          <w:tcPr>
            <w:tcW w:w="5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70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70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84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296</w:t>
            </w:r>
          </w:p>
        </w:tc>
      </w:tr>
      <w:tr>
        <w:trPr>
          <w:trHeight w:val="209"/>
        </w:trPr>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3"/>
              </w:rPr>
              <w:t>1,870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3,055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5,554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7,169</w:t>
            </w:r>
          </w:p>
        </w:tc>
      </w:tr>
      <w:tr>
        <w:trPr>
          <w:trHeight w:val="210"/>
        </w:trPr>
        <w:tc>
          <w:tcPr>
            <w:tcW w:w="5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84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income/(loss), net</w:t>
            </w:r>
          </w:p>
        </w:tc>
        <w:tc>
          <w:tcPr>
            <w:tcW w:w="7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191"/>
        </w:trPr>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INCOME/(LOSS) FROM OPERATIONS BEFORE INCOME</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4"/>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AND INTEREST IN EARNINGS OF ASSOCIATES</w:t>
            </w:r>
          </w:p>
        </w:tc>
        <w:tc>
          <w:tcPr>
            <w:tcW w:w="700" w:type="dxa"/>
            <w:vAlign w:val="bottom"/>
          </w:tcPr>
          <w:p>
            <w:pPr>
              <w:spacing w:after="0"/>
              <w:rPr>
                <w:sz w:val="20"/>
                <w:szCs w:val="20"/>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16"/>
        </w:trPr>
        <w:tc>
          <w:tcPr>
            <w:tcW w:w="58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for)/benefit from income taxes</w:t>
            </w:r>
          </w:p>
        </w:tc>
        <w:tc>
          <w:tcPr>
            <w:tcW w:w="7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248</w:t>
            </w:r>
          </w:p>
        </w:tc>
      </w:tr>
      <w:tr>
        <w:trPr>
          <w:trHeight w:val="191"/>
        </w:trPr>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INCOME/(LOSS) FROM OPERATIONS BEFORE INTEREST</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4"/>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EARNINGS OF ASSOCIATES</w:t>
            </w:r>
          </w:p>
        </w:tc>
        <w:tc>
          <w:tcPr>
            <w:tcW w:w="700" w:type="dxa"/>
            <w:vAlign w:val="bottom"/>
          </w:tcPr>
          <w:p>
            <w:pPr>
              <w:spacing w:after="0"/>
              <w:rPr>
                <w:sz w:val="20"/>
                <w:szCs w:val="20"/>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16"/>
        </w:trPr>
        <w:tc>
          <w:tcPr>
            <w:tcW w:w="58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 earnings of associates, net of tax</w:t>
            </w:r>
          </w:p>
        </w:tc>
        <w:tc>
          <w:tcPr>
            <w:tcW w:w="7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70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16"/>
        </w:trPr>
        <w:tc>
          <w:tcPr>
            <w:tcW w:w="58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7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ATTRIBUTABLE TO WTW</w:t>
            </w: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0"/>
        </w:trPr>
        <w:tc>
          <w:tcPr>
            <w:tcW w:w="5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4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EARNINGS/(LOSS) PER SHARE</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6"/>
        </w:trPr>
        <w:tc>
          <w:tcPr>
            <w:tcW w:w="5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earnings/(loss) per share</w:t>
            </w:r>
          </w:p>
        </w:tc>
        <w:tc>
          <w:tcPr>
            <w:tcW w:w="70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8.80</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0"/>
        </w:trPr>
        <w:tc>
          <w:tcPr>
            <w:tcW w:w="5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8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earnings/(loss) per share</w:t>
            </w: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(16.44)</w:t>
            </w:r>
          </w:p>
        </w:tc>
        <w:tc>
          <w:tcPr>
            <w:tcW w:w="4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8.74</w:t>
            </w:r>
          </w:p>
        </w:tc>
        <w:tc>
          <w:tcPr>
            <w:tcW w:w="5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(13.11)</w:t>
            </w:r>
          </w:p>
        </w:tc>
      </w:tr>
      <w:tr>
        <w:trPr>
          <w:trHeight w:val="20"/>
        </w:trPr>
        <w:tc>
          <w:tcPr>
            <w:tcW w:w="5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4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income/(loss) before non-controlling interests</w:t>
            </w: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1,326</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16"/>
        </w:trPr>
        <w:tc>
          <w:tcPr>
            <w:tcW w:w="58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7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income/(loss) attributable to WTW</w:t>
            </w: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0"/>
        </w:trPr>
        <w:tc>
          <w:tcPr>
            <w:tcW w:w="5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-4148455</wp:posOffset>
            </wp:positionV>
            <wp:extent cx="85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-4148455</wp:posOffset>
            </wp:positionV>
            <wp:extent cx="85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-4148455</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-3042285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-3042285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-3042285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-2476500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-2476500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-2476500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-2056765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-2056765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-2056765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-1636395</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-1636395</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-1636395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-1353820</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-1353820</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-1353820</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-770890</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-753745</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-770890</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-753745</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-770890</wp:posOffset>
            </wp:positionV>
            <wp:extent cx="85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-753745</wp:posOffset>
            </wp:positionV>
            <wp:extent cx="85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share data)</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1,895</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1,890</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Fiduciary assets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9,967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9,504</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2,494</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1,217</w:t>
            </w:r>
          </w:p>
        </w:tc>
      </w:tr>
      <w:tr>
        <w:trPr>
          <w:trHeight w:val="20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15,105</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Fixed assets, net</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661</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8,799</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1,295</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Pension benefits assets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806</w:t>
            </w:r>
          </w:p>
        </w:tc>
      </w:tr>
      <w:tr>
        <w:trPr>
          <w:trHeight w:val="210"/>
        </w:trPr>
        <w:tc>
          <w:tcPr>
            <w:tcW w:w="5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12,818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12,576</w:t>
            </w: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27,439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27,681</w:t>
            </w:r>
          </w:p>
        </w:tc>
      </w:tr>
      <w:tr>
        <w:trPr>
          <w:trHeight w:val="20"/>
        </w:trPr>
        <w:tc>
          <w:tcPr>
            <w:tcW w:w="5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2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liabilities</w:t>
            </w:r>
          </w:p>
        </w:tc>
        <w:tc>
          <w:tcPr>
            <w:tcW w:w="2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9,967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9,504</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debt</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r>
      <w:tr>
        <w:trPr>
          <w:trHeight w:val="210"/>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13,243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12,598</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5,309</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299</w:t>
            </w:r>
          </w:p>
        </w:tc>
      </w:tr>
      <w:tr>
        <w:trPr>
          <w:trHeight w:val="210"/>
        </w:trPr>
        <w:tc>
          <w:tcPr>
            <w:tcW w:w="5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6,386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7,066</w:t>
            </w: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19,664</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11,037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10,989</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deficit)/retained earnings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r>
      <w:tr>
        <w:trPr>
          <w:trHeight w:val="20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7,940</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7,810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8,017</w:t>
            </w: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27,439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27,681</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-4516755</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-3402330</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-1431290</wp:posOffset>
            </wp:positionV>
            <wp:extent cx="111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600" w:hanging="272"/>
        <w:spacing w:after="0" w:line="261" w:lineRule="auto"/>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96,047,109 (2025) and 99,805,780 (2024); Outstanding 96,047,109 (2025) and 99,805,780 (2024) and (b) Preference shares, $0.000115 nominal value; Authorized 1,000,000,000 and Issued none in 2025 and 2024.</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INCOME/(LOSS)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877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income to total net cash from operating activities: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Amortization</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Impairment</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1,042</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Non-cash restructuring charges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Non-cash lease expense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Net periodic cost/(benefit) of defined benefit pension plans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Provision for doubtful receivables from clients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Benefit from deferred income taxes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(Gain)/loss on disposal of operations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1,190</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Non-cash foreign exchange loss/(gain)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Other, net</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181"/>
        </w:trPr>
        <w:tc>
          <w:tcPr>
            <w:tcW w:w="744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Changes in operating assets and liabilities, net of effects from purchase of</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subsidiaries: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382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Other liabilities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Provisions</w:t>
            </w:r>
          </w:p>
        </w:tc>
        <w:tc>
          <w:tcPr>
            <w:tcW w:w="1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7"/>
                <w:szCs w:val="17"/>
                <w:color w:val="auto"/>
              </w:rPr>
              <w:t>Net cash from operating activities</w:t>
            </w:r>
          </w:p>
        </w:tc>
        <w:tc>
          <w:tcPr>
            <w:tcW w:w="1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1,004</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913</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FROM/(USED IN) INVESTING ACTIVITIES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Additions to fixed assets and software</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Acquisitions of operations, net of cash acquired</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Contributions to investments in associates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proceeds from sale of operations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870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Cash and fiduciary funds transferred in sale of operations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purchases of held-to-maturity securities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Net purchases of available-for-sale securities</w:t>
            </w:r>
          </w:p>
        </w:tc>
        <w:tc>
          <w:tcPr>
            <w:tcW w:w="1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196"/>
        </w:trPr>
        <w:tc>
          <w:tcPr>
            <w:tcW w:w="74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Net cash from/(used in) investing activities</w:t>
            </w:r>
          </w:p>
        </w:tc>
        <w:tc>
          <w:tcPr>
            <w:tcW w:w="1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530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(USED IN)/FROM FINANCING ACTIVITIES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Senior notes issued</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746</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Debt issuance costs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Repayments of debt</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Repurchase of shares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proceeds from fiduciary funds held for clients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343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Payments of deferred and contingent consideration related to acquisitions</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for employee taxes on withholding shares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Dividends paid</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Acquisitions of and dividends paid to non-controlling interests</w:t>
            </w:r>
          </w:p>
        </w:tc>
        <w:tc>
          <w:tcPr>
            <w:tcW w:w="1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63"/>
        </w:trPr>
        <w:tc>
          <w:tcPr>
            <w:tcW w:w="7440" w:type="dxa"/>
            <w:vAlign w:val="bottom"/>
          </w:tcPr>
          <w:p>
            <w:pPr>
              <w:ind w:left="480"/>
              <w:spacing w:after="0" w:line="163" w:lineRule="exact"/>
              <w:rPr>
                <w:sz w:val="20"/>
                <w:szCs w:val="20"/>
                <w:color w:val="auto"/>
              </w:rPr>
            </w:pPr>
            <w:r>
              <w:rPr>
                <w:rFonts w:ascii="Times New Roman" w:cs="Times New Roman" w:eastAsia="Times New Roman" w:hAnsi="Times New Roman"/>
                <w:sz w:val="17"/>
                <w:szCs w:val="17"/>
                <w:color w:val="auto"/>
              </w:rPr>
              <w:t>Net cash (used in)/from financing activities</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(1,311)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5"/>
              <w:spacing w:after="0" w:line="163" w:lineRule="exact"/>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33"/>
        </w:trPr>
        <w:tc>
          <w:tcPr>
            <w:tcW w:w="7440" w:type="dxa"/>
            <w:vAlign w:val="bottom"/>
            <w:vMerge w:val="restart"/>
          </w:tcPr>
          <w:p>
            <w:pPr>
              <w:spacing w:after="0" w:line="249" w:lineRule="exact"/>
              <w:rPr>
                <w:sz w:val="20"/>
                <w:szCs w:val="20"/>
                <w:color w:val="auto"/>
              </w:rPr>
            </w:pPr>
            <w:r>
              <w:rPr>
                <w:rFonts w:ascii="Times New Roman" w:cs="Times New Roman" w:eastAsia="Times New Roman" w:hAnsi="Times New Roman"/>
                <w:sz w:val="17"/>
                <w:szCs w:val="17"/>
                <w:color w:val="auto"/>
              </w:rPr>
              <w:t xml:space="preserve">INCREASE IN CASH, CASH EQUIVALENTS AND RESTRICTED CASH </w:t>
            </w:r>
            <w:r>
              <w:rPr>
                <w:rFonts w:ascii="Times New Roman" w:cs="Times New Roman" w:eastAsia="Times New Roman" w:hAnsi="Times New Roman"/>
                <w:sz w:val="22"/>
                <w:szCs w:val="22"/>
                <w:color w:val="auto"/>
                <w:vertAlign w:val="superscript"/>
              </w:rPr>
              <w:t>(i)</w:t>
            </w:r>
          </w:p>
        </w:tc>
        <w:tc>
          <w:tcPr>
            <w:tcW w:w="1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202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7"/>
                <w:szCs w:val="17"/>
                <w:color w:val="auto"/>
              </w:rPr>
              <w:t xml:space="preserve">CASH, CASH EQUIVALENTS AND RESTRICTED CASH, BEGINNING OF PERIOD </w:t>
            </w:r>
            <w:r>
              <w:rPr>
                <w:rFonts w:ascii="Times New Roman" w:cs="Times New Roman" w:eastAsia="Times New Roman" w:hAnsi="Times New Roman"/>
                <w:sz w:val="22"/>
                <w:szCs w:val="22"/>
                <w:color w:val="auto"/>
                <w:vertAlign w:val="superscript"/>
              </w:rPr>
              <w:t>(i)</w:t>
            </w:r>
          </w:p>
        </w:tc>
        <w:tc>
          <w:tcPr>
            <w:tcW w:w="1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4,998</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3,792</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7"/>
                <w:szCs w:val="17"/>
                <w:color w:val="auto"/>
              </w:rPr>
              <w:t xml:space="preserve">CASH, CASH EQUIVALENTS AND RESTRICTED CASH, END OF PERIOD </w:t>
            </w:r>
            <w:r>
              <w:rPr>
                <w:rFonts w:ascii="Times New Roman" w:cs="Times New Roman" w:eastAsia="Times New Roman" w:hAnsi="Times New Roman"/>
                <w:sz w:val="22"/>
                <w:szCs w:val="22"/>
                <w:color w:val="auto"/>
                <w:vertAlign w:val="superscript"/>
              </w:rPr>
              <w:t>(i)</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5,423</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4,712</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-3162300</wp:posOffset>
            </wp:positionV>
            <wp:extent cx="111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-2125345</wp:posOffset>
            </wp:positionV>
            <wp:extent cx="111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111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111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180" w:hanging="272"/>
        <w:spacing w:after="0" w:line="284" w:lineRule="auto"/>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80" w:type="dxa"/>
            <w:vAlign w:val="bottom"/>
            <w:gridSpan w:val="7"/>
          </w:tcPr>
          <w:p>
            <w:pPr>
              <w:jc w:val="right"/>
              <w:ind w:right="697"/>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332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178"/>
              <w:spacing w:after="0" w:line="118"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2"/>
                <w:szCs w:val="12"/>
                <w:b w:val="1"/>
                <w:bCs w:val="1"/>
                <w:color w:val="auto"/>
                <w:w w:val="97"/>
              </w:rPr>
              <w:t>earnings/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Total WTW</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78"/>
              <w:spacing w:after="0" w:line="135" w:lineRule="exact"/>
              <w:rPr>
                <w:sz w:val="20"/>
                <w:szCs w:val="20"/>
                <w:color w:val="auto"/>
              </w:rPr>
            </w:pPr>
            <w:r>
              <w:rPr>
                <w:rFonts w:ascii="Times New Roman" w:cs="Times New Roman" w:eastAsia="Times New Roman" w:hAnsi="Times New Roman"/>
                <w:sz w:val="12"/>
                <w:szCs w:val="12"/>
                <w:b w:val="1"/>
                <w:bCs w:val="1"/>
                <w:color w:val="auto"/>
                <w:w w:val="95"/>
              </w:rPr>
              <w:t>(accumulated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120" w:type="dxa"/>
            <w:vAlign w:val="bottom"/>
          </w:tcPr>
          <w:p>
            <w:pPr>
              <w:spacing w:after="0"/>
              <w:rPr>
                <w:sz w:val="11"/>
                <w:szCs w:val="11"/>
                <w:color w:val="auto"/>
              </w:rPr>
            </w:pPr>
          </w:p>
        </w:tc>
        <w:tc>
          <w:tcPr>
            <w:tcW w:w="10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w w:val="95"/>
              </w:rPr>
              <w:t>Shares outstanding</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29"/>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2024</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99,806</w:t>
            </w:r>
          </w:p>
        </w:tc>
        <w:tc>
          <w:tcPr>
            <w:tcW w:w="30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10,989</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109</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(3,158)</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7,940</w:t>
            </w:r>
          </w:p>
        </w:tc>
        <w:tc>
          <w:tcPr>
            <w:tcW w:w="260" w:type="dxa"/>
            <w:vAlign w:val="bottom"/>
            <w:gridSpan w:val="2"/>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8,017</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(607)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($0.92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29"/>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99,211</w:t>
            </w:r>
          </w:p>
        </w:tc>
        <w:tc>
          <w:tcPr>
            <w:tcW w:w="30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11,017</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51</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(2,935)</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8,133</w:t>
            </w:r>
          </w:p>
        </w:tc>
        <w:tc>
          <w:tcPr>
            <w:tcW w:w="260" w:type="dxa"/>
            <w:vAlign w:val="bottom"/>
            <w:gridSpan w:val="2"/>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8,214</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(1,615)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331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332</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($0.92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17"/>
        </w:trPr>
        <w:tc>
          <w:tcPr>
            <w:tcW w:w="33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257</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33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28"/>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10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97,853</w:t>
            </w:r>
          </w:p>
        </w:tc>
        <w:tc>
          <w:tcPr>
            <w:tcW w:w="3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11,012</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(206)</w:t>
            </w:r>
          </w:p>
        </w:tc>
        <w:tc>
          <w:tcPr>
            <w:tcW w:w="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(2,706)</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8,100</w:t>
            </w:r>
          </w:p>
        </w:tc>
        <w:tc>
          <w:tcPr>
            <w:tcW w:w="260" w:type="dxa"/>
            <w:vAlign w:val="bottom"/>
            <w:gridSpan w:val="2"/>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80</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8,180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(1,848)</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(600)</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304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306</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($0.92 per share)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Reduction of non-controlling interests </w:t>
            </w:r>
            <w:r>
              <w:rPr>
                <w:rFonts w:ascii="Times New Roman" w:cs="Times New Roman" w:eastAsia="Times New Roman" w:hAnsi="Times New Roman"/>
                <w:sz w:val="15"/>
                <w:szCs w:val="15"/>
                <w:color w:val="auto"/>
                <w:vertAlign w:val="superscript"/>
              </w:rPr>
              <w:t>(ii)</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33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9"/>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10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96,047</w:t>
            </w:r>
          </w:p>
        </w:tc>
        <w:tc>
          <w:tcPr>
            <w:tcW w:w="3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11,037</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(593)</w:t>
            </w:r>
          </w:p>
        </w:tc>
        <w:tc>
          <w:tcPr>
            <w:tcW w:w="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(2,709)</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7,735</w:t>
            </w:r>
          </w:p>
        </w:tc>
        <w:tc>
          <w:tcPr>
            <w:tcW w:w="260" w:type="dxa"/>
            <w:vAlign w:val="bottom"/>
            <w:gridSpan w:val="2"/>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75</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7,810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-1070610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-1070610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-1070610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-1070610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-1070610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-1070610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-119380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-119380</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-119380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-119380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-119380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-119380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right="340" w:hanging="272"/>
        <w:spacing w:after="0" w:line="278" w:lineRule="auto"/>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60" w:type="dxa"/>
            <w:vAlign w:val="bottom"/>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Nine Months Ended September 30, 2024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30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177"/>
              <w:spacing w:after="0" w:line="118" w:lineRule="exact"/>
              <w:rPr>
                <w:sz w:val="20"/>
                <w:szCs w:val="20"/>
                <w:color w:val="auto"/>
              </w:rPr>
            </w:pPr>
            <w:r>
              <w:rPr>
                <w:rFonts w:ascii="Times New Roman" w:cs="Times New Roman" w:eastAsia="Times New Roman" w:hAnsi="Times New Roman"/>
                <w:sz w:val="12"/>
                <w:szCs w:val="12"/>
                <w:b w:val="1"/>
                <w:bCs w:val="1"/>
                <w:color w:val="auto"/>
                <w:w w:val="95"/>
              </w:rPr>
              <w:t>Retained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2"/>
                <w:szCs w:val="12"/>
                <w:b w:val="1"/>
                <w:bCs w:val="1"/>
                <w:color w:val="auto"/>
                <w:w w:val="97"/>
              </w:rPr>
              <w:t>earnings/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2"/>
                <w:szCs w:val="12"/>
                <w:b w:val="1"/>
                <w:bCs w:val="1"/>
                <w:color w:val="auto"/>
                <w:w w:val="99"/>
              </w:rPr>
              <w:t>Total WTW</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98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1"/>
                <w:szCs w:val="11"/>
                <w:color w:val="auto"/>
              </w:rPr>
            </w:pPr>
          </w:p>
        </w:tc>
        <w:tc>
          <w:tcPr>
            <w:tcW w:w="90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2"/>
                <w:szCs w:val="12"/>
                <w:b w:val="1"/>
                <w:bCs w:val="1"/>
                <w:color w:val="auto"/>
                <w:w w:val="98"/>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23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00" w:type="dxa"/>
            <w:vAlign w:val="bottom"/>
          </w:tcPr>
          <w:p>
            <w:pPr>
              <w:spacing w:after="0"/>
              <w:rPr>
                <w:sz w:val="11"/>
                <w:szCs w:val="11"/>
                <w:color w:val="auto"/>
              </w:rPr>
            </w:pPr>
          </w:p>
        </w:tc>
        <w:tc>
          <w:tcPr>
            <w:tcW w:w="92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12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020" w:type="dxa"/>
            <w:vAlign w:val="bottom"/>
          </w:tcPr>
          <w:p>
            <w:pPr>
              <w:spacing w:after="0"/>
              <w:rPr>
                <w:sz w:val="12"/>
                <w:szCs w:val="12"/>
                <w:color w:val="auto"/>
              </w:rPr>
            </w:pPr>
          </w:p>
        </w:tc>
        <w:tc>
          <w:tcPr>
            <w:tcW w:w="9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w w:val="99"/>
              </w:rPr>
              <w:t>paid-in capital</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3"/>
              </w:rPr>
              <w:t>equity</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w w:val="99"/>
              </w:rPr>
              <w:t>Total equity</w:t>
            </w:r>
          </w:p>
        </w:tc>
        <w:tc>
          <w:tcPr>
            <w:tcW w:w="0" w:type="dxa"/>
            <w:vAlign w:val="bottom"/>
          </w:tcPr>
          <w:p>
            <w:pPr>
              <w:spacing w:after="0"/>
              <w:rPr>
                <w:sz w:val="1"/>
                <w:szCs w:val="1"/>
                <w:color w:val="auto"/>
              </w:rPr>
            </w:pPr>
          </w:p>
        </w:tc>
      </w:tr>
      <w:tr>
        <w:trPr>
          <w:trHeight w:val="128"/>
        </w:trPr>
        <w:tc>
          <w:tcPr>
            <w:tcW w:w="30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2023</w:t>
            </w:r>
          </w:p>
        </w:tc>
        <w:tc>
          <w:tcPr>
            <w:tcW w:w="9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102,538</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10,910</w:t>
            </w:r>
          </w:p>
        </w:tc>
        <w:tc>
          <w:tcPr>
            <w:tcW w:w="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1,466</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(2,856)</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9,520</w:t>
            </w:r>
          </w:p>
        </w:tc>
        <w:tc>
          <w:tcPr>
            <w:tcW w:w="24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73</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9,593</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9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($0.88 per share)</w:t>
            </w: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17"/>
        </w:trPr>
        <w:tc>
          <w:tcPr>
            <w:tcW w:w="30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9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Additional non-controlling interests </w:t>
            </w:r>
            <w:r>
              <w:rPr>
                <w:rFonts w:ascii="Times New Roman" w:cs="Times New Roman" w:eastAsia="Times New Roman" w:hAnsi="Times New Roman"/>
                <w:sz w:val="15"/>
                <w:szCs w:val="15"/>
                <w:color w:val="auto"/>
                <w:vertAlign w:val="superscript"/>
              </w:rPr>
              <w:t>(ii)</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98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28"/>
        </w:trPr>
        <w:tc>
          <w:tcPr>
            <w:tcW w:w="30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9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102,213</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10,930</w:t>
            </w:r>
          </w:p>
        </w:tc>
        <w:tc>
          <w:tcPr>
            <w:tcW w:w="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1,464</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(2,905)</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9,489</w:t>
            </w:r>
          </w:p>
        </w:tc>
        <w:tc>
          <w:tcPr>
            <w:tcW w:w="24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79</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9,568</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9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($0.88 per share)</w:t>
            </w: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17"/>
        </w:trPr>
        <w:tc>
          <w:tcPr>
            <w:tcW w:w="30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9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5"/>
        </w:trPr>
        <w:tc>
          <w:tcPr>
            <w:tcW w:w="30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98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8"/>
        </w:trPr>
        <w:tc>
          <w:tcPr>
            <w:tcW w:w="30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9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101,547</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10,943</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1,315</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(2,921)</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9,337</w:t>
            </w:r>
          </w:p>
        </w:tc>
        <w:tc>
          <w:tcPr>
            <w:tcW w:w="2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78</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9,415</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(717)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(loss)/income</w:t>
            </w: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(1,672)</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($0.88 per share)</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17"/>
        </w:trPr>
        <w:tc>
          <w:tcPr>
            <w:tcW w:w="3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Reduction of non-controlling interests </w:t>
            </w:r>
            <w:r>
              <w:rPr>
                <w:rFonts w:ascii="Times New Roman" w:cs="Times New Roman" w:eastAsia="Times New Roman" w:hAnsi="Times New Roman"/>
                <w:sz w:val="15"/>
                <w:szCs w:val="15"/>
                <w:color w:val="auto"/>
                <w:vertAlign w:val="superscript"/>
              </w:rPr>
              <w:t>(ii)</w:t>
            </w: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35"/>
        </w:trPr>
        <w:tc>
          <w:tcPr>
            <w:tcW w:w="30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98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28"/>
        </w:trPr>
        <w:tc>
          <w:tcPr>
            <w:tcW w:w="30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30, 2024</w:t>
            </w:r>
          </w:p>
        </w:tc>
        <w:tc>
          <w:tcPr>
            <w:tcW w:w="9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100,871</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10,957</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(650)</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(5)</w:t>
            </w: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(2,810)</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7,492</w:t>
            </w:r>
          </w:p>
        </w:tc>
        <w:tc>
          <w:tcPr>
            <w:tcW w:w="2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78</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7,570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-1070610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-1070610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-1070610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-1070610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-1070610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-1070610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-1070610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-119380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-119380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-119380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-119380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-119380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-119380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-119380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right="340" w:hanging="272"/>
        <w:spacing w:after="0" w:line="278" w:lineRule="auto"/>
        <w:tabs>
          <w:tab w:leader="none" w:pos="2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millions of U.S. dollars,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75" w:lineRule="exact"/>
        <w:rPr>
          <w:sz w:val="20"/>
          <w:szCs w:val="20"/>
          <w:color w:val="auto"/>
        </w:rPr>
      </w:pPr>
    </w:p>
    <w:p>
      <w:pPr>
        <w:jc w:val="both"/>
        <w:ind w:right="660"/>
        <w:spacing w:after="0" w:line="312" w:lineRule="auto"/>
        <w:rPr>
          <w:sz w:val="20"/>
          <w:szCs w:val="20"/>
          <w:color w:val="auto"/>
        </w:rPr>
      </w:pPr>
      <w:r>
        <w:rPr>
          <w:rFonts w:ascii="Times New Roman" w:cs="Times New Roman" w:eastAsia="Times New Roman" w:hAnsi="Times New Roman"/>
          <w:sz w:val="17"/>
          <w:szCs w:val="17"/>
          <w:color w:val="auto"/>
        </w:rPr>
        <w:t>Willis Towers Watson Public Limited Company is a leading global advisory, broking and solutions company that provides data-driven, insight-led solutions in the areas of people, risk and capital. The Company has approximately 49,000 colleagues serving more than 140 countries and markets.</w:t>
      </w:r>
    </w:p>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risk control services include strategic risk consulting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2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w:t>
      </w:r>
    </w:p>
    <w:p>
      <w:pPr>
        <w:spacing w:after="0" w:line="10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Certain prior-period amounts have been reclassified to conform to the current-period presentation. All intercompany accounts and transactions have been eliminated in consolidation. The condensed consolidated financial statements should be read together with the Company’s Annual Report on Form 10-K, filed with the SEC on February 25, 2025, and may be accessed via EDGAR on the SEC’s web site at www.sec.gov.</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2025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March 2024, the SEC adopted final rules on the enhancement and standardization of climate-related disclosures for investors (the ‘SEC Climate Rules’). The SEC Climate Rules would require disclosure of certain climate-related information, including in the notes to the Company’s financial statements, in registration statements and annual reports on Form 10-K. Following a number of legal</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right="80"/>
        <w:spacing w:after="0" w:line="282" w:lineRule="auto"/>
        <w:rPr>
          <w:sz w:val="20"/>
          <w:szCs w:val="20"/>
          <w:color w:val="auto"/>
        </w:rPr>
      </w:pPr>
      <w:r>
        <w:rPr>
          <w:rFonts w:ascii="Times New Roman" w:cs="Times New Roman" w:eastAsia="Times New Roman" w:hAnsi="Times New Roman"/>
          <w:sz w:val="18"/>
          <w:szCs w:val="18"/>
          <w:color w:val="auto"/>
        </w:rPr>
        <w:t>challenges, the SEC voluntarily stayed the SEC Climate Rules pending the completion of judicial review of such consolidated petitions to avoid regulatory uncertainty for companies subject to the SEC Climate Rules. The Company is monitoring the outcome of the litigation.</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w:t>
      </w:r>
      <w:r>
        <w:rPr>
          <w:rFonts w:ascii="Times New Roman" w:cs="Times New Roman" w:eastAsia="Times New Roman" w:hAnsi="Times New Roman"/>
          <w:sz w:val="18"/>
          <w:szCs w:val="18"/>
          <w:color w:val="auto"/>
        </w:rPr>
        <w:t>, which is intended to provide transparency about the components of expenses included in the income statement. This ASU requires public companies to disclose additional information about certain expenses in the notes to the financial statements on a quarterly and annual basis, including purchases of inventory, employee compensation, depreciation, intangible asset amortization and depletion for each income statement line item that contains those expenses. The ASU requires a new tabular disclosure format that centralizes expense information and additional qualitative disclosure. The guidance does not change the existing income statement presentation. The annual requirements for this ASU become effective with the Company's Annual Report on Form 10-K for the year ended December 31, 2027, and for its interim periods beginning on January 1, 2028. Early adoption is permitted. The guidance is to be applied prospectively, with the option for retrospective application. The Company currently does not plan to early-adopt this ASU and is assessing the expected impact on its condensed consolidated financial statements.</w:t>
      </w:r>
    </w:p>
    <w:p>
      <w:pPr>
        <w:spacing w:after="0" w:line="13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is intended to improve guidance on the measurement of credit losses for accounts receivable and contract assets.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an optional practical expedient to assume that current conditions as of the balance sheet date do not change for the remaining life of the assets. The requirements for this ASU become effective for the Company on January 1, 2026. Early adoption is permitted and the guidance is applied prospectively to estimates of expected credit losses on asset balances prepared after the date of adoption. The Company does not intend to early-adopt this ASU and does not expect the ASU to have a material impact on its condensed consolidated financial statements.</w:t>
      </w:r>
    </w:p>
    <w:p>
      <w:pPr>
        <w:spacing w:after="0" w:line="1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which is intended to clarify and modernize the accounting for costs related to internal-use software.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capitalization requirements from being tied to development stages and instead creates a capitalization threshold which is achieved when it is probable the software will be completed for its intended purpose. The annual and interim requirements for this ASU become effective for the Company on January 1, 2028. Early adoption is permitted and may be applied using a prospective, retrospective, or modified transition approach. The Company is assessing all aspects of the ASU, including adoption timing and transition method, and the expected impact on its condensed consolidated financial statements.</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improve the transparency of income tax disclosures by requiring consistent categories and greater disaggregation of information within the income tax rate reconciliation and income taxes paid disclosures. It also includes certain other amendments intended to improve the effectiveness of income tax disclosures. Specifically, this ASU requires a tabular income tax rate reconciliation using both percentages and amounts disaggregated into specific categories with certain reconciling items at or above 5% of the statutory tax, further disaggregated by its nature and/or jurisdiction. Additionally, income taxes paid will be required to be presented by federal, state, local and foreign jurisdictions, including amounts paid to individual jurisdictions representing 5% or more of the total income taxes paid. This ASU became effective for the Company on January 1, 2025, at which time it was adopted. The Company will include the required disclosures within its Annual Report on Form 10-K for the year ended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Legislation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8, 2021, the Organisation for Economic Co-operation and Development (‘OECD’) announced an international agreement with more than 140 countries to implement a two-pillar solution to address tax challenges arising from the digitalization of the economy. The agreement introduced rules that would result in the reallocation of certain taxing rights over multinational companies from their home countries to the markets where they have business activities and earn profits, regardless of physical presence (‘Pillar One’) and introduced a global corporate minimum tax of 15% for certain large multinational companies starting in 2024 (‘Pillar Two’). On December 20, 2021, the OECD/G20 Inclusive Framework on Base Erosion and Profit Shifting released the Model Global Anti-Base Erosion (‘GloBE’) rules (the ‘OECD Model Rules’) under Pillar Two. On December 12, 2022, E.U. member states reached an agreement to implement Pillar Two and this agreement requires E.U. member states to enact domestic legislation to put Pillar Two into effect. In 2023, many E.U. countries enacted the necessary legislation (based on the OECD Model Rules) to implement Pillar Two in 2024. Ireland, in particular, enacted Pillar Two legislation by signing Finance (No. 2) Bill 2023 into law in December 2023. Other countries and territories have indicated they will introduce Pillar Two legislation beginning in 2025. The Pillar Two minimum tax is treated as a period cost beginning in 2024 and does not have a material impact on the Company's financial results of operations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ind w:right="840"/>
        <w:spacing w:after="0" w:line="282" w:lineRule="auto"/>
        <w:rPr>
          <w:sz w:val="20"/>
          <w:szCs w:val="20"/>
          <w:color w:val="auto"/>
        </w:rPr>
      </w:pPr>
      <w:r>
        <w:rPr>
          <w:rFonts w:ascii="Times New Roman" w:cs="Times New Roman" w:eastAsia="Times New Roman" w:hAnsi="Times New Roman"/>
          <w:sz w:val="18"/>
          <w:szCs w:val="18"/>
          <w:color w:val="auto"/>
        </w:rPr>
        <w:t>for the periods presented. The Company continues to monitor evolving tax legislation as well as additional guidance to enacted legislation in the jurisdictions in which we operate.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H.R. 1</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4, 2025, the ‘Act to provide for reconciliation pursuant to title II of H. Con. Res. 14’ (‘H.R. 1’) was enacted into law and generally becomes effective on January 1, 2026, with certain exceptions. H.R. 1 included numerous changes to existing tax law affecting businesses, including extending and modifying certain key provisions of the Tax Cuts and Jobs Act of 2017, both domestic and international, expanding certain Investment Retirement Account incentives while accelerating the phase-out of others. The Company will continue to evaluate the overall impact of H.R. 1 and related regulations on our operations and tax positions and does not expect H.R. 1 to have a material impact on its financial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completed acquisitions, including acquisitions of assets, and made contributions to interests in associates accounted for under the equity method of accounting, for combined cash payments of $30 million during the nine months ended September 30, 2025. Additionally, the Company disposed of a business and had disposal price and other adjustments to the prior-year sale of TRANZACT resulting in a gain of $40 million for the nine months ended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1"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tables present revenue by service offering and segment, as well as reconciliations to total revenue for the three and nine months ended September 30, 2025 and 2024. Along with reimbursable expenses and other, total revenue by service offering represents our revenue from customer contracts.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4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Broking</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794</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744</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915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1,006</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Consulting</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28"/>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Outsourced administration</w:t>
            </w:r>
          </w:p>
        </w:tc>
        <w:tc>
          <w:tcPr>
            <w:tcW w:w="5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5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1,253</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1,317</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2,226</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2,223</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1,269</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1,334</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976</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909</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2,240</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2,238</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1,277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943</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2,288</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2,289</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4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Broking</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417</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876</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2,430</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2,264</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2,847</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3,140</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Consulting</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2,261</w:t>
            </w:r>
          </w:p>
        </w:tc>
        <w:tc>
          <w:tcPr>
            <w:tcW w:w="0" w:type="dxa"/>
            <w:vAlign w:val="bottom"/>
          </w:tcPr>
          <w:p>
            <w:pPr>
              <w:spacing w:after="0"/>
              <w:rPr>
                <w:sz w:val="1"/>
                <w:szCs w:val="1"/>
                <w:color w:val="auto"/>
              </w:rPr>
            </w:pPr>
          </w:p>
        </w:tc>
      </w:tr>
      <w:tr>
        <w:trPr>
          <w:trHeight w:val="28"/>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Outsourced administration</w:t>
            </w:r>
          </w:p>
        </w:tc>
        <w:tc>
          <w:tcPr>
            <w:tcW w:w="5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845</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5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3,581</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3,895</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2,801</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top w:val="single" w:sz="8" w:color="auto"/>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6,577</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6,697</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3,632</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3,944</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3,004</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2,810</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6,635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6,752</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3,657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3,973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3,090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2,906</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6,772</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6,895</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-3179445</wp:posOffset>
            </wp:positionV>
            <wp:extent cx="4963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6316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-1756410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-1739265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-1756410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-1739265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-1756410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-1739265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-1756410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-1739265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-1756410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-1739265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-1756410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-1756410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-1739265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-1447800</wp:posOffset>
            </wp:positionV>
            <wp:extent cx="4963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6316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-24765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860" w:hanging="272"/>
        <w:spacing w:after="0" w:line="261" w:lineRule="auto"/>
        <w:tabs>
          <w:tab w:leader="none" w:pos="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6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FF0FC"/>
            </w:tcBorders>
            <w:gridSpan w:val="3"/>
            <w:shd w:val="clear" w:color="auto" w:fill="CFF0FC"/>
          </w:tcPr>
          <w:p>
            <w:pPr>
              <w:jc w:val="right"/>
              <w:ind w:right="436"/>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8"/>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560" w:type="dxa"/>
            <w:vAlign w:val="bottom"/>
          </w:tcPr>
          <w:p>
            <w:pPr>
              <w:jc w:val="right"/>
              <w:ind w:right="436"/>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-144780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-144780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-144780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-144780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-144780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FF0FC"/>
            </w:tcBorders>
            <w:gridSpan w:val="3"/>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Borders>
              <w:bottom w:val="single" w:sz="8" w:color="CFF0FC"/>
            </w:tcBorders>
            <w:gridSpan w:val="3"/>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gridSpan w:val="2"/>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4"/>
                <w:szCs w:val="14"/>
                <w:color w:val="auto"/>
              </w:rPr>
            </w:pPr>
          </w:p>
        </w:tc>
        <w:tc>
          <w:tcPr>
            <w:tcW w:w="540" w:type="dxa"/>
            <w:vAlign w:val="bottom"/>
          </w:tcPr>
          <w:p>
            <w:pPr>
              <w:jc w:val="right"/>
              <w:ind w:right="41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-144780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-144780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-144780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-144780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-144780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following tables present revenue from service offerings by the geography where our work was performed for the three and nine months ended September 30, 2025 and 2024. Reconciliations to total revenue on our condensed consolidated statements of comprehensive income and to segment revenue are shown in the tables above.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719</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830</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365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364</w:t>
            </w:r>
          </w:p>
        </w:tc>
        <w:tc>
          <w:tcPr>
            <w:tcW w:w="620" w:type="dxa"/>
            <w:vAlign w:val="bottom"/>
            <w:tcBorders>
              <w:bottom w:val="single" w:sz="8" w:color="CFF0FC"/>
            </w:tcBorders>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jc w:val="right"/>
              <w:ind w:right="41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1,084</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1,253</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1,317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973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906</w:t>
            </w:r>
          </w:p>
        </w:tc>
        <w:tc>
          <w:tcPr>
            <w:tcW w:w="62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41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-145415</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-145415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-145415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-145415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-145415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2,029</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2,480</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1,092</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1,056</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ind w:right="43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3,122</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3,536</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2,387</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823</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3,581</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3,895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2,995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2,801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560" w:type="dxa"/>
            <w:vAlign w:val="bottom"/>
          </w:tcPr>
          <w:p>
            <w:pPr>
              <w:jc w:val="right"/>
              <w:ind w:right="43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6,577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6,697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-144780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-144780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-144780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-144780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-144780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reports accounts receivable, net on the condensed consolidated balance sheets, which includes billed and unbilled receivables and current contract assets. In addition to accounts receivable, net, the Company had the following non-current contract assets and deferred revenue balances at September 30, 2025 and December 31,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5"/>
                <w:szCs w:val="15"/>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Billed receivables, net of allowance for doubtful accounts of $33 million and $36 million</w:t>
            </w:r>
          </w:p>
        </w:tc>
        <w:tc>
          <w:tcPr>
            <w:tcW w:w="480" w:type="dxa"/>
            <w:vAlign w:val="bottom"/>
            <w:shd w:val="clear" w:color="auto" w:fill="CFF0FC"/>
          </w:tcPr>
          <w:p>
            <w:pPr>
              <w:jc w:val="right"/>
              <w:ind w:right="31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1,538</w:t>
            </w:r>
          </w:p>
        </w:tc>
        <w:tc>
          <w:tcPr>
            <w:tcW w:w="68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4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contract assets</w:t>
            </w: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r>
      <w:tr>
        <w:trPr>
          <w:trHeight w:val="210"/>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tcPr>
          <w:p>
            <w:pPr>
              <w:jc w:val="right"/>
              <w:ind w:right="31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2,189</w:t>
            </w:r>
          </w:p>
        </w:tc>
        <w:tc>
          <w:tcPr>
            <w:tcW w:w="68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2,494</w:t>
            </w:r>
          </w:p>
        </w:tc>
      </w:tr>
      <w:tr>
        <w:trPr>
          <w:trHeight w:val="20"/>
        </w:trPr>
        <w:tc>
          <w:tcPr>
            <w:tcW w:w="8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2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Non-current accounts receivable, net</w:t>
            </w:r>
          </w:p>
        </w:tc>
        <w:tc>
          <w:tcPr>
            <w:tcW w:w="480" w:type="dxa"/>
            <w:vAlign w:val="bottom"/>
            <w:tcBorders>
              <w:bottom w:val="single" w:sz="8" w:color="auto"/>
            </w:tcBorders>
            <w:shd w:val="clear" w:color="auto" w:fill="CFF0FC"/>
          </w:tcPr>
          <w:p>
            <w:pPr>
              <w:jc w:val="right"/>
              <w:ind w:right="31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-462280</wp:posOffset>
            </wp:positionV>
            <wp:extent cx="1200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1200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revenue of $51 million and $513 million, respectively, was recognized that was reflected as deferred revenue at December 31, 2024. During the three months ended September 30, 2025, revenue of $314 million was recognized that was reflected as deferred revenue at June 30,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revenue of $4 million and $5 million, respectively, related to performance obligations satisfied prior to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September 30, 2025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In addition,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has elected not to disclose the remaining performance obligations when one or both of the following circumstances apply:</w:t>
      </w:r>
    </w:p>
    <w:p>
      <w:pPr>
        <w:spacing w:after="0" w:line="52"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2027 onward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expected to be recognized on contracts as of September 30, 2025</w:t>
            </w:r>
          </w:p>
        </w:tc>
        <w:tc>
          <w:tcPr>
            <w:tcW w:w="6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807</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September 30, 2025 have been excluded from the table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Wealth &amp; Career (‘HWC’);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&amp; Broking (‘R&amp;B’).</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WTW’s chief operating decision maker (‘CODM’) is its chief executive officer. We determined that the operational data used by the CODM is at the segment level. Management bases strategic goals and decisions for these segments on the data presented below which is used to assess the adequacy of strategic decisions and the methods of achieving these strategies and related financial results. Management evaluates the performance of its segments and allocates resources to them based on net segment operating income performance and prospects on a pre-tax basis.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segment structure and for internal and segment reporting, WTW segment revenue includes commissions and fees, interest and other income. U.S. GAAP revenue also includes amounts that were directly incurred on behalf of our clients and reimbursed by them (reimbursable expenses), which are not included in segment revenue. There is no significant segment revenue derived from transactions between the segments.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Following the adoption of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(‘ASC 2023-07’),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not presented any individual significant expense categories due to the following factors:</w:t>
      </w:r>
    </w:p>
    <w:p>
      <w:pPr>
        <w:spacing w:after="0" w:line="99" w:lineRule="exact"/>
        <w:rPr>
          <w:sz w:val="20"/>
          <w:szCs w:val="20"/>
          <w:color w:val="auto"/>
        </w:rPr>
      </w:pPr>
    </w:p>
    <w:p>
      <w:pPr>
        <w:ind w:left="760" w:right="38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CODM’s review focuses on segment operating income results in total, rather than on individual expenses to arrive at segment operating income. The CODM uses segment operating income to make decisions and allocate resources.</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 does not regularly review any individual significant expense categories at the segment level. Rather, the segment leaders are tasked with achieving the targeted segment operating income and have discretion to determine how to manage their respective expense categories to achieve the targets set by the CODM.</w:t>
      </w:r>
    </w:p>
    <w:p>
      <w:pPr>
        <w:spacing w:after="0" w:line="67"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Instead, the CODM routinely reviews budgeted, forecasted and actual expense information at the consolidated level only and not at the individual segment level.</w:t>
      </w:r>
    </w:p>
    <w:p>
      <w:pPr>
        <w:spacing w:after="0" w:line="16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Segment operating income excludes certain costs, including (i) amortization of intangibles; (ii) restructuring costs; (iii) certain transaction and transformation expenses; and (iv) to the extent that the actual expense based upon which allocations are made differs from the forecast/budget amount, a reconciling item will be created between internally-allocated expenses and the actual expenses that we report for U.S. GAAP purposes. Although not reviewed individually by the CODM, amounts included in segment expenses may be determined on both a direct and allocated basis and are related to salaries and benefits, depreciation, corporate overhead charges and other operating expenses, including for occupancy, colleague travel costs, legal, marketing, technology, professional fees and professional liability costs.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revenue, segment expenses and segment operating income for our reportable segments for the three months ended September 30, 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auto"/>
            </w:tcBorders>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 excluding interest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1,253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1,320</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979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2,232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2,231</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r>
      <w:tr>
        <w:trPr>
          <w:trHeight w:val="250"/>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2,268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2,268</w:t>
            </w: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1,677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1,726</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43</w:t>
            </w:r>
          </w:p>
        </w:tc>
      </w:tr>
      <w:tr>
        <w:trPr>
          <w:trHeight w:val="24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expense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1,769</w:t>
            </w:r>
          </w:p>
        </w:tc>
      </w:tr>
      <w:tr>
        <w:trPr>
          <w:trHeight w:val="197"/>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2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329</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499</w:t>
            </w: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-916305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-899795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-916305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-899795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-916305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-899795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-916305</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-899795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-916305</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-899795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-334010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-316230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-334010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-316230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-334010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-316230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-334010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-316230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-334010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-316230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-25400</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857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857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857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revenue, segment expenses and segment operating income for our reportable segments for the nine months ended September 30,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auto"/>
            </w:tcBorders>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 excluding interest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3,584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3,898</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3,008</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2,811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6,592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6,709</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112</w:t>
            </w:r>
          </w:p>
        </w:tc>
      </w:tr>
      <w:tr>
        <w:trPr>
          <w:trHeight w:val="250"/>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3,081</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6,687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6,821</w:t>
            </w: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2,890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2,414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2,287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4,974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5,177</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128</w:t>
            </w:r>
          </w:p>
        </w:tc>
      </w:tr>
      <w:tr>
        <w:trPr>
          <w:trHeight w:val="250"/>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expense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2,444</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5,098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5,305</w:t>
            </w: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5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941</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1,589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1,516</w:t>
            </w:r>
          </w:p>
        </w:tc>
      </w:tr>
      <w:tr>
        <w:trPr>
          <w:trHeight w:val="588"/>
        </w:trPr>
        <w:tc>
          <w:tcPr>
            <w:tcW w:w="346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-1799590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-1782445</wp:posOffset>
            </wp:positionV>
            <wp:extent cx="857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-1799590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-1782445</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-1799590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-1782445</wp:posOffset>
            </wp:positionV>
            <wp:extent cx="85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-1799590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-1782445</wp:posOffset>
            </wp:positionV>
            <wp:extent cx="85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-1799590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-1782445</wp:posOffset>
            </wp:positionV>
            <wp:extent cx="857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-1216660</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-1199515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-1216660</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-1199515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-1216660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-1199515</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-1216660</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-1199515</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-1216660</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-1199515</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-908050</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-890905</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-908050</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-890905</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-908050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-890905</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-908050</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-890905</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-908050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-890905</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ind w:right="1120"/>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condensed consolidated statements of comprehensive income amounts reported for the three and nine months ended September 30, 2025 and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40" w:type="dxa"/>
            <w:vAlign w:val="bottom"/>
            <w:gridSpan w:val="5"/>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segment revenue</w:t>
            </w:r>
          </w:p>
        </w:tc>
        <w:tc>
          <w:tcPr>
            <w:tcW w:w="130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2,268</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6,687</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6,821</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5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30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2,288</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6,772</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6,895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30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1,589</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4"/>
                <w:szCs w:val="24"/>
                <w:color w:val="auto"/>
                <w:vertAlign w:val="superscript"/>
              </w:rPr>
              <w:t>(i)</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4"/>
                <w:szCs w:val="24"/>
                <w:color w:val="auto"/>
                <w:vertAlign w:val="superscript"/>
              </w:rPr>
              <w:t>(ii)</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Transaction and transformation </w:t>
            </w:r>
            <w:r>
              <w:rPr>
                <w:rFonts w:ascii="Times New Roman" w:cs="Times New Roman" w:eastAsia="Times New Roman" w:hAnsi="Times New Roman"/>
                <w:sz w:val="24"/>
                <w:szCs w:val="24"/>
                <w:color w:val="auto"/>
                <w:vertAlign w:val="superscript"/>
              </w:rPr>
              <w:t>(iii)</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(iv)</w:t>
            </w:r>
          </w:p>
        </w:tc>
        <w:tc>
          <w:tcPr>
            <w:tcW w:w="5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9"/>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income/(loss), net</w:t>
            </w:r>
          </w:p>
        </w:tc>
        <w:tc>
          <w:tcPr>
            <w:tcW w:w="5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191"/>
        </w:trPr>
        <w:tc>
          <w:tcPr>
            <w:tcW w:w="5240" w:type="dxa"/>
            <w:vAlign w:val="bottom"/>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Income/(loss) from operations before income taxes and interest</w:t>
            </w:r>
          </w:p>
        </w:tc>
        <w:tc>
          <w:tcPr>
            <w:tcW w:w="580" w:type="dxa"/>
            <w:vAlign w:val="bottom"/>
            <w:vMerge w:val="restart"/>
            <w:shd w:val="clear" w:color="auto" w:fill="CFF0FC"/>
          </w:tcPr>
          <w:p>
            <w:pPr>
              <w:spacing w:after="0"/>
              <w:rPr>
                <w:sz w:val="16"/>
                <w:szCs w:val="16"/>
                <w:color w:val="auto"/>
              </w:rPr>
            </w:pPr>
          </w:p>
        </w:tc>
        <w:tc>
          <w:tcPr>
            <w:tcW w:w="720" w:type="dxa"/>
            <w:vAlign w:val="bottom"/>
            <w:vMerge w:val="restart"/>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vMerge w:val="restart"/>
            <w:shd w:val="clear" w:color="auto" w:fill="CFF0FC"/>
          </w:tcPr>
          <w:p>
            <w:pPr>
              <w:spacing w:after="0"/>
              <w:rPr>
                <w:sz w:val="16"/>
                <w:szCs w:val="16"/>
                <w:color w:val="auto"/>
              </w:rPr>
            </w:pPr>
          </w:p>
        </w:tc>
        <w:tc>
          <w:tcPr>
            <w:tcW w:w="38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4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1,006</w:t>
            </w:r>
          </w:p>
        </w:tc>
        <w:tc>
          <w:tcPr>
            <w:tcW w:w="52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14"/>
        </w:trPr>
        <w:tc>
          <w:tcPr>
            <w:tcW w:w="5240" w:type="dxa"/>
            <w:vAlign w:val="bottom"/>
            <w:shd w:val="clear" w:color="auto" w:fill="CFF0FC"/>
          </w:tcPr>
          <w:p>
            <w:pPr>
              <w:ind w:left="240"/>
              <w:spacing w:after="0" w:line="194" w:lineRule="exact"/>
              <w:rPr>
                <w:sz w:val="20"/>
                <w:szCs w:val="20"/>
                <w:color w:val="auto"/>
              </w:rPr>
            </w:pPr>
            <w:r>
              <w:rPr>
                <w:rFonts w:ascii="Times New Roman" w:cs="Times New Roman" w:eastAsia="Times New Roman" w:hAnsi="Times New Roman"/>
                <w:sz w:val="18"/>
                <w:szCs w:val="18"/>
                <w:color w:val="auto"/>
              </w:rPr>
              <w:t>in earnings of associates</w:t>
            </w:r>
          </w:p>
        </w:tc>
        <w:tc>
          <w:tcPr>
            <w:tcW w:w="580" w:type="dxa"/>
            <w:vAlign w:val="bottom"/>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520" w:type="dxa"/>
            <w:vAlign w:val="bottom"/>
            <w:gridSpan w:val="2"/>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-1833880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-1833880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-1833880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-702310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-702310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-702310</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85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non-cash goodwill impairment associated with our Benefits, Delivery and Administration reporting unit related to the sale of our TRANZACT business.</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costs associated with our Transformation program, which concluded during the fourth quarter of 2024.</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legal fees and other transaction costs, includes primarily consulting fees related to the Transformation program (see Note 6 — Restructuring Costs).</w:t>
      </w:r>
    </w:p>
    <w:p>
      <w:pPr>
        <w:spacing w:after="0" w:line="15" w:lineRule="exact"/>
        <w:rPr>
          <w:rFonts w:ascii="Times New Roman" w:cs="Times New Roman" w:eastAsia="Times New Roman" w:hAnsi="Times New Roman"/>
          <w:sz w:val="14"/>
          <w:szCs w:val="14"/>
          <w:color w:val="auto"/>
        </w:rPr>
      </w:pPr>
    </w:p>
    <w:p>
      <w:pPr>
        <w:ind w:left="280" w:right="80" w:hanging="272"/>
        <w:spacing w:after="0" w:line="261" w:lineRule="auto"/>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are our revenue (on the basis of where the work was performed) and tangible long-lived assets for Ireland, our country of domicile, countries with significant concentrations and all other foreign countries as of and for the periods ended as indicated: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19"/>
                <w:szCs w:val="19"/>
                <w:b w:val="1"/>
                <w:bCs w:val="1"/>
                <w:color w:val="auto"/>
                <w:vertAlign w:val="superscript"/>
              </w:rPr>
              <w:t>(i)</w:t>
            </w: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gridSpan w:val="4"/>
          </w:tcPr>
          <w:p>
            <w:pPr>
              <w:jc w:val="right"/>
              <w:ind w:right="43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00" w:type="dxa"/>
            <w:vAlign w:val="bottom"/>
            <w:gridSpan w:val="4"/>
          </w:tcPr>
          <w:p>
            <w:pPr>
              <w:jc w:val="right"/>
              <w:ind w:right="473"/>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3,405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Foreign Countries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6,796</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2,288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2,289</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6,772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6,895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1,166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-316230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-316230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-316230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-316230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-316230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768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76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Tangible long-lived assets consist of fixed assets and right-of-use (‘ROU’) assets.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6 — Restructuring Costs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fourth quarter of 2024, the Company concluded a three-year ‘Transformation program’ designed to enhance operations, optimize technology and align its real estate footprint to its new ways of working. The program incurred cumulative costs of $1.115 billion and capital expenditures of $130 million, resulting in a total investment of $1.245 billion. Although the Transformation program concluded in 2024, we expect additional cash outflows in 2025 from the settlement of accrued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categories of charges were in the following four areas:</w:t>
      </w:r>
    </w:p>
    <w:p>
      <w:pPr>
        <w:spacing w:after="0" w:line="117" w:lineRule="exact"/>
        <w:rPr>
          <w:sz w:val="20"/>
          <w:szCs w:val="20"/>
          <w:color w:val="auto"/>
        </w:rPr>
      </w:pPr>
    </w:p>
    <w:p>
      <w:pPr>
        <w:ind w:left="760" w:right="1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included costs to align the real estate footprint to the new ways of working (hybrid work) as well as breakage fees and the impairment of ROU assets and other related leasehold assets.</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were incurred in moving to common platforms and technologies, including migrating certain platforms and applications to the cloud. This category included the impairment of technology assets that were duplicative or no longer revenue-producing, as well as costs for technology investments that did not qualify for capitalization.</w:t>
      </w:r>
    </w:p>
    <w:p>
      <w:pPr>
        <w:spacing w:after="0" w:line="67" w:lineRule="exact"/>
        <w:rPr>
          <w:rFonts w:ascii="Times New Roman" w:cs="Times New Roman" w:eastAsia="Times New Roman" w:hAnsi="Times New Roman"/>
          <w:sz w:val="18"/>
          <w:szCs w:val="18"/>
          <w:color w:val="auto"/>
        </w:rPr>
      </w:pPr>
    </w:p>
    <w:p>
      <w:pPr>
        <w:ind w:left="760" w:right="40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were incurred in the right-shoring strategy and automation of our operations, which included optimizing resource deployment and appropriate colleague alignment. These costs included process and organizational design costs, severance and separation-related costs and temporary retention costs.</w:t>
      </w:r>
    </w:p>
    <w:p>
      <w:pPr>
        <w:spacing w:after="0" w:line="6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were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xml:space="preserve"> and are included as restructuring costs in the condensed consolidated statements of comprehensive income. Restructuring costs were $8 million and $29 million for the three and nine months ended September 30, 2024, respectively. Other costs incurred under the Transformation program are included in transaction and transformation and were $67 million and $272 million during the three and nine months ended September 30, 2024, respectively.</w:t>
      </w:r>
    </w:p>
    <w:p>
      <w:pPr>
        <w:spacing w:after="0" w:line="18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rollforward of the liability associated with cash-based charges related to restructuring costs associated with the Transformation program, including costs paid and payable following the Transformation program’s conclusion on December 31, 2024,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9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1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rationalization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modernization</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optimization</w:t>
            </w:r>
          </w:p>
        </w:tc>
        <w:tc>
          <w:tcPr>
            <w:tcW w:w="1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Provision for income taxes for the three months ended September 30, 2025 was $77 million compared to a benefit from income taxes of $322 million for the three months ended September 30, 2024. Provision for income taxes for the nine months ended September 30, 2025 was $121 million compared to a benefit from income taxes of $248 million for the nine months ended September 30, 2024. The effective tax rates were 19.7% and 12.0% for the three and nine months ended September 30, 2025, respectively, and 16.1% and 15.6% for the three and nine months ended September 30, 2024, respectively. These effective tax rates are calculated using extended values from our condensed consolidated statements of comprehensive income and are therefore more precise tax rates than can be calculated from rounded values. The prior-year effective tax rate for the three months ended September 30, 2024 was lower due to deferred tax benefits recognized on the gross-up to carrying value of net assets to be disposed and a deferred tax benefit of $56 million, net of a $37 million valuation allowance, on the expected tax loss associated with the sale of our TRANZACT business. The current-year effective tax rate for the nine months ended September 30, 2025 is lower due to favorable discrete tax items, primarily related to provision-to-tax return adjustments.</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records valuation allowances against net deferred tax assets based on whether it is more likely than not that the deferred tax assets will be realized. We have liabilities for uncertain tax positions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$52 million, excluding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ind w:right="120"/>
        <w:spacing w:after="0" w:line="282" w:lineRule="auto"/>
        <w:rPr>
          <w:sz w:val="20"/>
          <w:szCs w:val="20"/>
          <w:color w:val="auto"/>
        </w:rPr>
      </w:pPr>
      <w:r>
        <w:rPr>
          <w:rFonts w:ascii="Times New Roman" w:cs="Times New Roman" w:eastAsia="Times New Roman" w:hAnsi="Times New Roman"/>
          <w:sz w:val="18"/>
          <w:szCs w:val="18"/>
          <w:color w:val="auto"/>
        </w:rPr>
        <w:t>interest and penalties. The Company believes the outcomes that are reasonably possible within the next 12 months may result in a reduction in the liability for uncertain tax positions of approximately $1 million to $24 million, excluding interest and penalties.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are outlined below for the nine months ended September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gross</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7,276</w:t>
            </w:r>
          </w:p>
        </w:tc>
        <w:tc>
          <w:tcPr>
            <w:tcW w:w="10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2,796</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10,072</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 December 31, 2024</w:t>
            </w: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8,799</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acquired</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gross</w:t>
            </w: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10,209</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 September 30, 2025</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6,406</w:t>
            </w:r>
          </w:p>
        </w:tc>
        <w:tc>
          <w:tcPr>
            <w:tcW w:w="10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8,936</w:t>
            </w: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-1010920</wp:posOffset>
            </wp:positionV>
            <wp:extent cx="1028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-1010920</wp:posOffset>
            </wp:positionV>
            <wp:extent cx="1028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102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1028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nine months ended September 30,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Client relationships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40" w:type="dxa"/>
            <w:vAlign w:val="bottom"/>
          </w:tcPr>
          <w:p>
            <w:pPr>
              <w:spacing w:after="0"/>
              <w:rPr>
                <w:sz w:val="13"/>
                <w:szCs w:val="13"/>
                <w:color w:val="auto"/>
              </w:rPr>
            </w:pPr>
          </w:p>
        </w:tc>
        <w:tc>
          <w:tcPr>
            <w:tcW w:w="132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 gross</w:t>
            </w: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3,135</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1,036</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9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 December 31, 2024</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9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 gross</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3,237</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1,041</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5,028</w:t>
            </w: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9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 - September 30, 2025</w:t>
            </w: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562</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622</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-1148080</wp:posOffset>
            </wp:positionV>
            <wp:extent cx="2228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-1148080</wp:posOffset>
            </wp:positionV>
            <wp:extent cx="2146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-1148080</wp:posOffset>
            </wp:positionV>
            <wp:extent cx="2146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-590550</wp:posOffset>
            </wp:positionV>
            <wp:extent cx="2228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-590550</wp:posOffset>
            </wp:positionV>
            <wp:extent cx="2146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-590550</wp:posOffset>
            </wp:positionV>
            <wp:extent cx="2146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2228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22288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2146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2146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2146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2146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at September 30, 2025 was 10.9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remainder of 2025 and for subsequent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4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559</w:t>
            </w: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1,185</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Investments and Note 17 — Accumulated Other Comprehensive Loss.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September 30, 2025 and December 31, 2024 had total notional amounts of $141 million and $176 million, respectively, with a net fair value asset of $3 million and a net fair value liability of $2 million, respectively.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September 30, 2025, the Company estimates, based on current exchange rates, there will be $2 million of net derivative gains on forward exchange rates reclassified from accumulated other comprehensive loss into earnings within the next twelve months as the forecast transactions affect earnings. At September 30, 2025, our longest outstanding maturity was 1.7 years.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condensed consolidated statements of comprehensive income for the three and nine months ended September 30, 2025 and 2024 are below. Amounts pertaining to the ineffective portion of hedging instruments and those excluded from effectiveness testing were immaterial for the three and nine months ended September 30,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6"/>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(Loss)/gain recognized in OCI (effective element)</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3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740" w:type="dxa"/>
            <w:vAlign w:val="bottom"/>
            <w:tcBorders>
              <w:bottom w:val="single" w:sz="8" w:color="auto"/>
            </w:tcBorders>
            <w:gridSpan w:val="4"/>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4"/>
          </w:tcPr>
          <w:p>
            <w:pPr>
              <w:jc w:val="right"/>
              <w:ind w:right="424"/>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80" w:type="dxa"/>
            <w:vAlign w:val="bottom"/>
            <w:tcBorders>
              <w:bottom w:val="single" w:sz="8" w:color="auto"/>
            </w:tcBorders>
          </w:tcPr>
          <w:p>
            <w:pPr>
              <w:jc w:val="right"/>
              <w:ind w:right="1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5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2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7</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-25400</wp:posOffset>
            </wp:positionV>
            <wp:extent cx="1543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1543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1454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1454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1460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1460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124"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4"/>
          <w:szCs w:val="14"/>
          <w:b w:val="1"/>
          <w:bCs w:val="1"/>
          <w:color w:val="auto"/>
        </w:rPr>
        <w:t>Location of gain/(loss) reclassified from Accumulated OCL into income (effective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9400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Gain/(loss) reclassified from Accumulated OCL into income (effective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-4445</wp:posOffset>
            </wp:positionV>
            <wp:extent cx="4037330" cy="1797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037330" cy="17970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4860" w:space="720"/>
            <w:col w:w="5660"/>
          </w:cols>
          <w:pgMar w:left="320" w:top="1143" w:right="339" w:bottom="1440" w:gutter="0" w:footer="0" w:header="0"/>
          <w:type w:val="continuous"/>
        </w:sect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69" w:lineRule="exact"/>
        <w:rPr>
          <w:sz w:val="20"/>
          <w:szCs w:val="20"/>
          <w:color w:val="auto"/>
        </w:rPr>
      </w:pPr>
    </w:p>
    <w:p>
      <w:pPr>
        <w:ind w:left="5400"/>
        <w:spacing w:after="0"/>
        <w:tabs>
          <w:tab w:leader="none" w:pos="70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69" w:lineRule="exact"/>
        <w:rPr>
          <w:sz w:val="20"/>
          <w:szCs w:val="20"/>
          <w:color w:val="auto"/>
        </w:rPr>
      </w:pPr>
    </w:p>
    <w:p>
      <w:pPr>
        <w:ind w:left="12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2" w:lineRule="exact"/>
        <w:rPr>
          <w:sz w:val="20"/>
          <w:szCs w:val="20"/>
          <w:color w:val="auto"/>
        </w:rPr>
      </w:pPr>
    </w:p>
    <w:p>
      <w:pPr>
        <w:sectPr>
          <w:pgSz w:w="11900" w:h="16838" w:orient="portrait"/>
          <w:cols w:equalWidth="0" w:num="2">
            <w:col w:w="7860" w:space="720"/>
            <w:col w:w="266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8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6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benefits</w:t>
            </w:r>
          </w:p>
        </w:tc>
        <w:tc>
          <w:tcPr>
            <w:tcW w:w="6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income/(loss), net</w:t>
            </w:r>
          </w:p>
        </w:tc>
        <w:tc>
          <w:tcPr>
            <w:tcW w:w="6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880" w:type="dxa"/>
            <w:vAlign w:val="bottom"/>
          </w:tcPr>
          <w:p>
            <w:pPr>
              <w:spacing w:after="0"/>
              <w:rPr>
                <w:sz w:val="17"/>
                <w:szCs w:val="17"/>
                <w:color w:val="auto"/>
              </w:rPr>
            </w:pP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4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-170815</wp:posOffset>
            </wp:positionV>
            <wp:extent cx="1543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1454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1460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September 30, 2025 and December 31, 2024, we had notional amounts of $737 million and $1.2 billion, respectively, with net fair value liabilities of $3 million for both periods presented. Such derivatives typically mature within three months.</w:t>
      </w:r>
    </w:p>
    <w:p>
      <w:pPr>
        <w:spacing w:after="0" w:line="1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condensed consolidated statements of comprehensive income for the three and nine months ended September 30, 2025 and 2024 are as follows (see Note 16 — Other Income/(Loss), Net for the net foreign currency impact on the Company’s condensed consolidated statements of comprehensive income which includes the results of the offset of underlying exposures):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(Loss)/gain recognized in income</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gridSpan w:val="4"/>
          </w:tcPr>
          <w:p>
            <w:pPr>
              <w:jc w:val="center"/>
              <w:ind w:left="151"/>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4"/>
          </w:tcPr>
          <w:p>
            <w:pPr>
              <w:jc w:val="center"/>
              <w:ind w:right="304"/>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(loss)/gain</w:t>
            </w: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8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60" w:type="dxa"/>
            <w:vAlign w:val="bottom"/>
            <w:vMerge w:val="restart"/>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6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4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Other income/(loss), net</w:t>
            </w:r>
          </w:p>
        </w:tc>
        <w:tc>
          <w:tcPr>
            <w:tcW w:w="860" w:type="dxa"/>
            <w:vAlign w:val="bottom"/>
            <w:gridSpan w:val="2"/>
            <w:shd w:val="clear" w:color="auto" w:fill="CFF0FC"/>
          </w:tcPr>
          <w:p>
            <w:pPr>
              <w:jc w:val="right"/>
              <w:ind w:right="55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9</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-25400</wp:posOffset>
            </wp:positionV>
            <wp:extent cx="93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939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857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857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857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857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2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2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6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3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Revolving $1.5 billion credit facility </w:t>
            </w:r>
            <w:r>
              <w:rPr>
                <w:rFonts w:ascii="Times New Roman" w:cs="Times New Roman" w:eastAsia="Times New Roman" w:hAnsi="Times New Roman"/>
                <w:sz w:val="24"/>
                <w:szCs w:val="24"/>
                <w:color w:val="auto"/>
                <w:vertAlign w:val="superscript"/>
              </w:rPr>
              <w:t>(i)</w:t>
            </w:r>
          </w:p>
        </w:tc>
        <w:tc>
          <w:tcPr>
            <w:tcW w:w="2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2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2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5.350% senior notes due 2033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2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2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5.900% senior notes due 2054</w:t>
            </w:r>
          </w:p>
        </w:tc>
        <w:tc>
          <w:tcPr>
            <w:tcW w:w="2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19"/>
                <w:szCs w:val="19"/>
                <w:color w:val="auto"/>
              </w:rPr>
            </w:pPr>
          </w:p>
        </w:tc>
        <w:tc>
          <w:tcPr>
            <w:tcW w:w="2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4,763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-2236470</wp:posOffset>
            </wp:positionV>
            <wp:extent cx="1200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2001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The Company’s new $1.5 billion revolving credit facility expires on October 17, 2030 (see Note 20 — Subsequent Event for further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and December 31, 2024,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 and Investments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1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and exchange-traded funds are classified as Level 1 because we use quoted market prices in active markets in determining the fair value of these securities.</w:t>
      </w:r>
    </w:p>
    <w:p>
      <w:pPr>
        <w:spacing w:after="0" w:line="53"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Commingled funds are not leveled within the fair value hierarchy as the funds are valued at the net value of shares held as reported by the manager of the funds. These funds are not exchange-traded.</w:t>
      </w:r>
    </w:p>
    <w:p>
      <w:pPr>
        <w:spacing w:after="0" w:line="53"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67" w:lineRule="exact"/>
        <w:rPr>
          <w:rFonts w:ascii="Times New Roman" w:cs="Times New Roman" w:eastAsia="Times New Roman" w:hAnsi="Times New Roman"/>
          <w:sz w:val="18"/>
          <w:szCs w:val="18"/>
          <w:color w:val="auto"/>
        </w:rPr>
      </w:pPr>
    </w:p>
    <w:p>
      <w:pPr>
        <w:jc w:val="both"/>
        <w:ind w:left="760" w:right="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67" w:lineRule="exact"/>
        <w:rPr>
          <w:rFonts w:ascii="Times New Roman" w:cs="Times New Roman" w:eastAsia="Times New Roman" w:hAnsi="Times New Roman"/>
          <w:sz w:val="18"/>
          <w:szCs w:val="18"/>
          <w:color w:val="auto"/>
        </w:rPr>
      </w:pPr>
    </w:p>
    <w:p>
      <w:pPr>
        <w:ind w:left="760" w:right="40" w:hanging="378"/>
        <w:spacing w:after="0" w:line="26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The following tables present our assets and liabilities measured at fair value on a recurring basis at September 30, 2025 and December 31, 2024:</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Mutual funds/exchange traded funds </w:t>
      </w:r>
      <w:r>
        <w:rPr>
          <w:rFonts w:ascii="Times New Roman" w:cs="Times New Roman" w:eastAsia="Times New Roman" w:hAnsi="Times New Roman"/>
          <w:sz w:val="20"/>
          <w:szCs w:val="20"/>
          <w:color w:val="auto"/>
          <w:vertAlign w:val="superscript"/>
        </w:rPr>
        <w:t>(i)</w:t>
      </w: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 (vi)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Mutual funds/exchange traded funds </w:t>
      </w:r>
      <w:r>
        <w:rPr>
          <w:rFonts w:ascii="Times New Roman" w:cs="Times New Roman" w:eastAsia="Times New Roman" w:hAnsi="Times New Roman"/>
          <w:sz w:val="20"/>
          <w:szCs w:val="20"/>
          <w:color w:val="auto"/>
          <w:vertAlign w:val="superscript"/>
        </w:rPr>
        <w:t>(i)</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ind w:left="80"/>
        <w:spacing w:after="0" w:line="234" w:lineRule="auto"/>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9512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885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4"/>
          <w:szCs w:val="14"/>
          <w:color w:val="auto"/>
        </w:rPr>
        <w:t>assets</w:t>
      </w: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39"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-183515</wp:posOffset>
            </wp:positionV>
            <wp:extent cx="7132320" cy="1885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right="80"/>
        <w:spacing w:after="0" w:line="239"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-18415</wp:posOffset>
            </wp:positionV>
            <wp:extent cx="71323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4"/>
          <w:szCs w:val="14"/>
          <w:color w:val="auto"/>
        </w:rPr>
        <w:t>assets</w:t>
      </w: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49530</wp:posOffset>
            </wp:positionV>
            <wp:extent cx="7132320"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-18415</wp:posOffset>
            </wp:positionV>
            <wp:extent cx="713232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September 30, 2025</w:t>
      </w:r>
    </w:p>
    <w:tbl>
      <w:tblPr>
        <w:tblLayout w:type="fixed"/>
        <w:tblInd w:w="0" w:type="dxa"/>
        <w:tblCellMar>
          <w:top w:w="0" w:type="dxa"/>
          <w:left w:w="0" w:type="dxa"/>
          <w:bottom w:w="0" w:type="dxa"/>
          <w:right w:w="0" w:type="dxa"/>
        </w:tblCellMar>
      </w:tblPr>
      <w:tr>
        <w:trPr>
          <w:trHeight w:val="142"/>
        </w:trPr>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677"/>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r>
      <w:tr>
        <w:trPr>
          <w:trHeight w:val="234"/>
        </w:trPr>
        <w:tc>
          <w:tcPr>
            <w:tcW w:w="140" w:type="dxa"/>
            <w:vAlign w:val="bottom"/>
          </w:tcPr>
          <w:p>
            <w:pPr>
              <w:spacing w:after="0"/>
              <w:rPr>
                <w:sz w:val="20"/>
                <w:szCs w:val="20"/>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423</w:t>
            </w:r>
          </w:p>
        </w:tc>
      </w:tr>
      <w:tr>
        <w:trPr>
          <w:trHeight w:val="297"/>
        </w:trPr>
        <w:tc>
          <w:tcPr>
            <w:tcW w:w="140" w:type="dxa"/>
            <w:vAlign w:val="bottom"/>
          </w:tcPr>
          <w:p>
            <w:pPr>
              <w:spacing w:after="0"/>
              <w:rPr>
                <w:sz w:val="24"/>
                <w:szCs w:val="24"/>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r>
      <w:tr>
        <w:trPr>
          <w:trHeight w:val="297"/>
        </w:trPr>
        <w:tc>
          <w:tcPr>
            <w:tcW w:w="140" w:type="dxa"/>
            <w:vAlign w:val="bottom"/>
          </w:tcPr>
          <w:p>
            <w:pPr>
              <w:spacing w:after="0"/>
              <w:rPr>
                <w:sz w:val="24"/>
                <w:szCs w:val="24"/>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r>
      <w:tr>
        <w:trPr>
          <w:trHeight w:val="513"/>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r>
      <w:tr>
        <w:trPr>
          <w:trHeight w:val="648"/>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r>
      <w:tr>
        <w:trPr>
          <w:trHeight w:val="388"/>
        </w:trPr>
        <w:tc>
          <w:tcPr>
            <w:tcW w:w="140" w:type="dxa"/>
            <w:vAlign w:val="bottom"/>
          </w:tcPr>
          <w:p>
            <w:pPr>
              <w:spacing w:after="0"/>
              <w:rPr>
                <w:sz w:val="24"/>
                <w:szCs w:val="24"/>
                <w:color w:val="auto"/>
              </w:rPr>
            </w:pPr>
          </w:p>
        </w:tc>
        <w:tc>
          <w:tcPr>
            <w:tcW w:w="3340" w:type="dxa"/>
            <w:vAlign w:val="bottom"/>
            <w:gridSpan w:val="9"/>
          </w:tcPr>
          <w:p>
            <w:pPr>
              <w:jc w:val="center"/>
              <w:ind w:left="374"/>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tc>
        <w:tc>
          <w:tcPr>
            <w:tcW w:w="700" w:type="dxa"/>
            <w:vAlign w:val="bottom"/>
          </w:tcPr>
          <w:p>
            <w:pPr>
              <w:spacing w:after="0"/>
              <w:rPr>
                <w:sz w:val="24"/>
                <w:szCs w:val="24"/>
                <w:color w:val="auto"/>
              </w:rPr>
            </w:pPr>
          </w:p>
        </w:tc>
      </w:tr>
      <w:tr>
        <w:trPr>
          <w:trHeight w:val="165"/>
        </w:trPr>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677"/>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1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4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r>
      <w:tr>
        <w:trPr>
          <w:trHeight w:val="513"/>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r>
      <w:tr>
        <w:trPr>
          <w:trHeight w:val="648"/>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bl>
    <w:p>
      <w:pPr>
        <w:spacing w:after="0" w:line="193" w:lineRule="exact"/>
        <w:rPr>
          <w:sz w:val="20"/>
          <w:szCs w:val="20"/>
          <w:color w:val="auto"/>
        </w:rPr>
      </w:pPr>
    </w:p>
    <w:p>
      <w:pPr>
        <w:sectPr>
          <w:pgSz w:w="11900" w:h="16838" w:orient="portrait"/>
          <w:cols w:equalWidth="0" w:num="3">
            <w:col w:w="2820" w:space="720"/>
            <w:col w:w="3220" w:space="300"/>
            <w:col w:w="4180"/>
          </w:cols>
          <w:pgMar w:left="320" w:top="1147" w:right="339" w:bottom="1440" w:gutter="0" w:footer="0" w:header="0"/>
          <w:type w:val="continuous"/>
        </w:sectPr>
      </w:pPr>
    </w:p>
    <w:p>
      <w:pPr>
        <w:ind w:left="280" w:right="200" w:hanging="272"/>
        <w:spacing w:after="0" w:line="251"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exception of the funds included in fiduciary assets, the majority of these balances are held as part of deferred compensation plans with related liabilities in other current liabilities and other non-current liabilities on the condensed consolidated balance sheets.</w:t>
      </w: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Global Equity Focus Fund, for which redemptions can occur on any business day, and require a minimum of one business day’s notice.</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Alternative Credit Fund, for which the redemption period is generally quarterly, however requires a 50-day notice.</w:t>
      </w:r>
    </w:p>
    <w:p>
      <w:pPr>
        <w:spacing w:after="0" w:line="1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 Derivative Financial Instruments for further information on our derivative investments.</w:t>
      </w:r>
    </w:p>
    <w:p>
      <w:pPr>
        <w:spacing w:after="0" w:line="28" w:lineRule="exact"/>
        <w:rPr>
          <w:rFonts w:ascii="Times New Roman" w:cs="Times New Roman" w:eastAsia="Times New Roman" w:hAnsi="Times New Roman"/>
          <w:sz w:val="14"/>
          <w:szCs w:val="14"/>
          <w:color w:val="auto"/>
        </w:rPr>
      </w:pPr>
    </w:p>
    <w:p>
      <w:pPr>
        <w:ind w:left="280" w:right="20" w:hanging="272"/>
        <w:spacing w:after="0" w:line="229"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11.00% and 13.43% at September 30, 2025 and December 31, 2024, respectively. Using different probability weightings and discount rates could result in an increase or decrease of the contingent consideration payable.</w:t>
      </w: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 due to be paid across multiple years until 2029.</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 Unobservable Inputs (Level 3)</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assumed</w:t>
            </w:r>
          </w:p>
        </w:tc>
        <w:tc>
          <w:tcPr>
            <w:tcW w:w="180" w:type="dxa"/>
            <w:vAlign w:val="bottom"/>
          </w:tcPr>
          <w:p>
            <w:pPr>
              <w:spacing w:after="0"/>
              <w:rPr>
                <w:sz w:val="18"/>
                <w:szCs w:val="18"/>
                <w:color w:val="auto"/>
              </w:rPr>
            </w:pPr>
          </w:p>
        </w:tc>
        <w:tc>
          <w:tcPr>
            <w:tcW w:w="1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24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Realized and unrealized losses </w:t>
            </w:r>
            <w:r>
              <w:rPr>
                <w:rFonts w:ascii="Times New Roman" w:cs="Times New Roman" w:eastAsia="Times New Roman" w:hAnsi="Times New Roman"/>
                <w:sz w:val="24"/>
                <w:szCs w:val="24"/>
                <w:color w:val="auto"/>
                <w:vertAlign w:val="superscript"/>
              </w:rPr>
              <w:t>(i)</w:t>
            </w:r>
          </w:p>
        </w:tc>
        <w:tc>
          <w:tcPr>
            <w:tcW w:w="180" w:type="dxa"/>
            <w:vAlign w:val="bottom"/>
          </w:tcPr>
          <w:p>
            <w:pPr>
              <w:spacing w:after="0"/>
              <w:rPr>
                <w:sz w:val="18"/>
                <w:szCs w:val="18"/>
                <w:color w:val="auto"/>
              </w:rPr>
            </w:pPr>
          </w:p>
        </w:tc>
        <w:tc>
          <w:tcPr>
            <w:tcW w:w="1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720" w:hanging="272"/>
        <w:spacing w:after="0" w:line="261" w:lineRule="auto"/>
        <w:tabs>
          <w:tab w:leader="none" w:pos="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00" w:lineRule="exact"/>
        <w:rPr>
          <w:sz w:val="20"/>
          <w:szCs w:val="20"/>
          <w:color w:val="auto"/>
        </w:rPr>
      </w:pPr>
    </w:p>
    <w:p>
      <w:pPr>
        <w:ind w:right="4020"/>
        <w:spacing w:after="0" w:line="438" w:lineRule="auto"/>
        <w:rPr>
          <w:sz w:val="20"/>
          <w:szCs w:val="20"/>
          <w:color w:val="auto"/>
        </w:rPr>
      </w:pPr>
      <w:r>
        <w:rPr>
          <w:rFonts w:ascii="Times New Roman" w:cs="Times New Roman" w:eastAsia="Times New Roman" w:hAnsi="Times New Roman"/>
          <w:sz w:val="18"/>
          <w:szCs w:val="18"/>
          <w:color w:val="auto"/>
        </w:rPr>
        <w:t xml:space="preserve">There were no significant transfers to or from Level 3 in the nine months ended September 30, 2025 </w:t>
      </w:r>
      <w:r>
        <w:rPr>
          <w:rFonts w:ascii="Times New Roman" w:cs="Times New Roman" w:eastAsia="Times New Roman" w:hAnsi="Times New Roman"/>
          <w:sz w:val="18"/>
          <w:szCs w:val="18"/>
          <w:b w:val="1"/>
          <w:bCs w:val="1"/>
          <w:color w:val="auto"/>
        </w:rPr>
        <w:t>Held-to-Maturity Securities</w:t>
      </w:r>
    </w:p>
    <w:p>
      <w:pPr>
        <w:spacing w:after="0" w:line="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invested $50 million in debt securities, which it intends to hold to maturity. The following table summarizes the types of holdings and related values:</w:t>
      </w:r>
    </w:p>
    <w:p>
      <w:pPr>
        <w:spacing w:after="0" w:line="164" w:lineRule="exact"/>
        <w:rPr>
          <w:sz w:val="20"/>
          <w:szCs w:val="20"/>
          <w:color w:val="auto"/>
        </w:rPr>
      </w:pPr>
    </w:p>
    <w:p>
      <w:pPr>
        <w:spacing w:after="0"/>
        <w:tabs>
          <w:tab w:leader="none" w:pos="9460" w:val="left"/>
        </w:tabs>
        <w:rPr>
          <w:sz w:val="20"/>
          <w:szCs w:val="20"/>
          <w:color w:val="auto"/>
        </w:rPr>
      </w:pPr>
      <w:r>
        <w:rPr>
          <w:rFonts w:ascii="Times New Roman" w:cs="Times New Roman" w:eastAsia="Times New Roman" w:hAnsi="Times New Roman"/>
          <w:sz w:val="16"/>
          <w:szCs w:val="16"/>
          <w:b w:val="1"/>
          <w:bCs w:val="1"/>
          <w:color w:val="auto"/>
        </w:rPr>
        <w:t>Held-to-Maturity Securities</w:t>
      </w:r>
      <w:r>
        <w:rPr>
          <w:sz w:val="20"/>
          <w:szCs w:val="20"/>
          <w:color w:val="auto"/>
        </w:rPr>
        <w:tab/>
      </w:r>
      <w:r>
        <w:rPr>
          <w:rFonts w:ascii="Times New Roman" w:cs="Times New Roman" w:eastAsia="Times New Roman" w:hAnsi="Times New Roman"/>
          <w:sz w:val="16"/>
          <w:szCs w:val="16"/>
          <w:b w:val="1"/>
          <w:bCs w:val="1"/>
          <w:color w:val="auto"/>
        </w:rPr>
        <w:t>Corporate securities</w:t>
      </w:r>
    </w:p>
    <w:p>
      <w:pPr>
        <w:sectPr>
          <w:pgSz w:w="11900" w:h="16838" w:orient="portrait"/>
          <w:cols w:equalWidth="0" w:num="1">
            <w:col w:w="11240"/>
          </w:cols>
          <w:pgMar w:left="320" w:top="1147" w:right="339" w:bottom="1440" w:gutter="0" w:footer="0" w:header="0"/>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cost basis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carrying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unrealized gains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unrealized losses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fair value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900" w:type="dxa"/>
            <w:vAlign w:val="bottom"/>
            <w:tcBorders>
              <w:top w:val="single" w:sz="8" w:color="auto"/>
            </w:tcBorders>
          </w:tcPr>
          <w:p>
            <w:pPr>
              <w:jc w:val="right"/>
              <w:ind w:right="7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50</w:t>
            </w:r>
          </w:p>
        </w:tc>
      </w:tr>
      <w:tr>
        <w:trPr>
          <w:trHeight w:val="234"/>
        </w:trPr>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900" w:type="dxa"/>
            <w:vAlign w:val="bottom"/>
          </w:tcPr>
          <w:p>
            <w:pPr>
              <w:spacing w:after="0"/>
              <w:rPr>
                <w:sz w:val="16"/>
                <w:szCs w:val="16"/>
                <w:color w:val="auto"/>
              </w:rPr>
            </w:pPr>
          </w:p>
        </w:tc>
        <w:tc>
          <w:tcPr>
            <w:tcW w:w="11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50</w:t>
            </w:r>
          </w:p>
        </w:tc>
      </w:tr>
      <w:tr>
        <w:trPr>
          <w:trHeight w:val="216"/>
        </w:trPr>
        <w:tc>
          <w:tcPr>
            <w:tcW w:w="9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-864870</wp:posOffset>
            </wp:positionV>
            <wp:extent cx="713232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-582295</wp:posOffset>
            </wp:positionV>
            <wp:extent cx="713232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-307975</wp:posOffset>
            </wp:positionV>
            <wp:extent cx="7132320"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8520" w:space="720"/>
            <w:col w:w="2000"/>
          </w:cols>
          <w:pgMar w:left="320" w:top="114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has assets that may be required to be recorded at fair value on a non-recurring basis. These assets are evaluated when certain triggering events occur (including the planned disposal of a business or a decrease in estimated future cash flows) that indicate their carrying amounts may not be recoverable.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not measured at fair value on a recurring basis at September 30, 2025 and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4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Note receivable </w:t>
            </w:r>
            <w:r>
              <w:rPr>
                <w:rFonts w:ascii="Times New Roman" w:cs="Times New Roman" w:eastAsia="Times New Roman" w:hAnsi="Times New Roman"/>
                <w:sz w:val="24"/>
                <w:szCs w:val="24"/>
                <w:color w:val="auto"/>
                <w:vertAlign w:val="superscript"/>
              </w:rPr>
              <w:t>(i)</w:t>
            </w:r>
          </w:p>
        </w:tc>
        <w:tc>
          <w:tcPr>
            <w:tcW w:w="1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in one year or less</w:t>
            </w:r>
          </w:p>
        </w:tc>
        <w:tc>
          <w:tcPr>
            <w:tcW w:w="1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19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in greater than five years</w:t>
            </w:r>
          </w:p>
        </w:tc>
        <w:tc>
          <w:tcPr>
            <w:tcW w:w="1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debt</w:t>
            </w:r>
          </w:p>
        </w:tc>
        <w:tc>
          <w:tcPr>
            <w:tcW w:w="1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550</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9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4,763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4,653</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5,309</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The note receivable was settled with the Company on April 30, 2025.</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held-to-maturity securities are considered Level 1 financial instruments as they are based on quoted market prices in active markets. The fair values of our respective senior notes and short-term note receivable are considered Level 2 financial instruments as they are corroborated by observable market data.</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12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(Income)/Cost for Defined Benefit Pension Plans</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net periodic benefit (income)/cost for the Company’s defined benefit pension plans for the three and nine months ended September 30, 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72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6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Settlements</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net loss</w:t>
            </w:r>
          </w:p>
        </w:tc>
        <w:tc>
          <w:tcPr>
            <w:tcW w:w="6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periodic benefit cost/(income)</w:t>
            </w: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r>
        <w:trPr>
          <w:trHeight w:val="426"/>
        </w:trPr>
        <w:tc>
          <w:tcPr>
            <w:tcW w:w="4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72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74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6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Settlements</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net loss</w:t>
            </w:r>
          </w:p>
        </w:tc>
        <w:tc>
          <w:tcPr>
            <w:tcW w:w="6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periodic benefit (income)/cost</w:t>
            </w: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-1456690</wp:posOffset>
            </wp:positionV>
            <wp:extent cx="768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-1439545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-1456690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-1439545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-1456690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-1439545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-1456690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-1439545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-1456690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-1439545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 to Defined Benefit Pension Plans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did not make any contributions to its U.S. plans during the nine months ended September 30, 2025 and currently does not anticipate making contributions over the remainder of the fiscal year. The Company made contributions of $1 million to its U.K. plans for the nine months ended September 30, 2025 and anticipates making additional contributions of $1 million for the remainder of the fiscal year. The Company made contributions of $6 million to its other plans for the nine months ended September 30, 2025 and anticipates making additional contributions of less than $1 million for the remainder of the fiscal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Annuity Purchase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2025, the Company’s Willis Towers Watson Pension Plan for U.S. Employees, a qualified pension plan (‘the Plan’), purchased a nonparticipating single premium group annuity contract from a third-party insurance company and irrevocably transferred to that insurance company approximately $423 million of the Plan’s defined benefit pension obligations and related plan assets, thereby reducing the pension obligations and assets of the Plan by this same amount. The group annuity contract was purchased using assets of the Plan and no additional funding contribution was required by the Company. As a result of this transaction, WTW recognized a one-time, non-cash pre-tax pension settlement charge of $82 million in the first quarter of 2025, attributable to the accelerated recognition of accumulated actuarial losses of the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had defined contribution plan expense of $39 million and $120 million during the three and nine months ended September 30, 2025, respectively, and $43 million and $128 million during the three and nine months ended September 30, 2024,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lease costs recorded on our condensed consolidated statements of comprehensive income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040" w:type="dxa"/>
            <w:vAlign w:val="bottom"/>
          </w:tcPr>
          <w:p>
            <w:pPr>
              <w:spacing w:after="0"/>
              <w:rPr>
                <w:sz w:val="17"/>
                <w:szCs w:val="17"/>
                <w:color w:val="auto"/>
              </w:rPr>
            </w:pPr>
          </w:p>
        </w:tc>
        <w:tc>
          <w:tcPr>
            <w:tcW w:w="23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4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r>
      <w:tr>
        <w:trPr>
          <w:trHeight w:val="216"/>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34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4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lease cost, net</w:t>
            </w:r>
          </w:p>
        </w:tc>
        <w:tc>
          <w:tcPr>
            <w:tcW w:w="1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857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857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total lease cost is recognized in different locations in our condensed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$4 million and $21 million incurred during the three and nine months ended September 30, 2024, respectively, that were included in restructuring costs (see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Restructuring Costs) that primarily related to the acceleration of amortization of certain abandoned ROU assets and the payment of early termination fees.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WTW has various agreements with third parties pursuant to which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completed sale of the TRANZACT business. It is not possible to predict the maximum potential amount of future payments that may become due under these indemnification agreements because of the conditional nature of the Company’s obligations, the limited history of prior indemnification claims, and the unique facts of each particular agreement and each indemnification provision therein (even where such indemnification provisions are subject to a maximum liability limit). As of September 30, 2025, we have not incurred a material loss with respect to the indemnification of such third parties. In addition, as of September 30, 2025, we do not believe that any potential liability that may arise from such indemnity obligations is probable or will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Supplementary Information for Certain Balance Sheet Accounts for the amounts accrued at September 30, 2025 and December 31, 2024 in the condensed consolidated balance sheets.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27"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 xml:space="preserve">The Company provides for contingent liabilities based 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when it is determined that a liability, inclusive of defense costs, is probable and reasonably estimable. The contingent liabilities recorded are primarily developed actuarially. Litigation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6" w:name="page27"/>
    <w:bookmarkEnd w:id="26"/>
    <w:p>
      <w:pPr>
        <w:ind w:right="40"/>
        <w:spacing w:after="0" w:line="282" w:lineRule="auto"/>
        <w:rPr>
          <w:sz w:val="20"/>
          <w:szCs w:val="20"/>
          <w:color w:val="auto"/>
        </w:rPr>
      </w:pPr>
      <w:r>
        <w:rPr>
          <w:rFonts w:ascii="Times New Roman" w:cs="Times New Roman" w:eastAsia="Times New Roman" w:hAnsi="Times New Roman"/>
          <w:sz w:val="18"/>
          <w:szCs w:val="18"/>
          <w:color w:val="auto"/>
        </w:rPr>
        <w:t>is subject to many factors which are difficult to predict so there can be no assurance that in the event of a material unfavorable result in one or more claims, we will not incur material costs.</w:t>
      </w:r>
    </w:p>
    <w:p>
      <w:pPr>
        <w:spacing w:after="0" w:line="104" w:lineRule="exact"/>
        <w:rPr>
          <w:sz w:val="20"/>
          <w:szCs w:val="20"/>
          <w:color w:val="auto"/>
        </w:rPr>
      </w:pPr>
    </w:p>
    <w:p>
      <w:pPr>
        <w:ind w:right="542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Note 15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 Prepaid and other current assets consist of the following:</w:t>
      </w:r>
    </w:p>
    <w:tbl>
      <w:tblPr>
        <w:tblLayout w:type="fixed"/>
        <w:tblInd w:w="0" w:type="dxa"/>
        <w:tblCellMar>
          <w:top w:w="0" w:type="dxa"/>
          <w:left w:w="0" w:type="dxa"/>
          <w:bottom w:w="0" w:type="dxa"/>
          <w:right w:w="0" w:type="dxa"/>
        </w:tblCellMar>
      </w:tblPr>
      <w:tr>
        <w:trPr>
          <w:trHeight w:val="154"/>
        </w:trPr>
        <w:tc>
          <w:tcPr>
            <w:tcW w:w="5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and investments</w:t>
            </w:r>
          </w:p>
        </w:tc>
        <w:tc>
          <w:tcPr>
            <w:tcW w:w="2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income and other taxes</w:t>
            </w:r>
          </w:p>
        </w:tc>
        <w:tc>
          <w:tcPr>
            <w:tcW w:w="2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Earnout receivable</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note receivable</w:t>
            </w:r>
          </w:p>
        </w:tc>
        <w:tc>
          <w:tcPr>
            <w:tcW w:w="2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570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413"/>
        </w:trPr>
        <w:tc>
          <w:tcPr>
            <w:tcW w:w="5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tc>
        <w:tc>
          <w:tcPr>
            <w:tcW w:w="26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associates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recovery receivables</w:t>
            </w:r>
          </w:p>
        </w:tc>
        <w:tc>
          <w:tcPr>
            <w:tcW w:w="2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942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358"/>
        </w:trPr>
        <w:tc>
          <w:tcPr>
            <w:tcW w:w="5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revenue and accrued expenses consist of the following:</w:t>
            </w:r>
          </w:p>
        </w:tc>
        <w:tc>
          <w:tcPr>
            <w:tcW w:w="26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1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w:t>
            </w:r>
          </w:p>
        </w:tc>
        <w:tc>
          <w:tcPr>
            <w:tcW w:w="2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962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discretionary and incentive compensation</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401(k) contributions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employee-related liabilities</w:t>
            </w:r>
          </w:p>
        </w:tc>
        <w:tc>
          <w:tcPr>
            <w:tcW w:w="26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 and accrued expenses</w:t>
            </w:r>
          </w:p>
        </w:tc>
        <w:tc>
          <w:tcPr>
            <w:tcW w:w="2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1,868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2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0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1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2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provisions</w:t>
            </w:r>
          </w:p>
        </w:tc>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2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588"/>
        </w:trPr>
        <w:tc>
          <w:tcPr>
            <w:tcW w:w="5100" w:type="dxa"/>
            <w:vAlign w:val="bottom"/>
            <w:tcBorders>
              <w:top w:val="single" w:sz="8" w:color="CFF0FC"/>
            </w:tcBorders>
          </w:tcPr>
          <w:p>
            <w:pPr>
              <w:spacing w:after="0"/>
              <w:rPr>
                <w:sz w:val="24"/>
                <w:szCs w:val="24"/>
                <w:color w:val="auto"/>
              </w:rPr>
            </w:pPr>
          </w:p>
        </w:tc>
        <w:tc>
          <w:tcPr>
            <w:tcW w:w="262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-5417185</wp:posOffset>
            </wp:positionV>
            <wp:extent cx="120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-5400040</wp:posOffset>
            </wp:positionV>
            <wp:extent cx="12001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-3265170</wp:posOffset>
            </wp:positionV>
            <wp:extent cx="1200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-3248025</wp:posOffset>
            </wp:positionV>
            <wp:extent cx="1200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-2022475</wp:posOffset>
            </wp:positionV>
            <wp:extent cx="12001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-908050</wp:posOffset>
            </wp:positionV>
            <wp:extent cx="12001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-890905</wp:posOffset>
            </wp:positionV>
            <wp:extent cx="12001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51" w:lineRule="exact"/>
        <w:rPr>
          <w:sz w:val="20"/>
          <w:szCs w:val="20"/>
          <w:color w:val="auto"/>
        </w:rPr>
      </w:pPr>
    </w:p>
    <w:p>
      <w:pPr>
        <w:jc w:val="right"/>
        <w:ind w:right="48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ind w:left="836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98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Deferred and long-term compensation plan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for uncertain tax positions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non-current liabilities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Other Income/(Loss),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income/(loss), net consists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900" w:type="dxa"/>
        <w:tblCellMar>
          <w:top w:w="0" w:type="dxa"/>
          <w:left w:w="0" w:type="dxa"/>
          <w:bottom w:w="0" w:type="dxa"/>
          <w:right w:w="0" w:type="dxa"/>
        </w:tblCellMar>
      </w:tblP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171"/>
        </w:trPr>
        <w:tc>
          <w:tcPr>
            <w:tcW w:w="680" w:type="dxa"/>
            <w:vAlign w:val="bottom"/>
            <w:gridSpan w:val="2"/>
          </w:tcPr>
          <w:p>
            <w:pPr>
              <w:jc w:val="right"/>
              <w:ind w:right="544"/>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50"/>
              <w:spacing w:after="0" w:line="171" w:lineRule="exact"/>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2"/>
          </w:tcPr>
          <w:p>
            <w:pPr>
              <w:jc w:val="right"/>
              <w:ind w:right="516"/>
              <w:spacing w:after="0" w:line="17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98</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r>
      <w:tr>
        <w:trPr>
          <w:trHeight w:val="209"/>
        </w:trPr>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-993775</wp:posOffset>
            </wp:positionV>
            <wp:extent cx="713232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-719455</wp:posOffset>
            </wp:positionV>
            <wp:extent cx="713232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-445135</wp:posOffset>
            </wp:positionV>
            <wp:extent cx="713232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-162560</wp:posOffset>
            </wp:positionV>
            <wp:extent cx="7132320" cy="1631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6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p>
    <w:p>
      <w:pPr>
        <w:sectPr>
          <w:pgSz w:w="11900" w:h="16838" w:orient="portrait"/>
          <w:cols w:equalWidth="0" w:num="2">
            <w:col w:w="5100" w:space="720"/>
            <w:col w:w="542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190"/>
        </w:trPr>
        <w:tc>
          <w:tcPr>
            <w:tcW w:w="5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Gain/(loss) on disposal of operations</w:t>
            </w:r>
          </w:p>
        </w:tc>
        <w:tc>
          <w:tcPr>
            <w:tcW w:w="520" w:type="dxa"/>
            <w:vAlign w:val="bottom"/>
            <w:shd w:val="clear" w:color="auto" w:fill="CFF0FC"/>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(1,190)</w:t>
            </w:r>
          </w:p>
        </w:tc>
        <w:tc>
          <w:tcPr>
            <w:tcW w:w="140" w:type="dxa"/>
            <w:vAlign w:val="bottom"/>
            <w:shd w:val="clear" w:color="auto" w:fill="CCEEFF"/>
          </w:tcPr>
          <w:p>
            <w:pPr>
              <w:spacing w:after="0"/>
              <w:rPr>
                <w:sz w:val="16"/>
                <w:szCs w:val="16"/>
                <w:color w:val="auto"/>
              </w:rPr>
            </w:pPr>
          </w:p>
        </w:tc>
        <w:tc>
          <w:tcPr>
            <w:tcW w:w="500" w:type="dxa"/>
            <w:vAlign w:val="bottom"/>
            <w:shd w:val="clear" w:color="auto" w:fill="CFF0FC"/>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520" w:type="dxa"/>
            <w:vAlign w:val="bottom"/>
            <w:gridSpan w:val="2"/>
            <w:shd w:val="clear" w:color="auto" w:fill="CFF0FC"/>
          </w:tcPr>
          <w:p>
            <w:pPr>
              <w:jc w:val="right"/>
              <w:ind w:right="3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(1,190)</w:t>
            </w:r>
          </w:p>
        </w:tc>
      </w:tr>
      <w:tr>
        <w:trPr>
          <w:trHeight w:val="216"/>
        </w:trPr>
        <w:tc>
          <w:tcPr>
            <w:tcW w:w="5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periodic pension and postretirement benefit credits/(costs) </w:t>
            </w:r>
            <w:r>
              <w:rPr>
                <w:rFonts w:ascii="Times New Roman" w:cs="Times New Roman" w:eastAsia="Times New Roman" w:hAnsi="Times New Roman"/>
                <w:sz w:val="24"/>
                <w:szCs w:val="24"/>
                <w:color w:val="auto"/>
                <w:vertAlign w:val="superscript"/>
              </w:rPr>
              <w:t>(i)</w:t>
            </w:r>
          </w:p>
        </w:tc>
        <w:tc>
          <w:tcPr>
            <w:tcW w:w="5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Foreign exchange (loss)/gain </w:t>
            </w:r>
            <w:r>
              <w:rPr>
                <w:rFonts w:ascii="Times New Roman" w:cs="Times New Roman" w:eastAsia="Times New Roman" w:hAnsi="Times New Roman"/>
                <w:sz w:val="24"/>
                <w:szCs w:val="24"/>
                <w:color w:val="auto"/>
                <w:vertAlign w:val="superscript"/>
              </w:rPr>
              <w:t>(ii)</w:t>
            </w:r>
          </w:p>
        </w:tc>
        <w:tc>
          <w:tcPr>
            <w:tcW w:w="5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2025, includes a pension settlement charge of $82 million. See Note 12 — Retirement Benefits.</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offsetting effects of the Company's foreign currency hedging program. See Note 9 — Derivative Financial Instruments.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17 — Accumulated Other Comprehensive Loss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Changes in accumulated other comprehensive loss, net of non-controlling interests, and net of tax are provided in the following table for the three and nine months ended September 30, 2025 and 2024. This table excludes amounts attributable to non-controlling interests, which are not material for further disclosure.</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C2C2C"/>
        </w:rPr>
        <w:t>Quarter-to-date activity:</w:t>
      </w:r>
    </w:p>
    <w:p>
      <w:pPr>
        <w:spacing w:after="0" w:line="42"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14"/>
          <w:szCs w:val="14"/>
          <w:color w:val="2C2C2C"/>
        </w:rPr>
        <w:t>Balance at June 30, 2025 and 2024, respectively Other comprehensive (loss)/income before</w:t>
      </w:r>
    </w:p>
    <w:p>
      <w:pPr>
        <w:ind w:left="120"/>
        <w:spacing w:after="0" w:line="222" w:lineRule="auto"/>
        <w:rPr>
          <w:sz w:val="20"/>
          <w:szCs w:val="20"/>
          <w:color w:val="auto"/>
        </w:rPr>
      </w:pPr>
      <w:r>
        <w:rPr>
          <w:rFonts w:ascii="Times New Roman" w:cs="Times New Roman" w:eastAsia="Times New Roman" w:hAnsi="Times New Roman"/>
          <w:sz w:val="14"/>
          <w:szCs w:val="14"/>
          <w:color w:val="2C2C2C"/>
        </w:rPr>
        <w:t>reclassifications</w:t>
      </w:r>
    </w:p>
    <w:p>
      <w:pPr>
        <w:ind w:left="120" w:right="240" w:hanging="107"/>
        <w:spacing w:after="0" w:line="233" w:lineRule="auto"/>
        <w:rPr>
          <w:sz w:val="20"/>
          <w:szCs w:val="20"/>
          <w:color w:val="auto"/>
        </w:rPr>
      </w:pPr>
      <w:r>
        <w:rPr>
          <w:rFonts w:ascii="Times New Roman" w:cs="Times New Roman" w:eastAsia="Times New Roman" w:hAnsi="Times New Roman"/>
          <w:sz w:val="14"/>
          <w:szCs w:val="14"/>
          <w:color w:val="2C2C2C"/>
        </w:rPr>
        <w:t>(Gain)/loss reclassified from accumulated other comprehensive loss (net of income tax benefit of $6 and $5, respectively)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C2C2C"/>
        </w:rPr>
        <w:t>Net current-period other comprehensive (loss)/income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C2C2C"/>
        </w:rPr>
        <w:t>Balance at September 30, 2025 and 2024, respectively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C2C2C"/>
        </w:rPr>
        <w:t>Year-to-date activity:</w:t>
      </w:r>
    </w:p>
    <w:p>
      <w:pPr>
        <w:spacing w:after="0" w:line="42"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2C2C2C"/>
        </w:rPr>
        <w:t>Balance at December 31, 2024 and 2023, respectively Other comprehensive income before</w:t>
      </w:r>
    </w:p>
    <w:p>
      <w:pPr>
        <w:ind w:left="120"/>
        <w:spacing w:after="0" w:line="222" w:lineRule="auto"/>
        <w:rPr>
          <w:sz w:val="20"/>
          <w:szCs w:val="20"/>
          <w:color w:val="auto"/>
        </w:rPr>
      </w:pPr>
      <w:r>
        <w:rPr>
          <w:rFonts w:ascii="Times New Roman" w:cs="Times New Roman" w:eastAsia="Times New Roman" w:hAnsi="Times New Roman"/>
          <w:sz w:val="14"/>
          <w:szCs w:val="14"/>
          <w:color w:val="2C2C2C"/>
        </w:rPr>
        <w:t>reclassifications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2C2C2C"/>
              </w:rPr>
              <w:t>Foreign currency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2C2C2C"/>
              </w:rPr>
              <w:t>Derivative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2C2C2C"/>
              </w:rPr>
              <w:t>Defined pension and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4"/>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2C2C2C"/>
              </w:rPr>
              <w:t>post-retirement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C2C2C"/>
              </w:rPr>
              <w:t>Total</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2C2C2C"/>
              </w:rPr>
              <w:t>translation</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24"/>
              <w:spacing w:after="0" w:line="175" w:lineRule="exact"/>
              <w:rPr>
                <w:sz w:val="20"/>
                <w:szCs w:val="20"/>
                <w:color w:val="auto"/>
              </w:rPr>
            </w:pPr>
            <w:r>
              <w:rPr>
                <w:rFonts w:ascii="Times New Roman" w:cs="Times New Roman" w:eastAsia="Times New Roman" w:hAnsi="Times New Roman"/>
                <w:sz w:val="14"/>
                <w:szCs w:val="14"/>
                <w:b w:val="1"/>
                <w:bCs w:val="1"/>
                <w:color w:val="2C2C2C"/>
              </w:rPr>
              <w:t xml:space="preserve">instruments </w:t>
            </w:r>
            <w:r>
              <w:rPr>
                <w:rFonts w:ascii="Times New Roman" w:cs="Times New Roman" w:eastAsia="Times New Roman" w:hAnsi="Times New Roman"/>
                <w:sz w:val="19"/>
                <w:szCs w:val="19"/>
                <w:b w:val="1"/>
                <w:bCs w:val="1"/>
                <w:color w:val="2C2C2C"/>
                <w:vertAlign w:val="superscript"/>
              </w:rPr>
              <w:t>(i)</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2C2C2C"/>
              </w:rPr>
              <w:t>benefit costs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2C2C2C"/>
                <w:w w:val="99"/>
              </w:rPr>
              <w:t>2024</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C2C2C"/>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2C2C2C"/>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2C2C2C"/>
              </w:rPr>
              <w:t>2024</w:t>
            </w:r>
          </w:p>
        </w:tc>
        <w:tc>
          <w:tcPr>
            <w:tcW w:w="0" w:type="dxa"/>
            <w:vAlign w:val="bottom"/>
          </w:tcPr>
          <w:p>
            <w:pPr>
              <w:spacing w:after="0"/>
              <w:rPr>
                <w:sz w:val="1"/>
                <w:szCs w:val="1"/>
                <w:color w:val="auto"/>
              </w:rPr>
            </w:pPr>
          </w:p>
        </w:tc>
      </w:tr>
      <w:tr>
        <w:trPr>
          <w:trHeight w:val="406"/>
        </w:trPr>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C2C2C"/>
              </w:rPr>
              <w:t>(704)</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(909)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C2C2C"/>
              </w:rPr>
              <w:t>14</w:t>
            </w:r>
          </w:p>
        </w:tc>
        <w:tc>
          <w:tcPr>
            <w:tcW w:w="620" w:type="dxa"/>
            <w:vAlign w:val="bottom"/>
            <w:gridSpan w:val="2"/>
          </w:tcPr>
          <w:p>
            <w:pPr>
              <w:jc w:val="right"/>
              <w:ind w:right="364"/>
              <w:spacing w:after="0"/>
              <w:rPr>
                <w:sz w:val="20"/>
                <w:szCs w:val="20"/>
                <w:color w:val="auto"/>
              </w:rPr>
            </w:pPr>
            <w:r>
              <w:rPr>
                <w:rFonts w:ascii="Times New Roman" w:cs="Times New Roman" w:eastAsia="Times New Roman" w:hAnsi="Times New Roman"/>
                <w:sz w:val="16"/>
                <w:szCs w:val="16"/>
                <w:color w:val="2C2C2C"/>
              </w:rPr>
              <w:t>$</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w w:val="99"/>
              </w:rPr>
              <w:t>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(2,016)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(2,023)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(2,706)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(2,921)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C2C2C"/>
              </w:rPr>
              <w:t>(20)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C2C2C"/>
              </w:rPr>
              <w:t>94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C2C2C"/>
              </w:rPr>
              <w:t>96</w:t>
            </w: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w w:val="99"/>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2C2C2C"/>
              </w:rPr>
              <w:t>18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2C2C2C"/>
              </w:rPr>
              <w:t>15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2C2C2C"/>
              </w:rPr>
              <w:t>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15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2C2C2C"/>
              </w:rPr>
              <w:t>(20)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94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(3)</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2C2C2C"/>
              </w:rPr>
              <w:t>20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2C2C2C"/>
              </w:rPr>
              <w:t>15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111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2C2C2C"/>
                <w:w w:val="71"/>
              </w:rPr>
              <w:t>$</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2C2C2C"/>
              </w:rPr>
              <w:t>(724)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(815)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2C2C2C"/>
              </w:rPr>
              <w:t>11</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color w:val="2C2C2C"/>
                <w:w w:val="74"/>
              </w:rPr>
              <w:t>$</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w w:val="99"/>
              </w:rPr>
              <w:t>13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(1,996)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(2,008)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(2,709)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C2C2C"/>
              </w:rPr>
              <w:t>(1,020)</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(816)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C2C2C"/>
              </w:rPr>
              <w:t>7</w:t>
            </w:r>
          </w:p>
        </w:tc>
        <w:tc>
          <w:tcPr>
            <w:tcW w:w="620" w:type="dxa"/>
            <w:vAlign w:val="bottom"/>
            <w:gridSpan w:val="2"/>
          </w:tcPr>
          <w:p>
            <w:pPr>
              <w:jc w:val="right"/>
              <w:ind w:right="364"/>
              <w:spacing w:after="0"/>
              <w:rPr>
                <w:sz w:val="20"/>
                <w:szCs w:val="20"/>
                <w:color w:val="auto"/>
              </w:rPr>
            </w:pPr>
            <w:r>
              <w:rPr>
                <w:rFonts w:ascii="Times New Roman" w:cs="Times New Roman" w:eastAsia="Times New Roman" w:hAnsi="Times New Roman"/>
                <w:sz w:val="16"/>
                <w:szCs w:val="16"/>
                <w:color w:val="2C2C2C"/>
              </w:rPr>
              <w:t>$</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w w:val="99"/>
              </w:rPr>
              <w:t>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(2,145)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(2,051)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(3,158)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(2,856)</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2C2C2C"/>
              </w:rPr>
              <w:t>296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C2C2C"/>
              </w:rPr>
              <w:t>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C2C2C"/>
              </w:rPr>
              <w:t>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396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C2C2C"/>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-1615440</wp:posOffset>
            </wp:positionV>
            <wp:extent cx="713232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-1349375</wp:posOffset>
            </wp:positionV>
            <wp:extent cx="7132320" cy="1885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-586740</wp:posOffset>
            </wp:positionV>
            <wp:extent cx="71323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-312420</wp:posOffset>
            </wp:positionV>
            <wp:extent cx="7132320" cy="128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-878205</wp:posOffset>
            </wp:positionV>
            <wp:extent cx="71323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60" w:space="720"/>
            <w:col w:w="73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35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2C2C2C"/>
              </w:rPr>
              <w:t>(Gain)/loss reclassified from accumulated other</w:t>
            </w: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(3)</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vMerge w:val="restart"/>
            <w:shd w:val="clear" w:color="auto" w:fill="CFF0FC"/>
          </w:tcPr>
          <w:p>
            <w:pPr>
              <w:spacing w:after="0"/>
              <w:rPr>
                <w:sz w:val="12"/>
                <w:szCs w:val="12"/>
                <w:color w:val="auto"/>
              </w:rPr>
            </w:pPr>
          </w:p>
        </w:tc>
        <w:tc>
          <w:tcPr>
            <w:tcW w:w="8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56</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2C2C2C"/>
              </w:rPr>
              <w:t>43</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53</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42</w:t>
            </w:r>
          </w:p>
        </w:tc>
        <w:tc>
          <w:tcPr>
            <w:tcW w:w="0" w:type="dxa"/>
            <w:vAlign w:val="bottom"/>
          </w:tcPr>
          <w:p>
            <w:pPr>
              <w:spacing w:after="0"/>
              <w:rPr>
                <w:sz w:val="1"/>
                <w:szCs w:val="1"/>
                <w:color w:val="auto"/>
              </w:rPr>
            </w:pPr>
          </w:p>
        </w:tc>
      </w:tr>
      <w:tr>
        <w:trPr>
          <w:trHeight w:val="158"/>
        </w:trPr>
        <w:tc>
          <w:tcPr>
            <w:tcW w:w="3500" w:type="dxa"/>
            <w:vAlign w:val="bottom"/>
            <w:tcBorders>
              <w:bottom w:val="single" w:sz="8" w:color="CFF0FC"/>
            </w:tcBorders>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2C2C2C"/>
              </w:rPr>
              <w:t>$18 and $14, respectively)</w:t>
            </w:r>
          </w:p>
        </w:tc>
        <w:tc>
          <w:tcPr>
            <w:tcW w:w="3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2C2C2C"/>
              </w:rPr>
              <w:t>Net current-period other comprehensive income</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2C2C2C"/>
              </w:rPr>
              <w:t>296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149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2C2C2C"/>
              </w:rPr>
              <w:t>43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449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46</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2C2C2C"/>
              </w:rPr>
              <w:t>Balance at September 30, 2025 and 2024, respectively</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2C2C2C"/>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(724)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2C2C2C"/>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(815)</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2C2C2C"/>
              </w:rPr>
              <w:t>$</w:t>
            </w:r>
          </w:p>
        </w:tc>
        <w:tc>
          <w:tcPr>
            <w:tcW w:w="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11</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2C2C2C"/>
              </w:rPr>
              <w:t>$</w:t>
            </w:r>
          </w:p>
        </w:tc>
        <w:tc>
          <w:tcPr>
            <w:tcW w:w="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  (1,996)</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(2,008)</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2C2C2C"/>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(2,709)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(2,810)</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-299720</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-299720</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-299720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-299720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-299720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-299720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-25400</wp:posOffset>
            </wp:positionV>
            <wp:extent cx="768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768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-25400</wp:posOffset>
            </wp:positionV>
            <wp:extent cx="768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80" w:hanging="272"/>
        <w:spacing w:after="0" w:line="242" w:lineRule="auto"/>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Earnings/(Loss) Per Share</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Basic and diluted earnings/(loss) per share are calculated by dividing net income/(loss) attributable to WTW by the average number of ordinary shares outstanding during each period. The computation of diluted earnings/(loss)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2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At September 30, 2025 and 2024, there were 0.3 million and 0.5 million restricted time-based stock units outstanding, respectively, and 0.6 million restricted performance-based stock units outstanding for both periods presented. The Company had no time-based share options or performance-based share options outstanding at September 30, 2025 and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earnings/(loss) per share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5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 attributable to WTW</w:t>
            </w:r>
          </w:p>
        </w:tc>
        <w:tc>
          <w:tcPr>
            <w:tcW w:w="19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870</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197"/>
        </w:trPr>
        <w:tc>
          <w:tcPr>
            <w:tcW w:w="446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average number of shares outstanding</w:t>
            </w:r>
          </w:p>
        </w:tc>
        <w:tc>
          <w:tcPr>
            <w:tcW w:w="1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average number of shares outstanding</w:t>
            </w:r>
          </w:p>
        </w:tc>
        <w:tc>
          <w:tcPr>
            <w:tcW w:w="1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r>
      <w:tr>
        <w:trPr>
          <w:trHeight w:val="197"/>
        </w:trPr>
        <w:tc>
          <w:tcPr>
            <w:tcW w:w="4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earnings/(loss) per share</w:t>
            </w:r>
          </w:p>
        </w:tc>
        <w:tc>
          <w:tcPr>
            <w:tcW w:w="19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8.80</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earnings/(loss) per share</w:t>
            </w:r>
          </w:p>
        </w:tc>
        <w:tc>
          <w:tcPr>
            <w:tcW w:w="19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8.74</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-1190625</wp:posOffset>
            </wp:positionV>
            <wp:extent cx="857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-1173480</wp:posOffset>
            </wp:positionV>
            <wp:extent cx="857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-1190625</wp:posOffset>
            </wp:positionV>
            <wp:extent cx="857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-1173480</wp:posOffset>
            </wp:positionV>
            <wp:extent cx="857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-1190625</wp:posOffset>
            </wp:positionV>
            <wp:extent cx="857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-1173480</wp:posOffset>
            </wp:positionV>
            <wp:extent cx="857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-608330</wp:posOffset>
            </wp:positionV>
            <wp:extent cx="857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-590550</wp:posOffset>
            </wp:positionV>
            <wp:extent cx="857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-608330</wp:posOffset>
            </wp:positionV>
            <wp:extent cx="857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-590550</wp:posOffset>
            </wp:positionV>
            <wp:extent cx="857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-608330</wp:posOffset>
            </wp:positionV>
            <wp:extent cx="857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-590550</wp:posOffset>
            </wp:positionV>
            <wp:extent cx="857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857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857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857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857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were no anti-dilutive restricted stock units for the three months ended September 30, 2025. For the nine months ended September 30, 2025, 0.1 million restricted stock units were not included in the computation of the dilutive effect of potentially issuable shares because their effect was anti-dilutive. There were no anti-dilutive options for the three and nine months ended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9" w:name="page30"/>
    <w:bookmarkEnd w:id="29"/>
    <w:p>
      <w:pPr>
        <w:ind w:right="300"/>
        <w:spacing w:after="0" w:line="282" w:lineRule="auto"/>
        <w:rPr>
          <w:sz w:val="20"/>
          <w:szCs w:val="20"/>
          <w:color w:val="auto"/>
        </w:rPr>
      </w:pPr>
      <w:r>
        <w:rPr>
          <w:rFonts w:ascii="Times New Roman" w:cs="Times New Roman" w:eastAsia="Times New Roman" w:hAnsi="Times New Roman"/>
          <w:sz w:val="18"/>
          <w:szCs w:val="18"/>
          <w:color w:val="auto"/>
        </w:rPr>
        <w:t>September 30, 2025. The dilutive effect of potentially issuable shares was not computed for the three and nine months ended September 30, 2024 as the Company reported a net loss within its condensed consolidated statements of comprehensive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Supplemental Disclosures of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regarding cash flow information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3020" w:type="dxa"/>
            <w:vAlign w:val="bottom"/>
            <w:tcBorders>
              <w:bottom w:val="single" w:sz="8" w:color="auto"/>
            </w:tcBorders>
            <w:gridSpan w:val="5"/>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8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1,895</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8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8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3,528</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3,340</w:t>
            </w:r>
          </w:p>
        </w:tc>
      </w:tr>
      <w:tr>
        <w:trPr>
          <w:trHeight w:val="209"/>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5,423</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4,712</w:t>
            </w:r>
          </w:p>
        </w:tc>
      </w:tr>
      <w:tr>
        <w:trPr>
          <w:trHeight w:val="20"/>
        </w:trPr>
        <w:tc>
          <w:tcPr>
            <w:tcW w:w="8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 cash, cash equivalents and other restricted cash</w:t>
            </w: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Increase in fiduciary funds</w:t>
            </w:r>
          </w:p>
        </w:tc>
        <w:tc>
          <w:tcPr>
            <w:tcW w:w="8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942</w:t>
            </w:r>
          </w:p>
        </w:tc>
      </w:tr>
      <w:tr>
        <w:trPr>
          <w:trHeight w:val="210"/>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888</w:t>
            </w:r>
          </w:p>
        </w:tc>
      </w:tr>
      <w:tr>
        <w:trPr>
          <w:trHeight w:val="20"/>
        </w:trPr>
        <w:tc>
          <w:tcPr>
            <w:tcW w:w="8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-753745</wp:posOffset>
            </wp:positionV>
            <wp:extent cx="1111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1111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17, 2025, Trinity Acquisition plc entered into a third amended and restated revolving credit facility (the ‘Third A&amp;R RCF’) for $1.5 billion that will mature on October 17, 2030. The Third A&amp;R RCF supersedes and replaces the Company’s previous $1.5 billion revolving credit facility which was due to expire in October 2026.</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Borrowing costs under the Third A&amp;R RCF differ if the borrowing is a ‘base rate’ borrowing or a ‘Term Benchmark’ borrowing, both as defined in the Third A&amp;R RCF, and equal the sum of the relevant benchmark plus a margin based on the Company’s senior unsecured long-term debt rating as described below:</w:t>
      </w:r>
    </w:p>
    <w:p>
      <w:pPr>
        <w:spacing w:after="0" w:line="68" w:lineRule="exact"/>
        <w:rPr>
          <w:sz w:val="20"/>
          <w:szCs w:val="20"/>
          <w:color w:val="auto"/>
        </w:rPr>
      </w:pPr>
    </w:p>
    <w:p>
      <w:pPr>
        <w:ind w:left="760" w:hanging="378"/>
        <w:spacing w:after="0" w:line="289"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base rate borrowings, the benchmark rate will be the greatest of (a) the Prime Rate in effect on such day, (b) the Federal Funds Effective Rate in effect on such day plus 0.50%, and (c) the term secured overnight financing rate (‘Term SOFR’, as further defined in the Third A&amp;R RCF) plus 1.0%. The margin on the base rate benchmark is 0.00% to 0.375% depending on the Company’s senior unsecured long-term debt rating.</w:t>
      </w:r>
    </w:p>
    <w:p>
      <w:pPr>
        <w:spacing w:after="0" w:line="49" w:lineRule="exact"/>
        <w:rPr>
          <w:rFonts w:ascii="Times New Roman" w:cs="Times New Roman" w:eastAsia="Times New Roman" w:hAnsi="Times New Roman"/>
          <w:sz w:val="17"/>
          <w:szCs w:val="17"/>
          <w:color w:val="auto"/>
        </w:rPr>
      </w:pPr>
    </w:p>
    <w:p>
      <w:pPr>
        <w:ind w:left="760" w:right="4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 Benchmark or Daily Simple Risk-Free Rate (‘RFR’) borrowings, the rate will be the applicable secured overnight financing rate (‘SOFR’, as further defined in the Third A&amp;R RCF) or Daily Simple RFR (as applicable based on the currency of the borrower) plus a margin of 0.75% to 1.375% depending on the Company’s guaranteed unsecured long-term debt rating.</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Third A&amp;R RCF also carries a commitment (unused) fee of 0.065% to 0.15%, which is also based on the Company’s senior unsecured long-term debt rating.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320"/>
        <w:spacing w:after="0" w:line="315" w:lineRule="auto"/>
        <w:rPr>
          <w:sz w:val="20"/>
          <w:szCs w:val="20"/>
          <w:color w:val="auto"/>
        </w:rPr>
      </w:pPr>
      <w:r>
        <w:rPr>
          <w:rFonts w:ascii="Times New Roman" w:cs="Times New Roman" w:eastAsia="Times New Roman" w:hAnsi="Times New Roman"/>
          <w:sz w:val="17"/>
          <w:szCs w:val="17"/>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Market Conditions on Our Business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at the time of filing this Quarterly Report, we are seeing a softening market.</w:t>
      </w:r>
    </w:p>
    <w:p>
      <w:pPr>
        <w:spacing w:after="0" w:line="1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Market conditions in the broking industry in which we operate are generally defined by factors such as the strength of the various geographical economies which we serve around the world, insurance rate movements, and insurance and reinsurance buying patterns of our clients.</w:t>
      </w:r>
    </w:p>
    <w:p>
      <w:pPr>
        <w:spacing w:after="0" w:line="10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company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our current expectations.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role of health care coverage in recruiting/retaining employees and transitioning employees to retirement, the availability of price competitive individual insurance policies, the array of coverage choices available through the exchange provider and its ability to deliver measurable cost savings for corporate clients, and to both execute efficiently and deliver high quality service. Since the individual insurance market for Medicare policies is well-established and a significant portion of corporate employers have already implemented an exchange for their Medicare retirees, growth in this population segment will be derived from public employers and educational and other not-for-profit institutions. This growth may be more episodic in nature. Growth in other population segments is likely to remain low unless a more competitive individual insurance market emerges for these segments.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Economic Environment</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U.S. and global markets are continuing to experience uncertainty, volatility and disruption as a result of uncertain macroeconomic conditions including tariff actions and uncertainties relating to global trade, fluctuations in currency exchange rates, volatility in debt and equity markets, uncertainty around interest rates, softening consumer confidence and labor markets, the implementation of a broad range of U.S. policy changes, and the ongoing Russia-Ukraine and other geopolitical conflicts and tensions. Although the length and impact of these situations are highly unpredictable, the ongoing uncertainty and volatility of the global economy and capital markets,</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1" w:name="page32"/>
    <w:bookmarkEnd w:id="31"/>
    <w:p>
      <w:pPr>
        <w:ind w:right="120"/>
        <w:spacing w:after="0" w:line="255" w:lineRule="auto"/>
        <w:rPr>
          <w:sz w:val="20"/>
          <w:szCs w:val="20"/>
          <w:color w:val="auto"/>
        </w:rPr>
      </w:pPr>
      <w:r>
        <w:rPr>
          <w:rFonts w:ascii="Times New Roman" w:cs="Times New Roman" w:eastAsia="Times New Roman" w:hAnsi="Times New Roman"/>
          <w:sz w:val="18"/>
          <w:szCs w:val="18"/>
          <w:color w:val="auto"/>
        </w:rPr>
        <w:t>which has resulted in persistent inflation and fluctuating interest rates in many of the markets in which we operate, could accelerate recessionary pressures and continue to lead to further market disruptions. Further, in addition to the direct impact of the continuing dynamic tariff environment on our business (which we do not expect to be significant, so long as retaliatory actions do not extend to services), recent U.S. legislation and other U.S. federal government actions continue to create uncertainty for the business as well as accounting and tax matters. Other indirect impacts from changes in tariffs or from legislative or regulatory developments, such as changes in consumer sentiment, trade relations, economic activity, disruption of U.S. federal government operations, willingness to do business with U.S.-listed firms, inflationary pressures and employee distraction, among others, could negatively affect our business, operations and financial condition.</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general economic conditions, including inflation, stagflation, political volatility, costs of labor, cost of capital, interest rates, bank stability, credit availability and tax rates, affect not only the cost of and access to liquidity, but also our costs to run and invest in our business, including our operating and general and administrative expenses, and we have no control or limited ability to control such factors. These general economic conditions impact revenue from customers, as well as income from funds we hold on behalf of customers and pension-related income. While parts of our business could benefit from uncertainty or regulatory change, we may see increased caution in spending on services we provide that are more discretionary in nature or where there are alternatives, such as self-insurance. Other parts of our business, such as M&amp;A-related services, may be adversely impacted when there is lower economic activity or transaction volumes.</w:t>
      </w:r>
    </w:p>
    <w:p>
      <w:pPr>
        <w:spacing w:after="0" w:line="135"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See Part I, Item 1A ‘Risk Factors’ in our Annual Report on Form 10-K, filed with the SEC on February 25, 2025, for a discussion of risks that may affect, among other things, our growth relative to expectation and our ability to achieve our objectives.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table below sets forth our summarized condensed consolidated statements of comprehensive income and data as a percentage of revenue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r>
      <w:tr>
        <w:trPr>
          <w:trHeight w:val="142"/>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2"/>
                <w:szCs w:val="12"/>
                <w:color w:val="auto"/>
              </w:rPr>
            </w:pPr>
          </w:p>
        </w:tc>
        <w:tc>
          <w:tcPr>
            <w:tcW w:w="110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 except</w:t>
            </w:r>
          </w:p>
        </w:tc>
        <w:tc>
          <w:tcPr>
            <w:tcW w:w="100" w:type="dxa"/>
            <w:vAlign w:val="bottom"/>
          </w:tcPr>
          <w:p>
            <w:pPr>
              <w:spacing w:after="0"/>
              <w:rPr>
                <w:sz w:val="12"/>
                <w:szCs w:val="12"/>
                <w:color w:val="auto"/>
              </w:rPr>
            </w:pPr>
          </w:p>
        </w:tc>
        <w:tc>
          <w:tcPr>
            <w:tcW w:w="10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$ 2,289</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6,772</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6,895</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7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580" w:type="dxa"/>
            <w:vAlign w:val="bottom"/>
            <w:tcBorders>
              <w:top w:val="single" w:sz="8" w:color="CFF0FC"/>
            </w:tcBorders>
          </w:tcPr>
          <w:p>
            <w:pPr>
              <w:spacing w:after="0"/>
              <w:rPr>
                <w:sz w:val="18"/>
                <w:szCs w:val="18"/>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1,413</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1,396</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4,186</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4,135</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1,053</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1,315</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w:t>
            </w: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1,042</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3,055</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5,554</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7,169</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1,218</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91"/>
        </w:trPr>
        <w:tc>
          <w:tcPr>
            <w:tcW w:w="47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INCOME/(LOSS) FROM OPERATIONS BEFORE</w:t>
            </w: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7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5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5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580" w:type="dxa"/>
            <w:vAlign w:val="bottom"/>
            <w:tcBorders>
              <w:top w:val="single" w:sz="8" w:color="CFF0FC"/>
            </w:tcBorders>
          </w:tcPr>
          <w:p>
            <w:pPr>
              <w:spacing w:after="0"/>
              <w:rPr>
                <w:sz w:val="16"/>
                <w:szCs w:val="16"/>
                <w:color w:val="auto"/>
              </w:rPr>
            </w:pPr>
          </w:p>
        </w:tc>
      </w:tr>
      <w:tr>
        <w:trPr>
          <w:trHeight w:val="216"/>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AND INTEREST IN EARNINGS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ASSOCIATES</w:t>
            </w:r>
          </w:p>
        </w:tc>
        <w:tc>
          <w:tcPr>
            <w:tcW w:w="16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1,006</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for)/benefit from income taxes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 earnings of associates, net of tax</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ATTRIBUTABLE TO WTW</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(1,675)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earnings/(loss) per share</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 (16.44)</w:t>
            </w:r>
          </w:p>
        </w:tc>
        <w:tc>
          <w:tcPr>
            <w:tcW w:w="2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8.74</w:t>
            </w:r>
          </w:p>
        </w:tc>
        <w:tc>
          <w:tcPr>
            <w:tcW w:w="2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(13.11)</w:t>
            </w: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r>
      <w:tr>
        <w:trPr>
          <w:trHeight w:val="588"/>
        </w:trPr>
        <w:tc>
          <w:tcPr>
            <w:tcW w:w="47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-3719830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-3719830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-3719830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-3719830</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-2613660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-2613660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-2613660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-2613660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-2047875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-2047875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-2047875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-2047875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-1216660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-1216660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-1216660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-1216660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-908050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-890905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-908050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-890905</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-908050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-890905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-908050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-890905</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Consolidated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both the three months ended September 30, 2025 and 2024 was $2.3 billion, a decrease of $1 million on an as-reported basis. Adjusting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impacts of foreign currency and acquisitions and disposals, our organic revenue growth was 5% for the three months ended September 30, 2025.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was $6.8 billion, compared to $6.9 billion for the nine months ended September 30, 2024, a decrease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 million, or 2%, on an as-reported basis. Adjusting for the impacts of foreign currency and acquisitions and disposals, our organic revenue growth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for the nine months ended September 30, 2025. The decreases in as-reported revenue were due primarily to the sale of our TRANZACT business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increases in organic revenue were driven by strong performances in both segments. For additional information, please see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entitled ‘Segment Revenue and Segment Operating Income’ elsewhere within this Item 2 of this Quarterly Report on Form 10-Q.</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For the three months ended September 30, 2025, currency translation increased our consolidated revenue by $32 million. The primary currencies driving this change were the Euro and Pound Sterling. For the nine months ended September 30, 2025, currency translation increased our consolidated revenue by $26 million. The primary currencies driving this change were the Pound Sterling and Euro.</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details our top five markets based on the percentage of consolidated revenue (in U.S. dollars) from the countries where work was performed for the nine months ended September 30, 2025. These figures do not represent the currency of the related revenue, which is presented in the next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60" w:type="dxa"/>
            <w:vAlign w:val="bottom"/>
          </w:tcPr>
          <w:p>
            <w:pPr>
              <w:spacing w:after="0"/>
              <w:rPr>
                <w:sz w:val="15"/>
                <w:szCs w:val="15"/>
                <w:color w:val="auto"/>
              </w:rPr>
            </w:pPr>
          </w:p>
        </w:tc>
        <w:tc>
          <w:tcPr>
            <w:tcW w:w="21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0"/>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France</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by transactional currency for the nine months ended September 30,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8"/>
                <w:szCs w:val="18"/>
                <w:color w:val="auto"/>
              </w:rPr>
            </w:pPr>
          </w:p>
        </w:tc>
        <w:tc>
          <w:tcPr>
            <w:tcW w:w="17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dollars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Pounds sterling</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currencies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280" w:right="80" w:hanging="272"/>
        <w:spacing w:after="0" w:line="261" w:lineRule="auto"/>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w:t>
      </w:r>
    </w:p>
    <w:p>
      <w:pPr>
        <w:spacing w:after="0" w:line="11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total revenue for the three and nine months ended September 30, 2025 and 2024, and the components of the change in total revenue for the three and nine months ended September 30, 2025, as compared to the prior-year periods. The components of the revenue change may not add due to rounding.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2,288</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426"/>
        </w:trPr>
        <w:tc>
          <w:tcPr>
            <w:tcW w:w="128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bottom w:val="single" w:sz="8" w:color="CFF0FC"/>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2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2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6,772</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6,895</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-882015</wp:posOffset>
            </wp:positionV>
            <wp:extent cx="768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-864870</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-882015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-864870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-24765</wp:posOffset>
            </wp:positionV>
            <wp:extent cx="768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-8255</wp:posOffset>
            </wp:positionV>
            <wp:extent cx="768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and nine months ended September 30, 2025.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ind w:right="180"/>
        <w:spacing w:after="0" w:line="282"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under the section entitled ‘Non-GAAP Financial Measures’ elsewhere within Item 2 of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 and Segment Operating Income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segment descriptions below should be read in conjunction with the full descriptions of our businesses contained in Part I, Item 1. ‘Business’, within our Annual Report on Form 10-K, filed with the SEC on February 25, 2025.</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Segment revenue excludes amounts that were directly incurred on behalf of our clients and reimbursed by them (reimbursed expenses); however, these amounts are included in consolidated revenue, as required by applicable accounting standards and SEC rules. Segment operating income excludes certain costs, including (i) amortization of intangibles; (ii) restructuring costs; and (iii) certain transaction and transformation expenses, and includes certain expense amounts which may be determined on both a direct and allocated basis. See Note 5 – Segment Information within Part I, Item 1 ‘Financial Statements’ of this Quarterly Report on Form 10-Q for more information about how our segment revenue and segment operating income are calculated and for a reconciliation to our GAAP results.</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table presented below, the components of the revenue change may not add due to rounding.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HWC revenue for the three months ended September 30, 2025 and 2024, and the components of the change in revenue for the three months ended September 30, 2025 from the three months ended September 30,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70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1,253</w:t>
            </w:r>
          </w:p>
        </w:tc>
        <w:tc>
          <w:tcPr>
            <w:tcW w:w="70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1,261</w:t>
            </w:r>
          </w:p>
        </w:tc>
        <w:tc>
          <w:tcPr>
            <w:tcW w:w="70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1,328</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115"/>
        </w:trPr>
        <w:tc>
          <w:tcPr>
            <w:tcW w:w="25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-273685</wp:posOffset>
            </wp:positionV>
            <wp:extent cx="768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-256540</wp:posOffset>
            </wp:positionV>
            <wp:extent cx="768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-273685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-256540</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-24765</wp:posOffset>
            </wp:positionV>
            <wp:extent cx="7683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HWC segment revenue for both the three months ended September 30, 2025 and 2024 was $1.3 billion. Health delivered organic revenue growth, with increases across all regions, partially offset by the headwind from the prior-year’s book-of-business settlement activity. Wealth generated organic revenue growth from strong levels of Retirement work in Great Britain and North America, as well as growth in our Investments business from new products and client wins. Career revenue growth is largely attributed to strong demand for advisory project work in Europe. A change in compensation survey delivery patterns moved some revenue from this quarter to the fourth quarter. Benefits Delivery &amp; Outsourcing revenue increased due to strong levels of project and core administration work within Europe which was tempered by lower commission revenue in North America.</w:t>
      </w:r>
    </w:p>
    <w:p>
      <w:pPr>
        <w:spacing w:after="0" w:line="1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HWC segment operating income for the three months ended September 30, 2025 and 2024 was $361 million and $329 million, respectively. HWC segment operating income increased primarily from operating efficiencies.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4" w:name="page35"/>
    <w:bookmarkEnd w:id="34"/>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HWC segment revenue for the nine months ended September 30, 2025 and 2024 and the components of the change in revenue for the nine months ended September 30, 2025 from the nine months ended September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3,584</w:t>
            </w:r>
          </w:p>
        </w:tc>
        <w:tc>
          <w:tcPr>
            <w:tcW w:w="68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3,898</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3,606</w:t>
            </w:r>
          </w:p>
        </w:tc>
        <w:tc>
          <w:tcPr>
            <w:tcW w:w="68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3,924</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115"/>
        </w:trPr>
        <w:tc>
          <w:tcPr>
            <w:tcW w:w="25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-273685</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-256540</wp:posOffset>
            </wp:positionV>
            <wp:extent cx="768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-273685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-256540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-24765</wp:posOffset>
            </wp:positionV>
            <wp:extent cx="768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HWC segment revenue for the nine months ended September 30, 2025 and 2024 was $3.6 billion and $3.9 billion, respectively. Health delivered organic revenue growth in all regions, led by double-digit increases across International which benefited from strong new business and geographic expansion coupled with the ongoing appeal of our Global Benefits Management solution. Wealth generated organic revenue growth from higher levels of Retirement work globally, alongside growth in our Investments business. Career reported moderate revenue growth, largely driven by an uptick in advisory work in Europe. Benefits Delivery &amp; Outsourcing increased primarily due to robust project and core administrative work in Europe, although this was partially offset by lower revenue in North America.</w:t>
      </w:r>
    </w:p>
    <w:p>
      <w:pPr>
        <w:spacing w:after="0" w:line="12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HWC segment operating income for the nine months ended September 30, 2025 and 2024 was $952 million and $941 million, respectively. HWC segment operating income increased primarily from operating efficiencies which were partially offset by the prior-year sale of TRANZACT.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R&amp;B revenue for the three months ended September 30, 2025 and 2024, and the components of the change in revenue for the three months ended September 30, 2025 from the three months ended September 30,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840" w:type="dxa"/>
            <w:vAlign w:val="bottom"/>
            <w:gridSpan w:val="2"/>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979</w:t>
            </w:r>
          </w:p>
        </w:tc>
        <w:tc>
          <w:tcPr>
            <w:tcW w:w="840" w:type="dxa"/>
            <w:vAlign w:val="bottom"/>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911</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1,007</w:t>
            </w:r>
          </w:p>
        </w:tc>
        <w:tc>
          <w:tcPr>
            <w:tcW w:w="840" w:type="dxa"/>
            <w:vAlign w:val="bottom"/>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197"/>
        </w:trPr>
        <w:tc>
          <w:tcPr>
            <w:tcW w:w="25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-325120</wp:posOffset>
            </wp:positionV>
            <wp:extent cx="7683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-307975</wp:posOffset>
            </wp:positionV>
            <wp:extent cx="7683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-325120</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-307975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-25400</wp:posOffset>
            </wp:positionV>
            <wp:extent cx="768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-8255</wp:posOffset>
            </wp:positionV>
            <wp:extent cx="7683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-25400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-8255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R&amp;B segment revenue for the three months ended September 30, 2025 and 2024 was $1.0 billion and $940 million, respectively. Corporate Risk &amp; Broking's organic revenue growth was primarily driven by new business and revenue recognized from project-based placements within the global specialty businesses, offsetting the negative impact of insurance rate headwinds. Insurance Consulting and Technology revenue was flat for the quarter as clients continued to manage spending more cautiously amid ongoing economic uncertainty.</w:t>
      </w:r>
    </w:p>
    <w:p>
      <w:pPr>
        <w:spacing w:after="0" w:line="12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R&amp;B segment operating income for the three months ended September 30, 2025 and 2024 was $189 million and $170 million, respectively. R&amp;B segment operating income increased due primarily to operating leverage driven by strong organic revenue growth and Transformation program savings, which were partially offset by headwinds from decreased interest income and foreign currency fluctuations.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R&amp;B segment revenue for the nine months ended September 30, 2025 and 2024 and the components of the change in revenue for the nine months ended September 30, 2025 from the nine months ended September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3,008</w:t>
            </w:r>
          </w:p>
        </w:tc>
        <w:tc>
          <w:tcPr>
            <w:tcW w:w="68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2,811</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3,081</w:t>
            </w:r>
          </w:p>
        </w:tc>
        <w:tc>
          <w:tcPr>
            <w:tcW w:w="68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2,897</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197"/>
        </w:trPr>
        <w:tc>
          <w:tcPr>
            <w:tcW w:w="25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-325120</wp:posOffset>
            </wp:positionV>
            <wp:extent cx="768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-307975</wp:posOffset>
            </wp:positionV>
            <wp:extent cx="768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-325120</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-307975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-25400</wp:posOffset>
            </wp:positionV>
            <wp:extent cx="768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-25400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R&amp;B segment revenue for the nine months ended September 30, 2025 and 2024 was $3.1 billion and $2.9 billion, respectively. Corporate Risk &amp; Broking had organic revenue growth primarily driven by the success of our global lines, with higher levels of new business activity and revenue recognized from project-based placements within the global specialty businesses along with strong client retention across all regions. Insurance Consulting and Technology had organic revenue growth driven primarily by the Technology practice.</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R&amp;B segment operating income for the nine months ended September 30, 2025 and 2024 was $637 million and $575 million, respectively. R&amp;B segment operating income increased due primarily to operating leverage driven by strong organic revenue growth and transformation savings which were partially offset by headwinds from decreased interest income and foreign currency fluctuations.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costs of providing services for the three months ended September 30, 2025 were $1.9 billion, compared to $3.1 billion for the three months ended September 30, 2024, a decrease of $1.2 billion, or 39%. Total costs of providing services for the nine months ended September 30, 2025 were $5.6 billion, compared to $7.2 billion for the nine months ended September 30, 2024, a decrease of $1.6 billion, or 23%. See the following discussion for further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Salaries and benefits for both the three months ended September 30, 2025 and 2024 were $1.4 billion, an increase of $17 million or 1%. The increase in the current year is primarily due to higher salary expense, driven by increased colleague headcount and cost-of-living compensation adjustments, and higher share-based compensation and benefit costs, partially offset by lower incentive costs. Salaries and benefits, as a percentage of revenue, represented 62% and 61% for the three months ended September 30, 2025 and 2024, respectively.</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Salaries and benefits for the nine months ended September 30, 2025 were $4.2 billion, compared to $4.1 billion for the nine months ended September 30, 2024, an increase of $51 million or 1%. The increase in the current year is primarily due to higher salary expense, driven by increased colleague headcount and cost-of-living compensation adjustments, and higher share-based compensation costs, partially offset by lower incentive costs. Salaries and benefits, as a percentage of revenue, represented 62% and 60% for the nine months ended September 30, 2025 and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for the three months ended September 30, 2025 were $352 million, compared to $419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 decrease of $67 million or 16%. The decrease was primarily due to lower marketing expenses attributable to the sale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TRANZACT business on December 31, 2024 and lower professional services costs for the current-year period as compared to the prior-year period.</w:t>
      </w:r>
    </w:p>
    <w:p>
      <w:pPr>
        <w:spacing w:after="0" w:line="1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operating expenses for the nine months ended September 30, 2025 were $1.1 billion, compared to $1.3 billion for the nine months ended September 30, 2024, a decrease of $262 million or 20%. The decrease was primarily due to lower marketing expenses attributable to the sale of our TRANZACT business on December 31, 2024, decreased office and technology expenses, and lower professional services and occupancy costs, partially offset by higher non-income-related tax expense for the current year as compared to the prior year.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Impairment for both the three and nine months ended September 30, 2024 was $1.0 billion. Impairment was attributable to the goodwill impairment associated with our Benefits, Delivery and Administration (‘BDA’) reporting unit related to the sale of our TRANZACT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Depreciation for the three months ended September 30, 2025 was $56 million, compared to $60 million for the three months ended September 30, 2024, a decrease of $4 million or 7%. Depreciation for the nine months ended September 30, 2025 was $167 million, compared to $176 million for the nine months ended September 30, 2024, a decrease of $9 million or 5%. These decreases were primarily due to a lower depreciable base of assets resulting from disposals associated with the Company’s Transformation program that concluded in the fourth quarter of 2024 and a lower dollar value of assets placed in service during the past few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Amortization for the three months ended September 30, 2025 was $47 million, compared to $56 million for the three months ended September 30, 2024, a decrease of $9 million or 16%. Amortization for the nine months ended September 30, 2025 was $144 million, compared to $176 million for the nine months ended September 30, 2024, a decrease of $32 million or 18%. These decreases were due in part to the disposal of intangible assets associated with the sale of our TRANZACT business. Our intangible amortization is generally more heavily weighted to the initial years of the useful lives of the related intangibles, and therefore amortization related to intangible assets has decreased and will continue to decrease over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Restructuring costs for the three and nine months ended September 30, 2024 were $8 million and $29 million, respectively, and primarily related to the real estate rationalization component of our completed Transformation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Transformation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Transaction and transformation costs for the three months ended September 30, 2025 were $2 million, compared to $74 million for the three months ended September 30, 2024, a decrease of $72 million. Transaction and transformation costs for the nine months ended September 30, 2025 were $4 million, compared to $296 million for the nine months ended September 30, 2024, a decrease of $292 million. Transaction and transformation costs in the current year were comprised of transaction-related costs, and costs incurred in the prior year primarily included consulting and compensation costs related to our completed Transformation program.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Income/(Loss) from Operations</w:t>
      </w:r>
    </w:p>
    <w:p>
      <w:pPr>
        <w:spacing w:after="0" w:line="17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Income from operations for the three months ended September 30, 2025 was $418 million, compared to a loss of $766 million for the three months ended September 30, 2024, an increase of $1.2 billion. This increase resulted primarily from the current-year absence of impairment expense associated with the prior-year sale of our TRANZACT business, lower transformation and transaction costs due to the completion of our Transformation program during the fourth quarter of 2024, and lower marketing expenses for the current-year period.</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from operations for the nine months ended September 30, 2025 was $1.2 billion, compared to a loss of $274 million for the nine months ended September 30, 2024, an increase of $1.5 billion. This increase resulted primarily from the current-year absence of impairment expense associated with the prior-year sale of our TRANZACT business, lower transformation and transaction costs due to the completion of our Transformation program during the fourth quarter of 2024, lower marketing expenses and decreased office and technology expenses in the current year, partially offset by lower revenue due to the prior-year sale of our TRANZACT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expense for both the three months ended September 30, 2025 and 2024 was $65 million. Interest expense for the nine months ended September 30, 2025 was $194 million as compared to $197 million for the nine months ended September 30, 2024, a decrease of $3 million or 2%. The year-over-year decrease was primarily due to a lower average level of indebtedness in the current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Income/(Loss), Net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Other income/(loss), net for the three months ended September 30, 2025 was income of $37 million, compared to a loss of $1.2 billion for the three months ended September 30, 2024, an increase of $1.2 billion. Other income/(loss), net for the nine months ended September 30, 2025 was a loss of $18 million, compared to a loss of $1.1 billion for the nine months ended September 30, 2024, an increase of $1.1 billion. These increases were primarily due to gains on disposals of operations in the current year, as compared to the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7" w:name="page38"/>
    <w:bookmarkEnd w:id="37"/>
    <w:p>
      <w:pPr>
        <w:ind w:right="380"/>
        <w:spacing w:after="0" w:line="282" w:lineRule="auto"/>
        <w:rPr>
          <w:sz w:val="20"/>
          <w:szCs w:val="20"/>
          <w:color w:val="auto"/>
        </w:rPr>
      </w:pPr>
      <w:r>
        <w:rPr>
          <w:rFonts w:ascii="Times New Roman" w:cs="Times New Roman" w:eastAsia="Times New Roman" w:hAnsi="Times New Roman"/>
          <w:sz w:val="18"/>
          <w:szCs w:val="18"/>
          <w:color w:val="auto"/>
        </w:rPr>
        <w:t>significant loss on disposal in the prior year, which was attributable to the sale of our TRANZACT business, partially offset by lower pension income, which was a result of a significant pension settlement in the current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for)/Benefit from Income Taxes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Provision for income taxes for the three months ended September 30, 2025 was $77 million, compared to a benefit from income taxes of $322 million for the three months ended September 30, 2024, an increase of $399 million. The effective tax rate was 19.7% for the three months ended September 30, 2025, and 16.1% for the three months ended September 30, 2024. Provision for income taxes for the nine months ended September 30, 2025 was $121 million, compared to a benefit from income taxes of $248 million for the nine months ended September 30, 2024, an increase of $369 million. The effective tax rate was 12.0% for the nine months ended September 30, 2025 and 15.6% for the nine months ended September 30, 2024. These effective tax rates are calculated using extended values from our condensed consolidated statements of comprehensive income and are therefore more precise tax rates than can be calculated from rounded values. The prior-year effective tax rate for the three months ended September 30, 2024 was lower due to deferred tax benefits recognized on the gross-up to carrying value of net assets to be disposed and a deferred tax benefit of $56 million, net of a $37 million valuation allowance, on the expected tax loss associated with the sale of our TRANZACT business. The current-year effective tax rate for the nine months ended September 30, 2025 is lower due to favorable discrete tax items, primarily related to provision-to-tax return adjustments.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WTW</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income attributable to WTW for the three months ended September 30, 2025 was $304 million, compared to a net loss of $1.7 billion for the three months ended September 30, 2024, an increase of $2.0 billion. This increase resulted primarily from the current-year absence of loss on disposal and impairment expense associated with the sale of our TRANZACT business in the prior-year period, partially offset by higher tax expense due to prior-year tax benefits attributable to the losses associated with the sale.</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income attributable to WTW for the nine months ended September 30, 2025 was $870 million, compared to a net loss of $1.3 billion for the nine months ended September 30, 2024, an increase of $2.2 billion. This increase resulted primarily from the current-year absence of loss on disposal and impairment expense associated with the sale of our TRANZACT business in the prior-year period, lower transformation and transaction costs due to the completion of our Transformation program during the fourth quarter of 2024, and lower marketing expenses for the current year, partially offset by higher tax expense due to prior-year tax benefits attributable to the losses associated with the TRANZACT sale as well as lower revenue due to the sale.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and amounts available under our revolving credit facility and any new debt offerings.</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financial markets, including occasional declines in equity markets, inflation and changes in interest rates and reduced liquidity on a global basis and we expect this volatility could continue, all of which may impact our access to liquidity.</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WTW has access to sufficient liquidity to meet our cash needs, including debt repayment, for the next twelve months. Including our cash generated from operations, our liquidity also includes all of the borrowing capacity available to draw against our recently-amended and restated $1.5 billion revolving credit facility (see Note 20 — Subsequent Event in Part I, Item 1 ‘Financial Statements’ in this Quarterly Report on Form 10-Q for further information). The use of these funds includes investments in the business for growth, scheduled debt repayments, share repurchases, dividend payments and general corporate purposes. Additionally, under our minority ownership interest in a joint venture with Bain Capital, in connection with which we re-entered the reinsurance broking space during the fourth quarter of 2024, we have an option to acquire a controlling interest in the joint venture in the future. Given the initial funding needs of a start-up venture, we expect to make certain capital contributions from time to time resulting in a reduction to earnings until such time as the joint venture generates sufficient revenue to be profitable.</w:t>
      </w:r>
    </w:p>
    <w:p>
      <w:pPr>
        <w:spacing w:after="0" w:line="13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we repurchased $1.3 billion of our outstanding shares and have authorization to repurchase an additional $1.6 billion under our share repurchase program (as further described below under ‘Share Repurchase Program’). We consider many factors, including market and economic conditions, applicable legal requirements and other business considerations, when considering whether to repurchase shares. Our Share Repurchase Program has no termination date and may be suspended or discontinued at any time.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8" w:name="page39"/>
    <w:bookmarkEnd w:id="38"/>
    <w:p>
      <w:pPr>
        <w:ind w:right="40"/>
        <w:spacing w:after="0" w:line="266"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tax or regulatory matters, or future pension funding during periods of severe downturn in the capital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Earnings of Foreign Subsidiaries</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continue to have certain subsidiaries whose earnings have not been deemed permanently reinvested and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cash and cash equivalents at September 30, 2025 and December 31, 2024 totaled $1.9 billion. The significant changes in cash from December 31, 2024 to September 30, 2025 were due primarily to $1.0 billion of net cash from operations, receipt of the $750 million earnout related to the 2021 divestiture of Willis Re and $62 million associated with the settlement of a note receivable related to the sale of our Max Matthiessen subsidiary in 2020, partially offset by cash outflows of $1.3 billion of share repurchases, $269 million of dividend payments and $166 million of capital expenditures and capitalized software additions.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Additionally, at both September 30, 2025 and December 31, 2024, we had all of the borrowing capacity available to draw against our $1.5 billion revolving credit facility, which was amended and restated on October 17, 2025 (see Note 20 – Subsequent Event in Part I, Item 1 ‘Financial Statements’ of this Quarterly Report on Form 10-Q for additional information about the new revolving credit facility).</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Included within cash and cash equivalents at September 30, 2025 and December 31, 2024 are amounts held for regulatory capital adequacy requirements, including $105 million and $104 million, respectively, within our regulated U.K. entities.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Condensed Consolidated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condensed consolidated cash flow information for the nine months ended September 30,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r>
      <w:tr>
        <w:trPr>
          <w:trHeight w:val="142"/>
        </w:trPr>
        <w:tc>
          <w:tcPr>
            <w:tcW w:w="79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r>
      <w:tr>
        <w:trPr>
          <w:trHeight w:val="142"/>
        </w:trPr>
        <w:tc>
          <w:tcPr>
            <w:tcW w:w="7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2"/>
          </w:tcPr>
          <w:p>
            <w:pPr>
              <w:jc w:val="center"/>
              <w:ind w:right="688"/>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580" w:type="dxa"/>
            <w:vAlign w:val="bottom"/>
          </w:tcPr>
          <w:p>
            <w:pPr>
              <w:spacing w:after="0"/>
              <w:rPr>
                <w:sz w:val="12"/>
                <w:szCs w:val="12"/>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from/(used in):</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1,004</w:t>
            </w:r>
          </w:p>
        </w:tc>
        <w:tc>
          <w:tcPr>
            <w:tcW w:w="1160" w:type="dxa"/>
            <w:vAlign w:val="bottom"/>
            <w:gridSpan w:val="2"/>
          </w:tcPr>
          <w:p>
            <w:pPr>
              <w:jc w:val="center"/>
              <w:ind w:right="6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r>
      <w:tr>
        <w:trPr>
          <w:trHeight w:val="171"/>
        </w:trPr>
        <w:tc>
          <w:tcPr>
            <w:tcW w:w="79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INCREASE IN CASH, CASH EQUIVALENTS AND RESTRICTED</w:t>
            </w: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54"/>
        </w:trPr>
        <w:tc>
          <w:tcPr>
            <w:tcW w:w="7940" w:type="dxa"/>
            <w:vAlign w:val="bottom"/>
            <w:shd w:val="clear" w:color="auto" w:fill="CCEEFF"/>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24"/>
                <w:szCs w:val="24"/>
                <w:color w:val="auto"/>
                <w:vertAlign w:val="superscript"/>
              </w:rPr>
              <w:t>(i)</w:t>
            </w:r>
          </w:p>
        </w:tc>
        <w:tc>
          <w:tcPr>
            <w:tcW w:w="9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94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4,998</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3,792</w:t>
            </w:r>
          </w:p>
        </w:tc>
      </w:tr>
      <w:tr>
        <w:trPr>
          <w:trHeight w:val="210"/>
        </w:trPr>
        <w:tc>
          <w:tcPr>
            <w:tcW w:w="794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5,423</w:t>
            </w:r>
          </w:p>
        </w:tc>
        <w:tc>
          <w:tcPr>
            <w:tcW w:w="1160" w:type="dxa"/>
            <w:vAlign w:val="bottom"/>
            <w:gridSpan w:val="2"/>
          </w:tcPr>
          <w:p>
            <w:pPr>
              <w:jc w:val="center"/>
              <w:ind w:right="6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4,712</w:t>
            </w:r>
          </w:p>
        </w:tc>
      </w:tr>
      <w:tr>
        <w:trPr>
          <w:trHeight w:val="20"/>
        </w:trPr>
        <w:tc>
          <w:tcPr>
            <w:tcW w:w="7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-170815</wp:posOffset>
            </wp:positionV>
            <wp:extent cx="10287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jc w:val="both"/>
        <w:ind w:left="280" w:right="120" w:hanging="272"/>
        <w:spacing w:after="0" w:line="251" w:lineRule="auto"/>
        <w:tabs>
          <w:tab w:leader="none" w:pos="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Part I, Item 1 ‘Financial Statements’ within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were $1.0 billion for the nine months ended September 30, 2025, compared to cash flows from operating activities of $913 million for the nine months ended September 30, 2024. The $1.0 billion of net cash from operating activities for the nine months ended September 30, 2025 included net income of $877 million and $556 million of favorable non-cash adjustments, partially offset by unfavorable changes in operating assets and liabilities of $429 million. This increase in cash flows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ind w:right="560"/>
        <w:spacing w:after="0" w:line="282" w:lineRule="auto"/>
        <w:rPr>
          <w:sz w:val="20"/>
          <w:szCs w:val="20"/>
          <w:color w:val="auto"/>
        </w:rPr>
      </w:pPr>
      <w:r>
        <w:rPr>
          <w:rFonts w:ascii="Times New Roman" w:cs="Times New Roman" w:eastAsia="Times New Roman" w:hAnsi="Times New Roman"/>
          <w:sz w:val="18"/>
          <w:szCs w:val="18"/>
          <w:color w:val="auto"/>
        </w:rPr>
        <w:t>from operations as compared to the prior year was primarily driven by operating margin expansion and lower Transformation program residual cash outflows.</w:t>
      </w:r>
    </w:p>
    <w:p>
      <w:pPr>
        <w:spacing w:after="0" w:line="10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$913 million of net cash from operating activities for the nine months ended September 30, 2024 included $2.4 billion of favorable non-cash adjustments, partially offset by a net loss of $1.3 billion and unfavorable changes in operating assets and liabilities of $139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Investing Activities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Cash flows from investing activities for the nine months ended September 30, 2025 were $530 million as compared to cash flows used in investing activities of $230 million for the nine months ended September 30, 2024. The cash flows from investing activities in the current year consisted primarily of net proceeds from sales of operations resulting from divestitures that occurred in prior years. These inflows were partially offset by capital expenditures, including software additions, our net purchases of held-to-maturity and available-for-sale securities and cash and fiduciary fund transfers.</w:t>
      </w:r>
    </w:p>
    <w:p>
      <w:pPr>
        <w:spacing w:after="0" w:line="12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cash flows used in investing activities for the nine months ended September 30, 2024 consisted primarily of capital expenditures and capitalized software additions.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In)/From Financing Activities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flows used in financing activities for the nine months ended September 30, 2025 were $1.3 billion. The significant financing activities included share repurchases of $1.3 billion and dividend payments of $269 million, partially offset by net proceeds from fiduciary funds held for clients of $343 million.</w:t>
      </w:r>
    </w:p>
    <w:p>
      <w:pPr>
        <w:spacing w:after="0" w:line="10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Cash flows from financing activities for the nine months ended September 30, 2024 were $205 million. The significant financing activities included net proceeds from fiduciary funds held for clients of $934 million and $84 million of net proceeds from the issuance of debt, partially offset by share repurchases of $506 million and dividend payments of $265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ratios at September 30, 2025 and December 31, 2024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7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0"/>
              </w:rPr>
              <w:t>millions)</w:t>
            </w:r>
          </w:p>
        </w:tc>
        <w:tc>
          <w:tcPr>
            <w:tcW w:w="1440" w:type="dxa"/>
            <w:vAlign w:val="bottom"/>
          </w:tcPr>
          <w:p>
            <w:pPr>
              <w:spacing w:after="0"/>
              <w:rPr>
                <w:sz w:val="12"/>
                <w:szCs w:val="12"/>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4,763</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5,309</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5,313</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5,309</w:t>
            </w:r>
          </w:p>
        </w:tc>
      </w:tr>
      <w:tr>
        <w:trPr>
          <w:trHeight w:val="196"/>
        </w:trPr>
        <w:tc>
          <w:tcPr>
            <w:tcW w:w="76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5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7,735</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7,940</w:t>
            </w:r>
          </w:p>
        </w:tc>
      </w:tr>
      <w:tr>
        <w:trPr>
          <w:trHeight w:val="196"/>
        </w:trPr>
        <w:tc>
          <w:tcPr>
            <w:tcW w:w="76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5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Capitalization ratio</w:t>
            </w:r>
          </w:p>
        </w:tc>
        <w:tc>
          <w:tcPr>
            <w:tcW w:w="20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-624840</wp:posOffset>
            </wp:positionV>
            <wp:extent cx="1111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-607695</wp:posOffset>
            </wp:positionV>
            <wp:extent cx="1111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-325120</wp:posOffset>
            </wp:positionV>
            <wp:extent cx="1111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-307975</wp:posOffset>
            </wp:positionV>
            <wp:extent cx="1111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1111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11112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September 30, 2025, our mandatory debt repayments over the next twelve months include $550 million outstanding on our 4.400% senior notes, which will mature during the first quarter of 2026. In addition, our $1.5 billion revolving credit facility, which was set to expire on October 6, 2026, was replaced on October 17, 2025 by our third amended and restated $1.5 billion revolving credit facility (see Note 20 – Subsequent Event in Part I, Item 1 ‘Financial Statements’ of this Quarterly Report on Form 10-Q for further information).</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more information regarding our current and long-term debt, please see ‘Supplemental Guarantor Financial Information’ elsewhere within this Item 2 of this Quarterly Report on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and December 31, 2024, we were in compliance with all financial covenants.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and December 31, 2024, we had fiduciary funds of $4.0 billion and $3.4 billion,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November 20, 2024, the board of directors approved a $1.0 billion increase to the existing share repurchase program. Additionally, on September 16, 2025, the board of directors approved a $1.5 billion increase to the existing share repurchase program. These increases brought the total approved authorization, since the announcement of the program on April 20, 2016, to $11.7 billion.</w:t>
      </w:r>
    </w:p>
    <w:p>
      <w:pPr>
        <w:spacing w:after="0" w:line="12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At September 30, 2025, approximately $1.6 billion remained on the current repurchase authority. The maximum number of shares that could be repurchased based on the closing price of our ordinary shares on September 30, 2025 of $345.45 was 4,752,506.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the Company had the following share repurchase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8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6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580" w:type="dxa"/>
            <w:vAlign w:val="bottom"/>
          </w:tcPr>
          <w:p>
            <w:pPr>
              <w:spacing w:after="0"/>
              <w:rPr>
                <w:sz w:val="15"/>
                <w:szCs w:val="15"/>
                <w:color w:val="auto"/>
              </w:rPr>
            </w:pPr>
          </w:p>
        </w:tc>
        <w:tc>
          <w:tcPr>
            <w:tcW w:w="18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1,848,098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4,069,746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per share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$319.43</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billion</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Company’s capital expenditures for fixed assets, capitalized software and software for internal use were $166 million during the nine months ended September 30, 2025. The Company estimates that there will be additional such expenditures in the range of $60 million - $85 million during the remainder of 2025. We currently expect cash from operations to adequately provide for these cash needs. There have been no material changes to our capital commitments since December 31,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cash dividends of $269 million were paid during the nine months ended September 30, 2025. In August 2025, the board of directors approved a quarterly cash dividend of $0.92 per share ($3.68 per share annualized rate), which was paid on October 15, 2025 to shareholders of record as of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WTW has issued the following debt securities (the ‘notes’):</w:t>
      </w:r>
    </w:p>
    <w:p>
      <w:pPr>
        <w:spacing w:after="0" w:line="117" w:lineRule="exact"/>
        <w:rPr>
          <w:sz w:val="20"/>
          <w:szCs w:val="20"/>
          <w:color w:val="auto"/>
        </w:rPr>
      </w:pPr>
    </w:p>
    <w:p>
      <w:pPr>
        <w:jc w:val="both"/>
        <w:ind w:left="760" w:right="20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$4.5 billion senior notes outstanding, of which $1.0 billion were issued on September 10, 2018, $1.0 billion were issued on September 10, 2019, $275 million were issued on May 29, 2020, $750 million were issued on May 19, 2022, $750 million were issued on May 17, 2023 and $750 million were issued on March 5, 2024; and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approximately $825 million senior notes outstanding, of which $275 million were issued on August 15, 2013 and</w:t>
      </w:r>
    </w:p>
    <w:p>
      <w:pPr>
        <w:spacing w:after="0" w:line="27" w:lineRule="exact"/>
        <w:rPr>
          <w:rFonts w:ascii="Times New Roman" w:cs="Times New Roman" w:eastAsia="Times New Roman" w:hAnsi="Times New Roman"/>
          <w:sz w:val="18"/>
          <w:szCs w:val="18"/>
          <w:color w:val="auto"/>
        </w:rPr>
      </w:pPr>
    </w:p>
    <w:p>
      <w:pPr>
        <w:ind w:left="7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 million were issued on March 22, 2016, and a recently-amended and restated $1.5 billion revolving credit facility, on which no balance was outstanding, nor on the prior facility, at September 30, 2025.</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September 30, 2025. These subsidiaries are all consolidated by Willis Towers Watson plc (the ‘parent company’) and together with the parent company comprise the ‘Obligor group’. On December 16, 2024, TA I Limited, Willis Towers Watson UK Holdings Limited and Willis Netherlands Holdings B.V. ceased to be guarantors of our notes and are no longer part of the Obligor group, following the transfer of their respective properties and assets to other existing guarantors within the Obligor group. Further, Willis Towers Watson UK Holdings Limited was released from its guarantees under our credit agreement. TA I Limited and Willis Netherlands Holdings B.V. are not guarantors under our amended and restated credit agreement (see Note 20 – Subsequent Event in Part I, Item 1 ‘Financial Statements’ of this Quarterly Report on Form 10-Q for further information).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73"/>
        </w:trPr>
        <w:tc>
          <w:tcPr>
            <w:tcW w:w="73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Towers Watson plc</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Trinity Acquisition plc</w:t>
            </w: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North America Inc.</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Group Limited</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36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Revolving Credit Facility;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September 30, 2025 and December 31, 2024,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and related arrangements, intercompany dividends and intercompany interest. At September 30, 2025 and December 31, 2024, the intercompany balances of the Obligor group with non-guarantor subsidiaries were net receivables of $441 million and $1.0 billion, respectively, and net payables of $15.9 billion and $15.1 billion, respectively.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77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840" w:type="dxa"/>
            <w:vAlign w:val="bottom"/>
            <w:gridSpan w:val="3"/>
          </w:tcPr>
          <w:p>
            <w:pPr>
              <w:jc w:val="center"/>
              <w:ind w:right="1355"/>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7,566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6,254</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13,898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14,442</w:t>
            </w:r>
          </w:p>
        </w:tc>
      </w:tr>
      <w:tr>
        <w:trPr>
          <w:trHeight w:val="537"/>
        </w:trPr>
        <w:tc>
          <w:tcPr>
            <w:tcW w:w="7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42"/>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1,496</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1,332</w:t>
            </w:r>
          </w:p>
        </w:tc>
      </w:tr>
      <w:tr>
        <w:trPr>
          <w:trHeight w:val="216"/>
        </w:trPr>
        <w:tc>
          <w:tcPr>
            <w:tcW w:w="7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Income from operations before income taxes </w:t>
            </w:r>
            <w:r>
              <w:rPr>
                <w:rFonts w:ascii="Times New Roman" w:cs="Times New Roman" w:eastAsia="Times New Roman" w:hAnsi="Times New Roman"/>
                <w:sz w:val="24"/>
                <w:szCs w:val="24"/>
                <w:color w:val="auto"/>
                <w:vertAlign w:val="superscript"/>
              </w:rPr>
              <w:t>(i)</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$428 million for the nine months ended September 30,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reported change</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As reported change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Income/(loss) from operations/margin</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income/(loss)/margin</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 attributable to WTW</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earnings/(loss) per share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198"/>
        </w:trPr>
        <w:tc>
          <w:tcPr>
            <w:tcW w:w="4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Income/(loss) from operations before income taxes</w:t>
            </w:r>
          </w:p>
        </w:tc>
        <w:tc>
          <w:tcPr>
            <w:tcW w:w="6520" w:type="dxa"/>
            <w:vAlign w:val="bottom"/>
            <w:shd w:val="clear" w:color="auto" w:fill="CFF0FC"/>
          </w:tcPr>
          <w:p>
            <w:pPr>
              <w:ind w:left="1020"/>
              <w:spacing w:after="0" w:line="198" w:lineRule="exact"/>
              <w:rPr>
                <w:sz w:val="20"/>
                <w:szCs w:val="20"/>
                <w:color w:val="auto"/>
              </w:rPr>
            </w:pPr>
            <w:r>
              <w:rPr>
                <w:rFonts w:ascii="Times New Roman" w:cs="Times New Roman" w:eastAsia="Times New Roman" w:hAnsi="Times New Roman"/>
                <w:sz w:val="18"/>
                <w:szCs w:val="18"/>
                <w:color w:val="auto"/>
              </w:rPr>
              <w:t>Adjusted income before taxes</w:t>
            </w:r>
          </w:p>
        </w:tc>
      </w:tr>
      <w:tr>
        <w:trPr>
          <w:trHeight w:val="234"/>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interest in earnings of associates</w:t>
            </w:r>
          </w:p>
        </w:tc>
        <w:tc>
          <w:tcPr>
            <w:tcW w:w="6520" w:type="dxa"/>
            <w:vAlign w:val="bottom"/>
            <w:shd w:val="clear" w:color="auto" w:fill="CFF0FC"/>
          </w:tcPr>
          <w:p>
            <w:pPr>
              <w:spacing w:after="0"/>
              <w:rPr>
                <w:sz w:val="20"/>
                <w:szCs w:val="20"/>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Free cash flow</w:t>
            </w:r>
          </w:p>
        </w:tc>
      </w:tr>
    </w:tbl>
    <w:p>
      <w:pPr>
        <w:spacing w:after="0" w:line="130"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full-year results, or the comparable periods, include the following:</w:t>
      </w:r>
    </w:p>
    <w:p>
      <w:pPr>
        <w:spacing w:after="0" w:line="72" w:lineRule="exact"/>
        <w:rPr>
          <w:sz w:val="20"/>
          <w:szCs w:val="20"/>
          <w:color w:val="auto"/>
        </w:rPr>
      </w:pPr>
    </w:p>
    <w:p>
      <w:pPr>
        <w:jc w:val="both"/>
        <w:ind w:left="760" w:right="200" w:hanging="378"/>
        <w:spacing w:after="0" w:line="26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71" w:lineRule="exact"/>
        <w:rPr>
          <w:rFonts w:ascii="Times New Roman" w:cs="Times New Roman" w:eastAsia="Times New Roman" w:hAnsi="Times New Roman"/>
          <w:sz w:val="18"/>
          <w:szCs w:val="18"/>
          <w:color w:val="auto"/>
        </w:rPr>
      </w:pPr>
    </w:p>
    <w:p>
      <w:pPr>
        <w:ind w:left="760" w:right="6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 Adjustment to remove the non-cash goodwill impairment associated with our BDA reporting unit related to the sale of our TRANZACT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ind w:left="760" w:right="12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specified litigation matters – We will include provisions for litigation matters which we believe are not representative of our core business operations. Among other things, we determine this by reference to the amount of the loss (net of insurance and other recovery receivables) and by reference to whether the matter relates to an unusual and complex scenario that is not expected to be repeated as part of our ongoing, ordinary business. These amounts are presented net of insurance and other recovery receivables. See the footnotes to the reconciliation tables below for more specificity on the litigation matter excluded from adjusted results.</w:t>
      </w:r>
    </w:p>
    <w:p>
      <w:pPr>
        <w:spacing w:after="0" w:line="7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5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periodic pension and postretirement benefits – Adjustment to remove the recognition of net periodic pension and postretirement benefits (including pension settlements), other than service costs. We have included this adjustment as applicable in our prior-period disclosures in order to conform to the current-period presentation.</w:t>
      </w:r>
    </w:p>
    <w:p>
      <w:pPr>
        <w:spacing w:after="0" w:line="67" w:lineRule="exact"/>
        <w:rPr>
          <w:rFonts w:ascii="Times New Roman" w:cs="Times New Roman" w:eastAsia="Times New Roman" w:hAnsi="Times New Roman"/>
          <w:sz w:val="18"/>
          <w:szCs w:val="18"/>
          <w:color w:val="auto"/>
        </w:rPr>
      </w:pPr>
    </w:p>
    <w:p>
      <w:pPr>
        <w:ind w:left="760" w:right="40" w:hanging="378"/>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significant adjustments – Relates to the incremental tax expense or benefit resulting from significant or unusual events including significant statutory tax rate changes enacted in material jurisdictions in which we operate, internal reorganizations of ownership of certain businesses that reduced the investment held by our U.S.-controlled subsidiaries and the recovery of certain refunds or payment of taxes related to businesses in which we no longer participate.</w:t>
      </w:r>
    </w:p>
    <w:p>
      <w:pPr>
        <w:spacing w:after="0" w:line="12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52" w:lineRule="exact"/>
        <w:rPr>
          <w:sz w:val="20"/>
          <w:szCs w:val="20"/>
          <w:color w:val="auto"/>
        </w:rPr>
      </w:pPr>
    </w:p>
    <w:p>
      <w:pPr>
        <w:ind w:left="760" w:right="60" w:hanging="378"/>
        <w:spacing w:after="0" w:line="257"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prior-year local currency results are first translated using the current-year monthly average exchange rates. The change is calculated by comparing the prior-year revenue, translated at the current-year monthly average exchange rates, to the current-year as-reported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74"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constant currency and organic change results, and a reconciliation from the reported results for consolidated revenue are included in the ‘Consolidated Revenue’ section within this Form 10-Q. These measures are also reported by segment in the ‘Segment Revenue and Segment Operating Income’ section within this Form 10-Q.</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Reconciliations of the as-reported change to the constant currency and organic changes for the three and nine months ended September 30, 2025 from the three and nine months ended September 30, 2024 are as follows. The components of revenue change may not add due to rounding.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2,288</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737"/>
        </w:trPr>
        <w:tc>
          <w:tcPr>
            <w:tcW w:w="128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60" w:type="dxa"/>
            <w:vAlign w:val="bottom"/>
            <w:tcBorders>
              <w:top w:val="single" w:sz="8" w:color="CFF0FC"/>
            </w:tcBorders>
            <w:gridSpan w:val="2"/>
          </w:tcPr>
          <w:p>
            <w:pPr>
              <w:jc w:val="right"/>
              <w:ind w:right="584"/>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-1002665</wp:posOffset>
            </wp:positionV>
            <wp:extent cx="768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-985520</wp:posOffset>
            </wp:positionV>
            <wp:extent cx="7683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-1002665</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-985520</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0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2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6,772</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6,895</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-25400</wp:posOffset>
            </wp:positionV>
            <wp:extent cx="768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-7620</wp:posOffset>
            </wp:positionV>
            <wp:extent cx="768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-25400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and nine months ended September 30, 2025.</w:t>
      </w:r>
    </w:p>
    <w:p>
      <w:pPr>
        <w:spacing w:after="0" w:line="1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our as-reported revenue decreased by $1 million and our organic revenue grew by 5%. For the nine months ended September 30, 2025, our as-reported revenue decreased by $123 million, or 2%, and our organic revenue grew by 5%. These decreases in as-reported revenue were due primarily to the sale of our TRANZACT business on December 31, 2024. The increases in organic revenue were driven by strong performances in both segments. For additional information, please see the section entitled ‘Segment Revenue and Segment Operating Income’ elsewhere within Item 2 of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08"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Adjusted operating income is defined as income/(loss) from operations adjusted for impairment,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Reconciliations of income/(loss) from operations to adjusted operating income for the three and nine months ended September 30, 2025 and 2024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14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418</w:t>
            </w:r>
          </w:p>
        </w:tc>
        <w:tc>
          <w:tcPr>
            <w:tcW w:w="8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(766)</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1,218</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w w:val="93"/>
              </w:rPr>
              <w:t>1,042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4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554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7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467</w:t>
            </w:r>
          </w:p>
        </w:tc>
        <w:tc>
          <w:tcPr>
            <w:tcW w:w="84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414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1,366</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1,282</w:t>
            </w:r>
          </w:p>
        </w:tc>
      </w:tr>
      <w:tr>
        <w:trPr>
          <w:trHeight w:val="20"/>
        </w:trPr>
        <w:tc>
          <w:tcPr>
            <w:tcW w:w="5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5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operations margin</w:t>
            </w:r>
          </w:p>
        </w:tc>
        <w:tc>
          <w:tcPr>
            <w:tcW w:w="7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-582295</wp:posOffset>
            </wp:positionV>
            <wp:extent cx="857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-582295</wp:posOffset>
            </wp:positionV>
            <wp:extent cx="857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-582295</wp:posOffset>
            </wp:positionV>
            <wp:extent cx="857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100" w:hanging="272"/>
        <w:spacing w:after="0" w:line="241" w:lineRule="auto"/>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operating income increased for the three months ended September 30, 2025 to $467 million, from $414 million for the three months ended September 30, 2024 and increased for the nine months ended September 30, 2025 to $1.4 billion from $1.3 billion for the nine months ended September 30, 2024. These increases resulted primarily from lower marketing expenses and decreased office and technology expenses in the current-year periods, partially offset by lower revenue due to the prior-year sale of our TRANZACT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5" w:name="page46"/>
    <w:bookmarkEnd w:id="45"/>
    <w:p>
      <w:pPr>
        <w:ind w:right="26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income/(loss) adjusted for provision for/(benefit from) income taxes, interest expense, impairment, depreciation and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Adjusted EBITDA margin is calculated by dividing adjusted EBITDA by revenue.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income/(loss) to adjusted EBITDA for the three and nine months ended September 30, 2025 and 2024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760" w:type="dxa"/>
            <w:vAlign w:val="bottom"/>
            <w:gridSpan w:val="5"/>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306</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(1,672)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877</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(1,336)</w:t>
            </w: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for/(benefit from) income taxes</w:t>
            </w:r>
          </w:p>
        </w:tc>
        <w:tc>
          <w:tcPr>
            <w:tcW w:w="740" w:type="dxa"/>
            <w:vAlign w:val="bottom"/>
          </w:tcPr>
          <w:p>
            <w:pPr>
              <w:spacing w:after="0"/>
              <w:rPr>
                <w:sz w:val="18"/>
                <w:szCs w:val="18"/>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w:t>
            </w:r>
          </w:p>
        </w:tc>
        <w:tc>
          <w:tcPr>
            <w:tcW w:w="740" w:type="dxa"/>
            <w:vAlign w:val="bottom"/>
          </w:tcPr>
          <w:p>
            <w:pPr>
              <w:spacing w:after="0"/>
              <w:rPr>
                <w:sz w:val="18"/>
                <w:szCs w:val="18"/>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tcPr>
          <w:p>
            <w:pPr>
              <w:spacing w:after="0"/>
              <w:rPr>
                <w:sz w:val="18"/>
                <w:szCs w:val="18"/>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40" w:type="dxa"/>
            <w:vAlign w:val="bottom"/>
          </w:tcPr>
          <w:p>
            <w:pPr>
              <w:spacing w:after="0"/>
              <w:rPr>
                <w:sz w:val="18"/>
                <w:szCs w:val="18"/>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560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74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7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1,190</w:t>
            </w: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40" w:type="dxa"/>
            <w:vAlign w:val="bottom"/>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515</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479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1,517</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1,470</w:t>
            </w: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6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-582295</wp:posOffset>
            </wp:positionV>
            <wp:extent cx="857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-582295</wp:posOffset>
            </wp:positionV>
            <wp:extent cx="857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-582295</wp:posOffset>
            </wp:positionV>
            <wp:extent cx="857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100" w:hanging="272"/>
        <w:spacing w:after="0" w:line="241" w:lineRule="auto"/>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2025 was $515 million, compared to $479 million for the three months ended September 30, 2024, and was $1.5 billion for both the nine months ended September 30, 2025 and 2024. These increases resulted primarily from lower marketing expenses and decreased office and technology expenses in the current-year periods, partially offset by lower revenue due to the prior-year sale of our TRANZACT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income/(loss) attributable to WTW adjusted for impairment,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6" w:name="page47"/>
    <w:bookmarkEnd w:id="46"/>
    <w:p>
      <w:pPr>
        <w:ind w:right="220"/>
        <w:spacing w:after="0" w:line="313" w:lineRule="auto"/>
        <w:rPr>
          <w:sz w:val="20"/>
          <w:szCs w:val="20"/>
          <w:color w:val="auto"/>
        </w:rPr>
      </w:pPr>
      <w:r>
        <w:rPr>
          <w:rFonts w:ascii="Times New Roman" w:cs="Times New Roman" w:eastAsia="Times New Roman" w:hAnsi="Times New Roman"/>
          <w:sz w:val="18"/>
          <w:szCs w:val="18"/>
          <w:color w:val="auto"/>
        </w:rPr>
        <w:t>Reconciliations of net income/(loss) attributable to WTW to adjusted diluted earnings per share for the three and nine months ended September 30, 2025 and 2024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20" w:type="dxa"/>
            <w:vAlign w:val="bottom"/>
            <w:gridSpan w:val="5"/>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4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0"/>
              </w:rPr>
              <w:t>millions)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 ATTRIBUTABLE TO WTW</w:t>
            </w:r>
          </w:p>
        </w:tc>
        <w:tc>
          <w:tcPr>
            <w:tcW w:w="170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304</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870</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486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48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4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9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70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282</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854</w:t>
            </w:r>
          </w:p>
        </w:tc>
      </w:tr>
      <w:tr>
        <w:trPr>
          <w:trHeight w:val="20"/>
        </w:trPr>
        <w:tc>
          <w:tcPr>
            <w:tcW w:w="4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8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8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earnings/(loss) per share</w:t>
            </w:r>
          </w:p>
        </w:tc>
        <w:tc>
          <w:tcPr>
            <w:tcW w:w="170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8.74</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48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(iii)</w:t>
            </w:r>
            <w:r>
              <w:rPr>
                <w:rFonts w:ascii="Times New Roman" w:cs="Times New Roman" w:eastAsia="Times New Roman" w:hAnsi="Times New Roman"/>
                <w:sz w:val="18"/>
                <w:szCs w:val="18"/>
                <w:color w:val="auto"/>
              </w:rPr>
              <w:t xml:space="preserve"> :</w:t>
            </w: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0.73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48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11.61</w:t>
            </w:r>
          </w:p>
        </w:tc>
      </w:tr>
      <w:tr>
        <w:trPr>
          <w:trHeight w:val="216"/>
        </w:trPr>
        <w:tc>
          <w:tcPr>
            <w:tcW w:w="486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9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9.07</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8.33</w:t>
            </w: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-2262505</wp:posOffset>
            </wp:positionV>
            <wp:extent cx="857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-2262505</wp:posOffset>
            </wp:positionV>
            <wp:extent cx="857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-2262505</wp:posOffset>
            </wp:positionV>
            <wp:extent cx="857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100" w:hanging="272"/>
        <w:spacing w:after="0" w:line="241" w:lineRule="auto"/>
        <w:tabs>
          <w:tab w:leader="none" w:pos="2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adjusted diluted earnings per share increased for both the three and nine months ended September 30, 2025 as compared to the prior year primarily due to a lower weighted-average outstanding share count due to our share repurchase activity over the last year, and lower marketing expenses and decreased office and technology expenses in the current-year periods, partially offset by lower revenue due to the prior-year sale of our TRANZACT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Adjusted income before taxes is defined as income/(loss) from operations before income taxes and interest in earnings of associates adjusted for impairment,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Adjusted income before taxes is used solely for the purpose of calculating the adjusted income tax rate.</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Adjusted income taxes/tax rate is defined as the provision for/(benefit from) income taxes adjusted for taxes on certain items of impairment, amortization, restructuring costs, transaction and transformation, gains and losses on disposals of operations, net periodic pension and postretirement benefits, the tax effects of significant adjustments and non-recurring items that, in management’s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7" w:name="page48"/>
    <w:bookmarkEnd w:id="47"/>
    <w:p>
      <w:pPr>
        <w:ind w:right="280"/>
        <w:spacing w:after="0" w:line="282" w:lineRule="auto"/>
        <w:rPr>
          <w:sz w:val="20"/>
          <w:szCs w:val="20"/>
          <w:color w:val="auto"/>
        </w:rPr>
      </w:pPr>
      <w:r>
        <w:rPr>
          <w:rFonts w:ascii="Times New Roman" w:cs="Times New Roman" w:eastAsia="Times New Roman" w:hAnsi="Times New Roman"/>
          <w:sz w:val="18"/>
          <w:szCs w:val="18"/>
          <w:color w:val="auto"/>
        </w:rPr>
        <w:t>judgment, significantly affect the period-over-period assessment of operating results, divided by adjusted income before taxes. Adjusted income taxes is used solely for the purpose of calculating the adjusted income tax rate.</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significant adjustments, which are not core to our current and future operations.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Reconciliations of income/(loss) from operations before income taxes and interest in earnings of associates to adjusted income before taxes and provision for/(benefit from) income taxes to adjusted income taxes for the three and nine months ended September 30, 2025 and 2024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720" w:type="dxa"/>
            <w:vAlign w:val="bottom"/>
            <w:gridSpan w:val="5"/>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2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r>
      <w:tr>
        <w:trPr>
          <w:trHeight w:val="156"/>
        </w:trPr>
        <w:tc>
          <w:tcPr>
            <w:tcW w:w="56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8"/>
        </w:trPr>
        <w:tc>
          <w:tcPr>
            <w:tcW w:w="56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INCOME/(LOSS) FROM OPERATIONS BEFORE INCOME</w:t>
            </w:r>
          </w:p>
        </w:tc>
        <w:tc>
          <w:tcPr>
            <w:tcW w:w="7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6"/>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 AND INTEREST IN EARNINGS OF</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4"/>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ASSOCIATES</w:t>
            </w:r>
          </w:p>
        </w:tc>
        <w:tc>
          <w:tcPr>
            <w:tcW w:w="740" w:type="dxa"/>
            <w:vAlign w:val="bottom"/>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390</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(1,998)</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1,006</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(1,589)</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tcPr>
          <w:p>
            <w:pPr>
              <w:spacing w:after="0"/>
              <w:rPr>
                <w:sz w:val="18"/>
                <w:szCs w:val="18"/>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40" w:type="dxa"/>
            <w:vAlign w:val="bottom"/>
          </w:tcPr>
          <w:p>
            <w:pPr>
              <w:spacing w:after="0"/>
              <w:rPr>
                <w:sz w:val="18"/>
                <w:szCs w:val="18"/>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566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74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7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1,190</w:t>
            </w: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74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401</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350</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1,164</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1,092</w:t>
            </w:r>
          </w:p>
        </w:tc>
      </w:tr>
      <w:tr>
        <w:trPr>
          <w:trHeight w:val="20"/>
        </w:trPr>
        <w:tc>
          <w:tcPr>
            <w:tcW w:w="5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for/(benefit from) income taxes</w:t>
            </w:r>
          </w:p>
        </w:tc>
        <w:tc>
          <w:tcPr>
            <w:tcW w:w="74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77</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121</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66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w:t>
            </w:r>
          </w:p>
        </w:tc>
      </w:tr>
      <w:tr>
        <w:trPr>
          <w:trHeight w:val="24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income taxes</w:t>
            </w:r>
          </w:p>
        </w:tc>
        <w:tc>
          <w:tcPr>
            <w:tcW w:w="740" w:type="dxa"/>
            <w:vAlign w:val="bottom"/>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69</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247</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235</w:t>
            </w:r>
          </w:p>
        </w:tc>
      </w:tr>
      <w:tr>
        <w:trPr>
          <w:trHeight w:val="197"/>
        </w:trPr>
        <w:tc>
          <w:tcPr>
            <w:tcW w:w="566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GAAP tax rate</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4"/>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income tax rate</w:t>
            </w: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-1313815</wp:posOffset>
            </wp:positionV>
            <wp:extent cx="857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-1313815</wp:posOffset>
            </wp:positionV>
            <wp:extent cx="857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-1313815</wp:posOffset>
            </wp:positionV>
            <wp:extent cx="857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-448310</wp:posOffset>
            </wp:positionV>
            <wp:extent cx="8572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-431165</wp:posOffset>
            </wp:positionV>
            <wp:extent cx="8572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-448310</wp:posOffset>
            </wp:positionV>
            <wp:extent cx="8572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-431165</wp:posOffset>
            </wp:positionV>
            <wp:extent cx="857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-448310</wp:posOffset>
            </wp:positionV>
            <wp:extent cx="8572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-431165</wp:posOffset>
            </wp:positionV>
            <wp:extent cx="857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280" w:right="100" w:hanging="272"/>
        <w:spacing w:after="0" w:line="241" w:lineRule="auto"/>
        <w:tabs>
          <w:tab w:leader="none" w:pos="2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1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U.S. GAAP tax rates were 19.7% and 16.1% for the three months ended September 30, 2025 and 2024, respectively, and 12.0% and 15.6% for the nine months ended September 30 2025 and 2024, respectively. The prior-year effective tax rate for the three months ended September 30, 2024 was lower due to deferred tax benefits recognized on the gross-up to carrying value of net assets to be disposed and a deferred tax benefit of $56 million, net of a $37 million valuation allowance, on the expected tax loss associated with the sale of our TRANZACT business. The current-year effective tax rate for the nine months ended September 30, 2025 is lower due to favorable discrete tax items, primarily related to provision-to-tax return adjustments.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adjusted income tax rates were 22.4% and 19.7% for the three months ended September 30, 2025 and 2024, respectively, and 21.2% and 21.5% for the nine months ended September 30, 2025 and 2024, respectively. The current-year quarter’s adjusted tax rate is higher primarily due to the geographical distribution of profits. The adjusted tax rate for the first nine months ended September 30, 2025 is lower due to favorable discrete items, primarily related to provision-to-tax return adjustments, in comparison to the prior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8"/>
          <w:szCs w:val="18"/>
          <w:color w:val="auto"/>
        </w:rPr>
        <w:t>Free cash flow is defined as cash flows from operating activities less cash used to purchase fixed assets and software. Free cash flow is a liquidity measure and is not meant to represent residual cash flow available for discretionary expenditures.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8" w:name="page49"/>
    <w:bookmarkEnd w:id="48"/>
    <w:p>
      <w:pPr>
        <w:ind w:right="680"/>
        <w:spacing w:after="0" w:line="282" w:lineRule="auto"/>
        <w:rPr>
          <w:sz w:val="20"/>
          <w:szCs w:val="20"/>
          <w:color w:val="auto"/>
        </w:rPr>
      </w:pPr>
      <w:r>
        <w:rPr>
          <w:rFonts w:ascii="Times New Roman" w:cs="Times New Roman" w:eastAsia="Times New Roman" w:hAnsi="Times New Roman"/>
          <w:sz w:val="18"/>
          <w:szCs w:val="18"/>
          <w:color w:val="auto"/>
        </w:rPr>
        <w:t>As a result of our change in presentation, free cash flow for the prior period has been adjusted to conform to the current period, which includes the deduction of our capitalized software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free cash flow presents the core operating performance and cash generating capabilities of our business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cash flows from operating activities to free cash flow for the nine months ended September 30,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80" w:type="dxa"/>
            <w:vAlign w:val="bottom"/>
            <w:gridSpan w:val="3"/>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2"/>
                <w:szCs w:val="12"/>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30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1,004</w:t>
            </w:r>
          </w:p>
        </w:tc>
        <w:tc>
          <w:tcPr>
            <w:tcW w:w="12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Additions to fixed assets and software</w:t>
            </w:r>
          </w:p>
        </w:tc>
        <w:tc>
          <w:tcPr>
            <w:tcW w:w="2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838</w:t>
            </w:r>
          </w:p>
        </w:tc>
        <w:tc>
          <w:tcPr>
            <w:tcW w:w="12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w:t>
            </w: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increase in free cash flow during the current-year period was primarily driven by operating margin expansion and lower Transformation program residual cash outflows.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8"/>
          <w:szCs w:val="18"/>
          <w:color w:val="auto"/>
        </w:rPr>
        <w:t>There were no material changes from the Critical Accounting Estimates disclosed in our Annual Report on Form 10-K for the year ended December 31, 2024, filed with the SEC on February 25, 2025.</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considered changes in our exposure to market risks during the nine months ended September 30, 2025 and have determined that there have been no material changes to our exposure to market risks from those described in the Company’s Annual Report on Form 10-K for the year ended December 31, 2024, filed with the SEC on February 25, 2025. However, we have provided the following information to supplement or update our disclosures on our Form 10-K.</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a global investment policy which is designed to ensure that we maintain diversification of our cash investments throughout the world in order to minimize the risk of loss due to a counterparty failure.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Fiduciary Funds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described in our Annual Report on Form 10-K, 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condensed consolidated financial statements as interest income. These funds are regulated in terms of access and the instruments in which they may be invested, most of which are short-term in maturity. Short-term rates in major currencies began to decrease over the second half of 2024 from end-of-2023 levels. This followed some steep central bank rate increases in 2023. Our increased interest income in 2024 reflected a combination of relatively high-average interest rates over the course of 2024 and some increases in our invested cash balances. Through the third quarter of 2025, although at levels below the same period in 2024, short-term rates have remained largely stable. Significant economic uncertainty prevails at this time, and the timing and magnitude of future central bank rate changes are uncertain. As to be expected, interest income in the future will be a function of the short-term rates we are able to obtain by currency and the cash balances available to invest. Interest income was $42 million and $121 million for the three and nine months ended September 30, 2025, respectively, and $43 million and $130 million for the three and nine months ended September 30, 2024, respectively. At September 30, 2025, we held $3.1 billion of fiduciary funds invested in interest-bearing accounts. If short-term interest rates increased or decreased by 25 basis points, interest earned on these invested fiduciary funds, and therefore our interest income recognized, would increase or decrease by approximately $8 million on an annualized basis.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September 30, 2025,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required by Rules 13a-15(d) or 15d-15(d) under the Exchange Act during the quarter ended September 30, 2025 that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0" w:name="page51"/>
    <w:bookmarkEnd w:id="50"/>
    <w:p>
      <w:pPr>
        <w:spacing w:after="0" w:line="266" w:lineRule="auto"/>
        <w:rPr>
          <w:sz w:val="20"/>
          <w:szCs w:val="20"/>
          <w:color w:val="auto"/>
        </w:rPr>
      </w:pPr>
      <w:r>
        <w:rPr>
          <w:rFonts w:ascii="Times New Roman" w:cs="Times New Roman" w:eastAsia="Times New Roman" w:hAnsi="Times New Roman"/>
          <w:sz w:val="18"/>
          <w:szCs w:val="18"/>
          <w:color w:val="auto"/>
        </w:rPr>
        <w:t>due to error or fraud may occur and may not be detected. Nevertheless, the disclosure controls and procedures are designed to provide reasonable assurance of achieving their stated objectives, and the CEO and CFO have concluded that the disclosure controls and procedures are effective at a reasonable assurance level.</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Quarterly Report for the quarter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risk factors as previously disclosed in our Annual Report on Form 10-K, filed with the SEC on February 25, 2025. We urge you to read the risk factors contained therein.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no shares were issued by the Company without registration under the Securities Act of 1933, as amended.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November 20, 2024, the board of directors approved a $1.0 billion increase to the existing share repurchase program. Additionally, on September 16, 2025, the board of directors approved a $1.5 billion increase to the existing share repurchase program. These increases brought the total approved authorization, since the announcement of the program on April 20, 2016, to $11.7 billion.</w:t>
      </w:r>
    </w:p>
    <w:p>
      <w:pPr>
        <w:spacing w:after="0" w:line="12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its shares in the third quarter of 2025 and the Company’s remaining repurchase authority.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Total number of 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color w:val="auto"/>
              </w:rPr>
              <w:t>Average price</w:t>
            </w:r>
          </w:p>
        </w:tc>
        <w:tc>
          <w:tcPr>
            <w:tcW w:w="120" w:type="dxa"/>
            <w:vAlign w:val="bottom"/>
          </w:tcPr>
          <w:p>
            <w:pPr>
              <w:spacing w:after="0"/>
              <w:rPr>
                <w:sz w:val="13"/>
                <w:szCs w:val="13"/>
                <w:color w:val="auto"/>
              </w:rPr>
            </w:pPr>
          </w:p>
        </w:tc>
        <w:tc>
          <w:tcPr>
            <w:tcW w:w="202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Total number of shares</w:t>
            </w:r>
          </w:p>
        </w:tc>
        <w:tc>
          <w:tcPr>
            <w:tcW w:w="100" w:type="dxa"/>
            <w:vAlign w:val="bottom"/>
          </w:tcPr>
          <w:p>
            <w:pPr>
              <w:spacing w:after="0"/>
              <w:rPr>
                <w:sz w:val="13"/>
                <w:szCs w:val="13"/>
                <w:color w:val="auto"/>
              </w:rPr>
            </w:pPr>
          </w:p>
        </w:tc>
        <w:tc>
          <w:tcPr>
            <w:tcW w:w="19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Maximum number of shares</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color w:val="auto"/>
              </w:rPr>
              <w:t>purchased as part of publicly</w:t>
            </w:r>
          </w:p>
        </w:tc>
        <w:tc>
          <w:tcPr>
            <w:tcW w:w="100" w:type="dxa"/>
            <w:vAlign w:val="bottom"/>
          </w:tcPr>
          <w:p>
            <w:pPr>
              <w:spacing w:after="0"/>
              <w:rPr>
                <w:sz w:val="12"/>
                <w:szCs w:val="12"/>
                <w:color w:val="auto"/>
              </w:rPr>
            </w:pPr>
          </w:p>
        </w:tc>
        <w:tc>
          <w:tcPr>
            <w:tcW w:w="1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that may yet be purchased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Period</w:t>
            </w:r>
          </w:p>
        </w:tc>
        <w:tc>
          <w:tcPr>
            <w:tcW w:w="1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color w:val="auto"/>
              </w:rPr>
              <w:t>paid per share</w:t>
            </w: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color w:val="auto"/>
              </w:rPr>
              <w:t>announced plans or programs</w:t>
            </w:r>
          </w:p>
        </w:tc>
        <w:tc>
          <w:tcPr>
            <w:tcW w:w="100" w:type="dxa"/>
            <w:vAlign w:val="bottom"/>
          </w:tcPr>
          <w:p>
            <w:pPr>
              <w:spacing w:after="0"/>
              <w:rPr>
                <w:sz w:val="14"/>
                <w:szCs w:val="14"/>
                <w:color w:val="auto"/>
              </w:rPr>
            </w:pPr>
          </w:p>
        </w:tc>
        <w:tc>
          <w:tcPr>
            <w:tcW w:w="1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under the plans or programs</w:t>
            </w: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1, 2025 through July 31, 2025</w:t>
            </w:r>
          </w:p>
        </w:tc>
        <w:tc>
          <w:tcPr>
            <w:tcW w:w="14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434,164</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306.69</w:t>
            </w:r>
          </w:p>
        </w:tc>
        <w:tc>
          <w:tcPr>
            <w:tcW w:w="214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434,164</w:t>
            </w:r>
          </w:p>
        </w:tc>
        <w:tc>
          <w:tcPr>
            <w:tcW w:w="20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6,166,440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August 1, 2025 through August 31, 2025</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987,291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328.49</w:t>
            </w:r>
          </w:p>
        </w:tc>
        <w:tc>
          <w:tcPr>
            <w:tcW w:w="21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987,291</w:t>
            </w:r>
          </w:p>
        </w:tc>
        <w:tc>
          <w:tcPr>
            <w:tcW w:w="2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5,179,149</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1, 2025 through September 30, 2025</w:t>
            </w: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426,643</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334.09</w:t>
            </w:r>
          </w:p>
        </w:tc>
        <w:tc>
          <w:tcPr>
            <w:tcW w:w="12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426,643</w:t>
            </w:r>
          </w:p>
        </w:tc>
        <w:tc>
          <w:tcPr>
            <w:tcW w:w="208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4,752,506</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1,848,098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324.66</w:t>
            </w:r>
          </w:p>
        </w:tc>
        <w:tc>
          <w:tcPr>
            <w:tcW w:w="21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1,848,098</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-170815</wp:posOffset>
            </wp:positionV>
            <wp:extent cx="939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September 30, 2025 the maximum number of shares that may yet be purchased under the existing share repurchase plan is 4,752,506, with approximately $1.6 billion remaining on the current open-ended repurchase authority granted by the board. An estimate of the maximum number of shares under the existing authorities was determined using the closing price of our ordinary shares on September 30, 2025 of $345.45.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17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10b5-1 Trading Arrangements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quarter ended September 30, 2025, none of the Company’s directors and officers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340" w:type="dxa"/>
            <w:vAlign w:val="bottom"/>
            <w:gridSpan w:val="16"/>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Schedul</w:t>
            </w:r>
          </w:p>
        </w:tc>
        <w:tc>
          <w:tcPr>
            <w:tcW w:w="10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340" w:type="dxa"/>
            <w:vAlign w:val="bottom"/>
            <w:gridSpan w:val="16"/>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14"/>
                <w:szCs w:val="14"/>
                <w:color w:val="auto"/>
              </w:rPr>
            </w:pPr>
          </w:p>
        </w:tc>
        <w:tc>
          <w:tcPr>
            <w:tcW w:w="6300" w:type="dxa"/>
            <w:vAlign w:val="bottom"/>
            <w:tcBorders>
              <w:bottom w:val="single" w:sz="8" w:color="0000FF"/>
            </w:tcBorders>
            <w:gridSpan w:val="8"/>
            <w:shd w:val="clear" w:color="auto" w:fill="CFF0FC"/>
          </w:tcPr>
          <w:p>
            <w:pPr>
              <w:spacing w:after="0" w:line="169" w:lineRule="exact"/>
              <w:rPr>
                <w:rFonts w:ascii="Times New Roman" w:cs="Times New Roman" w:eastAsia="Times New Roman" w:hAnsi="Times New Roman"/>
                <w:sz w:val="18"/>
                <w:szCs w:val="18"/>
                <w:color w:val="0000FF"/>
              </w:rPr>
            </w:pPr>
            <w:hyperlink r:id="rId564">
              <w:r>
                <w:rPr>
                  <w:rFonts w:ascii="Times New Roman" w:cs="Times New Roman" w:eastAsia="Times New Roman" w:hAnsi="Times New Roman"/>
                  <w:sz w:val="18"/>
                  <w:szCs w:val="18"/>
                  <w:color w:val="0000FF"/>
                </w:rPr>
                <w:t>Third Amended and Restated Credit Agreement, dated as of October 17, 2025, among,</w:t>
              </w:r>
            </w:hyperlink>
          </w:p>
        </w:tc>
        <w:tc>
          <w:tcPr>
            <w:tcW w:w="540" w:type="dxa"/>
            <w:vAlign w:val="bottom"/>
            <w:tcBorders>
              <w:bottom w:val="single" w:sz="8" w:color="CFF0FC"/>
            </w:tcBorders>
            <w:gridSpan w:val="9"/>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540" w:type="dxa"/>
            <w:vAlign w:val="bottom"/>
            <w:tcBorders>
              <w:bottom w:val="single" w:sz="8" w:color="CFF0FC"/>
            </w:tcBorders>
            <w:gridSpan w:val="2"/>
            <w:shd w:val="clear" w:color="auto" w:fill="CFF0FC"/>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jc w:val="center"/>
              <w:spacing w:after="0" w:line="169" w:lineRule="exact"/>
              <w:rPr>
                <w:sz w:val="20"/>
                <w:szCs w:val="20"/>
                <w:color w:val="auto"/>
              </w:rPr>
            </w:pPr>
            <w:r>
              <w:rPr>
                <w:rFonts w:ascii="Times New Roman" w:cs="Times New Roman" w:eastAsia="Times New Roman" w:hAnsi="Times New Roman"/>
                <w:sz w:val="17"/>
                <w:szCs w:val="17"/>
                <w:color w:val="auto"/>
              </w:rPr>
              <w:t>October 20,</w:t>
            </w: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680" w:type="dxa"/>
            <w:vAlign w:val="bottom"/>
            <w:tcBorders>
              <w:bottom w:val="single" w:sz="8" w:color="0000FF"/>
            </w:tcBorders>
            <w:gridSpan w:val="14"/>
            <w:shd w:val="clear" w:color="auto" w:fill="CFF0FC"/>
          </w:tcPr>
          <w:p>
            <w:pPr>
              <w:spacing w:after="0" w:line="196" w:lineRule="exact"/>
              <w:rPr>
                <w:rFonts w:ascii="Times New Roman" w:cs="Times New Roman" w:eastAsia="Times New Roman" w:hAnsi="Times New Roman"/>
                <w:sz w:val="18"/>
                <w:szCs w:val="18"/>
                <w:color w:val="0000FF"/>
              </w:rPr>
            </w:pPr>
            <w:hyperlink r:id="rId564">
              <w:r>
                <w:rPr>
                  <w:rFonts w:ascii="Times New Roman" w:cs="Times New Roman" w:eastAsia="Times New Roman" w:hAnsi="Times New Roman"/>
                  <w:sz w:val="18"/>
                  <w:szCs w:val="18"/>
                  <w:color w:val="0000FF"/>
                </w:rPr>
                <w:t>Trinity Acquisition plc and its indirect subsidiary, Willis North America Inc., Willis Towers</w:t>
              </w:r>
            </w:hyperlink>
          </w:p>
        </w:tc>
        <w:tc>
          <w:tcPr>
            <w:tcW w:w="160" w:type="dxa"/>
            <w:vAlign w:val="bottom"/>
            <w:tcBorders>
              <w:bottom w:val="single" w:sz="8" w:color="CFF0FC"/>
            </w:tcBorders>
            <w:gridSpan w:val="3"/>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jc w:val="center"/>
              <w:ind w:left="15"/>
              <w:spacing w:after="0"/>
              <w:rPr>
                <w:sz w:val="20"/>
                <w:szCs w:val="20"/>
                <w:color w:val="auto"/>
              </w:rPr>
            </w:pPr>
            <w:r>
              <w:rPr>
                <w:rFonts w:ascii="Times New Roman" w:cs="Times New Roman" w:eastAsia="Times New Roman" w:hAnsi="Times New Roman"/>
                <w:sz w:val="17"/>
                <w:szCs w:val="17"/>
                <w:color w:val="auto"/>
                <w:w w:val="99"/>
              </w:rPr>
              <w:t>2025</w:t>
            </w: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320" w:type="dxa"/>
            <w:vAlign w:val="bottom"/>
            <w:tcBorders>
              <w:bottom w:val="single" w:sz="8" w:color="0000FF"/>
            </w:tcBorders>
            <w:gridSpan w:val="9"/>
            <w:shd w:val="clear" w:color="auto" w:fill="CFF0FC"/>
          </w:tcPr>
          <w:p>
            <w:pPr>
              <w:spacing w:after="0" w:line="196" w:lineRule="exact"/>
              <w:rPr>
                <w:rFonts w:ascii="Times New Roman" w:cs="Times New Roman" w:eastAsia="Times New Roman" w:hAnsi="Times New Roman"/>
                <w:sz w:val="18"/>
                <w:szCs w:val="18"/>
                <w:color w:val="0000FF"/>
              </w:rPr>
            </w:pPr>
            <w:hyperlink r:id="rId564">
              <w:r>
                <w:rPr>
                  <w:rFonts w:ascii="Times New Roman" w:cs="Times New Roman" w:eastAsia="Times New Roman" w:hAnsi="Times New Roman"/>
                  <w:sz w:val="18"/>
                  <w:szCs w:val="18"/>
                  <w:color w:val="0000FF"/>
                </w:rPr>
                <w:t>Watson Public Limited Company, the lenders party thereto and Barclays Bank PLC, as</w:t>
              </w:r>
            </w:hyperlink>
          </w:p>
        </w:tc>
        <w:tc>
          <w:tcPr>
            <w:tcW w:w="520" w:type="dxa"/>
            <w:vAlign w:val="bottom"/>
            <w:tcBorders>
              <w:bottom w:val="single" w:sz="8" w:color="CFF0FC"/>
            </w:tcBorders>
            <w:gridSpan w:val="8"/>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40" w:type="dxa"/>
            <w:vAlign w:val="bottom"/>
            <w:gridSpan w:val="17"/>
            <w:shd w:val="clear" w:color="auto" w:fill="CFF0FC"/>
          </w:tcPr>
          <w:p>
            <w:pPr>
              <w:spacing w:after="0" w:line="196" w:lineRule="exact"/>
              <w:rPr>
                <w:rFonts w:ascii="Times New Roman" w:cs="Times New Roman" w:eastAsia="Times New Roman" w:hAnsi="Times New Roman"/>
                <w:sz w:val="18"/>
                <w:szCs w:val="18"/>
                <w:color w:val="0000FF"/>
              </w:rPr>
            </w:pPr>
            <w:hyperlink r:id="rId564">
              <w:r>
                <w:rPr>
                  <w:rFonts w:ascii="Times New Roman" w:cs="Times New Roman" w:eastAsia="Times New Roman" w:hAnsi="Times New Roman"/>
                  <w:sz w:val="18"/>
                  <w:szCs w:val="18"/>
                  <w:color w:val="0000FF"/>
                </w:rPr>
                <w:t>administrative agent.</w:t>
              </w:r>
            </w:hyperlink>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0000FF"/>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6520" w:type="dxa"/>
            <w:vAlign w:val="bottom"/>
            <w:tcBorders>
              <w:bottom w:val="single" w:sz="8" w:color="0000FF"/>
            </w:tcBorders>
            <w:gridSpan w:val="12"/>
          </w:tcPr>
          <w:p>
            <w:pPr>
              <w:spacing w:after="0" w:line="176" w:lineRule="exact"/>
              <w:rPr>
                <w:rFonts w:ascii="Times New Roman" w:cs="Times New Roman" w:eastAsia="Times New Roman" w:hAnsi="Times New Roman"/>
                <w:sz w:val="18"/>
                <w:szCs w:val="18"/>
                <w:color w:val="0000FF"/>
              </w:rPr>
            </w:pPr>
            <w:hyperlink r:id="rId565">
              <w:r>
                <w:rPr>
                  <w:rFonts w:ascii="Times New Roman" w:cs="Times New Roman" w:eastAsia="Times New Roman" w:hAnsi="Times New Roman"/>
                  <w:sz w:val="18"/>
                  <w:szCs w:val="18"/>
                  <w:color w:val="0000FF"/>
                </w:rPr>
                <w:t>Third Amended and Restated Guaranty Agreement, dated as of October 17, 2025, among,</w:t>
              </w:r>
            </w:hyperlink>
          </w:p>
        </w:tc>
        <w:tc>
          <w:tcPr>
            <w:tcW w:w="320" w:type="dxa"/>
            <w:vAlign w:val="bottom"/>
            <w:gridSpan w:val="5"/>
          </w:tcPr>
          <w:p>
            <w:pPr>
              <w:spacing w:after="0"/>
              <w:rPr>
                <w:sz w:val="15"/>
                <w:szCs w:val="15"/>
                <w:color w:val="auto"/>
              </w:rPr>
            </w:pPr>
          </w:p>
        </w:tc>
        <w:tc>
          <w:tcPr>
            <w:tcW w:w="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54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October 20,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565">
              <w:r>
                <w:rPr>
                  <w:rFonts w:ascii="Times New Roman" w:cs="Times New Roman" w:eastAsia="Times New Roman" w:hAnsi="Times New Roman"/>
                  <w:sz w:val="18"/>
                  <w:szCs w:val="18"/>
                  <w:color w:val="0000FF"/>
                </w:rPr>
                <w:t>Trinity Acquisition plc, Willis Towers Watson Public Limited Company, the other</w:t>
              </w:r>
            </w:hyperlink>
          </w:p>
        </w:tc>
        <w:tc>
          <w:tcPr>
            <w:tcW w:w="84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9"/>
              </w:rPr>
              <w:t>2025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gridSpan w:val="17"/>
          </w:tcPr>
          <w:p>
            <w:pPr>
              <w:spacing w:after="0" w:line="196" w:lineRule="exact"/>
              <w:rPr>
                <w:rFonts w:ascii="Times New Roman" w:cs="Times New Roman" w:eastAsia="Times New Roman" w:hAnsi="Times New Roman"/>
                <w:sz w:val="18"/>
                <w:szCs w:val="18"/>
                <w:color w:val="0000FF"/>
              </w:rPr>
            </w:pPr>
            <w:hyperlink r:id="rId565">
              <w:r>
                <w:rPr>
                  <w:rFonts w:ascii="Times New Roman" w:cs="Times New Roman" w:eastAsia="Times New Roman" w:hAnsi="Times New Roman"/>
                  <w:sz w:val="18"/>
                  <w:szCs w:val="18"/>
                  <w:color w:val="0000FF"/>
                </w:rPr>
                <w:t>guarantors party thereto and Barclays Bank PLC, as administrative agent.</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15"/>
                <w:szCs w:val="15"/>
                <w:color w:val="auto"/>
              </w:rPr>
            </w:pPr>
          </w:p>
        </w:tc>
        <w:tc>
          <w:tcPr>
            <w:tcW w:w="6840" w:type="dxa"/>
            <w:vAlign w:val="bottom"/>
            <w:gridSpan w:val="17"/>
            <w:shd w:val="clear" w:color="auto" w:fill="CFF0FC"/>
          </w:tcPr>
          <w:p>
            <w:pPr>
              <w:spacing w:after="0" w:line="176" w:lineRule="exact"/>
              <w:rPr>
                <w:rFonts w:ascii="Times New Roman" w:cs="Times New Roman" w:eastAsia="Times New Roman" w:hAnsi="Times New Roman"/>
                <w:sz w:val="18"/>
                <w:szCs w:val="18"/>
                <w:color w:val="0000FF"/>
              </w:rPr>
            </w:pPr>
            <w:hyperlink r:id="rId566">
              <w:r>
                <w:rPr>
                  <w:rFonts w:ascii="Times New Roman" w:cs="Times New Roman" w:eastAsia="Times New Roman" w:hAnsi="Times New Roman"/>
                  <w:sz w:val="18"/>
                  <w:szCs w:val="18"/>
                  <w:color w:val="0000FF"/>
                </w:rPr>
                <w:t>List of Issuers and Guarantor Subsidiaries.</w:t>
              </w:r>
            </w:hyperlink>
          </w:p>
        </w:tc>
        <w:tc>
          <w:tcPr>
            <w:tcW w:w="54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540" w:type="dxa"/>
            <w:vAlign w:val="bottom"/>
            <w:gridSpan w:val="2"/>
            <w:shd w:val="clear" w:color="auto" w:fill="CFF0FC"/>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February 25,</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500" w:type="dxa"/>
            <w:vAlign w:val="bottom"/>
            <w:tcBorders>
              <w:top w:val="single" w:sz="8" w:color="0000FF"/>
            </w:tcBorders>
            <w:shd w:val="clear" w:color="auto" w:fill="CFF0FC"/>
          </w:tcPr>
          <w:p>
            <w:pPr>
              <w:spacing w:after="0"/>
              <w:rPr>
                <w:sz w:val="18"/>
                <w:szCs w:val="18"/>
                <w:color w:val="auto"/>
              </w:rPr>
            </w:pPr>
          </w:p>
        </w:tc>
        <w:tc>
          <w:tcPr>
            <w:tcW w:w="1560" w:type="dxa"/>
            <w:vAlign w:val="bottom"/>
            <w:tcBorders>
              <w:top w:val="single" w:sz="8" w:color="0000FF"/>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5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gridSpan w:val="2"/>
            <w:shd w:val="clear" w:color="auto" w:fill="CFF0FC"/>
          </w:tcPr>
          <w:p>
            <w:pPr>
              <w:jc w:val="center"/>
              <w:ind w:left="15"/>
              <w:spacing w:after="0"/>
              <w:rPr>
                <w:sz w:val="20"/>
                <w:szCs w:val="20"/>
                <w:color w:val="auto"/>
              </w:rPr>
            </w:pPr>
            <w:r>
              <w:rPr>
                <w:rFonts w:ascii="Times New Roman" w:cs="Times New Roman" w:eastAsia="Times New Roman" w:hAnsi="Times New Roman"/>
                <w:sz w:val="17"/>
                <w:szCs w:val="17"/>
                <w:color w:val="auto"/>
                <w:w w:val="99"/>
              </w:rPr>
              <w:t>2025</w:t>
            </w: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5"/>
                <w:szCs w:val="15"/>
                <w:color w:val="auto"/>
              </w:rPr>
            </w:pPr>
          </w:p>
        </w:tc>
        <w:tc>
          <w:tcPr>
            <w:tcW w:w="6720" w:type="dxa"/>
            <w:vAlign w:val="bottom"/>
            <w:tcBorders>
              <w:bottom w:val="single" w:sz="8" w:color="0000FF"/>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pursuant to Rule 13a-</w:t>
            </w:r>
          </w:p>
        </w:tc>
        <w:tc>
          <w:tcPr>
            <w:tcW w:w="12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14 of the Securities Exchange Act of 1934.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FF0FC"/>
            </w:tcBorders>
            <w:shd w:val="clear" w:color="auto" w:fill="CFF0FC"/>
          </w:tcPr>
          <w:p>
            <w:pPr>
              <w:spacing w:after="0"/>
              <w:rPr>
                <w:sz w:val="15"/>
                <w:szCs w:val="15"/>
                <w:color w:val="auto"/>
              </w:rPr>
            </w:pPr>
          </w:p>
        </w:tc>
        <w:tc>
          <w:tcPr>
            <w:tcW w:w="6400" w:type="dxa"/>
            <w:vAlign w:val="bottom"/>
            <w:tcBorders>
              <w:bottom w:val="single" w:sz="8" w:color="0000FF"/>
            </w:tcBorders>
            <w:gridSpan w:val="11"/>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Financial Officer, Andrew J. Krasner, pursuant to</w:t>
            </w:r>
          </w:p>
        </w:tc>
        <w:tc>
          <w:tcPr>
            <w:tcW w:w="440" w:type="dxa"/>
            <w:vAlign w:val="bottom"/>
            <w:tcBorders>
              <w:bottom w:val="single" w:sz="8" w:color="CFF0FC"/>
            </w:tcBorders>
            <w:gridSpan w:val="6"/>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40" w:type="dxa"/>
            <w:vAlign w:val="bottom"/>
            <w:gridSpan w:val="17"/>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Rule 13a-14 of the Securities Exchange Act of 1934.</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0000FF"/>
            </w:tcBorders>
            <w:shd w:val="clear" w:color="auto" w:fill="CFF0FC"/>
          </w:tcPr>
          <w:p>
            <w:pPr>
              <w:spacing w:after="0" w:line="20" w:lineRule="exact"/>
              <w:rPr>
                <w:sz w:val="1"/>
                <w:szCs w:val="1"/>
                <w:color w:val="auto"/>
              </w:rPr>
            </w:pPr>
          </w:p>
        </w:tc>
        <w:tc>
          <w:tcPr>
            <w:tcW w:w="15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5"/>
                <w:szCs w:val="15"/>
                <w:color w:val="auto"/>
              </w:rPr>
            </w:pPr>
          </w:p>
        </w:tc>
        <w:tc>
          <w:tcPr>
            <w:tcW w:w="6620" w:type="dxa"/>
            <w:vAlign w:val="bottom"/>
            <w:tcBorders>
              <w:bottom w:val="single" w:sz="8" w:color="0000FF"/>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Executive Officer, Carl A. Hess, and Chief Financial</w:t>
            </w:r>
          </w:p>
        </w:tc>
        <w:tc>
          <w:tcPr>
            <w:tcW w:w="22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Officer, Andrew J. Krasner, pursuant to 18 U.S.C. Section 1350, as adopted pursuant to</w:t>
            </w:r>
          </w:p>
        </w:tc>
        <w:tc>
          <w:tcPr>
            <w:tcW w:w="48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 w:type="dxa"/>
            <w:vAlign w:val="bottom"/>
            <w:shd w:val="clear" w:color="auto" w:fill="CFF0FC"/>
          </w:tcPr>
          <w:p>
            <w:pPr>
              <w:spacing w:after="0"/>
              <w:rPr>
                <w:sz w:val="17"/>
                <w:szCs w:val="17"/>
                <w:color w:val="auto"/>
              </w:rPr>
            </w:pPr>
          </w:p>
        </w:tc>
        <w:tc>
          <w:tcPr>
            <w:tcW w:w="6840" w:type="dxa"/>
            <w:vAlign w:val="bottom"/>
            <w:gridSpan w:val="17"/>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40" w:type="dxa"/>
            <w:vAlign w:val="bottom"/>
            <w:gridSpan w:val="17"/>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File because XBRL tags are embedded within the Inline XBRL document</w:t>
            </w: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101.SC</w:t>
            </w:r>
          </w:p>
        </w:tc>
        <w:tc>
          <w:tcPr>
            <w:tcW w:w="100" w:type="dxa"/>
            <w:vAlign w:val="bottom"/>
          </w:tcPr>
          <w:p>
            <w:pPr>
              <w:spacing w:after="0"/>
              <w:rPr>
                <w:sz w:val="17"/>
                <w:szCs w:val="17"/>
                <w:color w:val="auto"/>
              </w:rPr>
            </w:pPr>
          </w:p>
        </w:tc>
        <w:tc>
          <w:tcPr>
            <w:tcW w:w="684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8"/>
                <w:szCs w:val="18"/>
                <w:color w:val="auto"/>
              </w:rPr>
            </w:pPr>
          </w:p>
        </w:tc>
        <w:tc>
          <w:tcPr>
            <w:tcW w:w="6840" w:type="dxa"/>
            <w:vAlign w:val="bottom"/>
            <w:gridSpan w:val="17"/>
            <w:shd w:val="clear" w:color="auto" w:fill="CFF0FC"/>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59" w:lineRule="exact"/>
        <w:rPr>
          <w:sz w:val="20"/>
          <w:szCs w:val="20"/>
          <w:color w:val="auto"/>
        </w:rPr>
      </w:pPr>
    </w:p>
    <w:p>
      <w:pPr>
        <w:ind w:firstLine="8"/>
        <w:spacing w:after="0" w:line="258" w:lineRule="auto"/>
        <w:tabs>
          <w:tab w:leader="none" w:pos="2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Carl A. Hess</w:t>
            </w:r>
          </w:p>
        </w:tc>
        <w:tc>
          <w:tcPr>
            <w:tcW w:w="560" w:type="dxa"/>
            <w:vAlign w:val="bottom"/>
          </w:tcPr>
          <w:p>
            <w:pPr>
              <w:spacing w:after="0"/>
              <w:rPr>
                <w:sz w:val="18"/>
                <w:szCs w:val="18"/>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October 30, 2025</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Carl A. Hess</w:t>
            </w:r>
          </w:p>
        </w:tc>
        <w:tc>
          <w:tcPr>
            <w:tcW w:w="560" w:type="dxa"/>
            <w:vAlign w:val="bottom"/>
            <w:vMerge w:val="continue"/>
          </w:tcPr>
          <w:p>
            <w:pPr>
              <w:spacing w:after="0"/>
              <w:rPr>
                <w:sz w:val="15"/>
                <w:szCs w:val="15"/>
                <w:color w:val="auto"/>
              </w:rPr>
            </w:pPr>
          </w:p>
        </w:tc>
        <w:tc>
          <w:tcPr>
            <w:tcW w:w="5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Andrew J. Krasner</w:t>
            </w:r>
          </w:p>
        </w:tc>
        <w:tc>
          <w:tcPr>
            <w:tcW w:w="56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October 30, 2025</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Andrew J. Krasner</w:t>
            </w:r>
          </w:p>
        </w:tc>
        <w:tc>
          <w:tcPr>
            <w:tcW w:w="560" w:type="dxa"/>
            <w:vAlign w:val="bottom"/>
            <w:vMerge w:val="continue"/>
          </w:tcPr>
          <w:p>
            <w:pPr>
              <w:spacing w:after="0"/>
              <w:rPr>
                <w:sz w:val="15"/>
                <w:szCs w:val="15"/>
                <w:color w:val="auto"/>
              </w:rPr>
            </w:pPr>
          </w:p>
        </w:tc>
        <w:tc>
          <w:tcPr>
            <w:tcW w:w="5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Joseph S. Kurpis</w:t>
            </w:r>
          </w:p>
        </w:tc>
        <w:tc>
          <w:tcPr>
            <w:tcW w:w="56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October 30, 2025</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Joseph S. Kurpis</w:t>
            </w:r>
          </w:p>
        </w:tc>
        <w:tc>
          <w:tcPr>
            <w:tcW w:w="560" w:type="dxa"/>
            <w:vAlign w:val="bottom"/>
            <w:vMerge w:val="continue"/>
          </w:tcPr>
          <w:p>
            <w:pPr>
              <w:spacing w:after="0"/>
              <w:rPr>
                <w:sz w:val="15"/>
                <w:szCs w:val="15"/>
                <w:color w:val="auto"/>
              </w:rPr>
            </w:pPr>
          </w:p>
        </w:tc>
        <w:tc>
          <w:tcPr>
            <w:tcW w:w="5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 and Controller</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1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117" w:lineRule="exact"/>
        <w:rPr>
          <w:sz w:val="20"/>
          <w:szCs w:val="20"/>
          <w:color w:val="auto"/>
        </w:rPr>
      </w:pPr>
    </w:p>
    <w:p>
      <w:pPr>
        <w:ind w:left="480" w:hanging="472"/>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7" w:lineRule="exact"/>
        <w:rPr>
          <w:rFonts w:ascii="Times New Roman" w:cs="Times New Roman" w:eastAsia="Times New Roman" w:hAnsi="Times New Roman"/>
          <w:sz w:val="18"/>
          <w:szCs w:val="18"/>
          <w:color w:val="auto"/>
        </w:rPr>
      </w:pPr>
    </w:p>
    <w:p>
      <w:pPr>
        <w:jc w:val="both"/>
        <w:ind w:left="480" w:right="280" w:hanging="472"/>
        <w:spacing w:after="0" w:line="266"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240" w:hanging="472"/>
        <w:spacing w:after="0" w:line="282"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380" w:hanging="473"/>
        <w:spacing w:after="0" w:line="266"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40" w:hanging="473"/>
        <w:spacing w:after="0" w:line="282"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80" w:right="160" w:hanging="472"/>
        <w:spacing w:after="0" w:line="282"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73"/>
        <w:spacing w:after="0" w:line="282"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460" w:hanging="473"/>
        <w:spacing w:after="0" w:line="282"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117" w:lineRule="exact"/>
        <w:rPr>
          <w:sz w:val="20"/>
          <w:szCs w:val="20"/>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7" w:lineRule="exact"/>
        <w:rPr>
          <w:rFonts w:ascii="Times New Roman" w:cs="Times New Roman" w:eastAsia="Times New Roman" w:hAnsi="Times New Roman"/>
          <w:sz w:val="18"/>
          <w:szCs w:val="18"/>
          <w:color w:val="auto"/>
        </w:rPr>
      </w:pPr>
    </w:p>
    <w:p>
      <w:pPr>
        <w:jc w:val="both"/>
        <w:ind w:left="480" w:right="280" w:hanging="472"/>
        <w:spacing w:after="0" w:line="266"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240" w:hanging="472"/>
        <w:spacing w:after="0" w:line="282"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380" w:hanging="473"/>
        <w:spacing w:after="0" w:line="266"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40" w:hanging="473"/>
        <w:spacing w:after="0" w:line="282"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80" w:right="160" w:hanging="472"/>
        <w:spacing w:after="0" w:line="282"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73"/>
        <w:spacing w:after="0" w:line="282"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460" w:hanging="473"/>
        <w:spacing w:after="0" w:line="282"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w:t>
      </w:r>
    </w:p>
    <w:p>
      <w:pPr>
        <w:spacing w:after="0" w:line="216" w:lineRule="exact"/>
        <w:rPr>
          <w:sz w:val="20"/>
          <w:szCs w:val="20"/>
          <w:color w:val="auto"/>
        </w:rPr>
      </w:pPr>
    </w:p>
    <w:p>
      <w:pPr>
        <w:ind w:left="1040" w:right="640" w:hanging="567"/>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September 30, 2025 (the ‘Report’) fully complies with the requirements of Section 13(a) or Section 15(d), as applicable, of the Exchange Act; and</w:t>
      </w:r>
    </w:p>
    <w:p>
      <w:pPr>
        <w:spacing w:after="0" w:line="53" w:lineRule="exact"/>
        <w:rPr>
          <w:rFonts w:ascii="Times New Roman" w:cs="Times New Roman" w:eastAsia="Times New Roman" w:hAnsi="Times New Roman"/>
          <w:sz w:val="18"/>
          <w:szCs w:val="18"/>
          <w:color w:val="auto"/>
        </w:rPr>
      </w:pPr>
    </w:p>
    <w:p>
      <w:pPr>
        <w:ind w:left="1040" w:right="540" w:hanging="567"/>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lowerRoman"/>
      <w:start w:val="1"/>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1)"/>
      <w:numFmt w:val="lowerRoman"/>
      <w:start w:val="1"/>
    </w:lvl>
  </w:abstractNum>
  <w:abstractNum w:abstractNumId="8">
    <w:nsid w:val="6763845E"/>
    <w:multiLevelType w:val="hybridMultilevel"/>
    <w:lvl w:ilvl="0">
      <w:lvlJc w:val="left"/>
      <w:lvlText w:val="(%1)"/>
      <w:numFmt w:val="lowerRoman"/>
      <w:start w:val="1"/>
    </w:lvl>
  </w:abstractNum>
  <w:abstractNum w:abstractNumId="9">
    <w:nsid w:val="75A2A8D4"/>
    <w:multiLevelType w:val="hybridMultilevel"/>
    <w:lvl w:ilvl="0">
      <w:lvlJc w:val="left"/>
      <w:lvlText w:val="(%1)"/>
      <w:numFmt w:val="lowerRoman"/>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Roman"/>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lowerRoman"/>
      <w:start w:val="1"/>
    </w:lvl>
  </w:abstractNum>
  <w:abstractNum w:abstractNumId="18">
    <w:nsid w:val="836C40E"/>
    <w:multiLevelType w:val="hybridMultilevel"/>
    <w:lvl w:ilvl="0">
      <w:lvlJc w:val="left"/>
      <w:lvlText w:val="(%1)"/>
      <w:numFmt w:val="lowerRoman"/>
      <w:start w:val="1"/>
    </w:lvl>
  </w:abstractNum>
  <w:abstractNum w:abstractNumId="19">
    <w:nsid w:val="2901D82"/>
    <w:multiLevelType w:val="hybridMultilevel"/>
    <w:lvl w:ilvl="0">
      <w:lvlJc w:val="left"/>
      <w:lvlText w:val="(%1)"/>
      <w:numFmt w:val="lowerRoman"/>
      <w:start w:val="1"/>
    </w:lvl>
  </w:abstractNum>
  <w:abstractNum w:abstractNumId="20">
    <w:nsid w:val="3A95F874"/>
    <w:multiLevelType w:val="hybridMultilevel"/>
    <w:lvl w:ilvl="0">
      <w:lvlJc w:val="left"/>
      <w:lvlText w:val="(%1)"/>
      <w:numFmt w:val="lowerRoman"/>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Roman"/>
      <w:start w:val="1"/>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lowerRoman"/>
      <w:start w:val="1"/>
    </w:lvl>
  </w:abstractNum>
  <w:abstractNum w:abstractNumId="31">
    <w:nsid w:val="5577F8E1"/>
    <w:multiLevelType w:val="hybridMultilevel"/>
    <w:lvl w:ilvl="0">
      <w:lvlJc w:val="left"/>
      <w:lvlText w:val="(%1)"/>
      <w:numFmt w:val="lowerRoman"/>
      <w:start w:val="1"/>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64" Type="http://schemas.openxmlformats.org/officeDocument/2006/relationships/hyperlink" Target="https://www.sec.gov/Archives/edgar/data/1140536/000119312525243617/d35058dex101.htm" TargetMode="External"/><Relationship Id="rId565" Type="http://schemas.openxmlformats.org/officeDocument/2006/relationships/hyperlink" Target="https://www.sec.gov/Archives/edgar/data/1140536/000119312525243617/d35058dex102.htm" TargetMode="External"/><Relationship Id="rId566" Type="http://schemas.openxmlformats.org/officeDocument/2006/relationships/hyperlink" Target="https://www.sec.gov/Archives/edgar/data/1140536/000095017025026278/wtw-ex2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2025-10-30T11:18:37Z</dcterms:created>
  <dcterms:modified xsi:type="dcterms:W3CDTF">2025-10-30T11:18:37Z</dcterms:modified>
</cp:coreProperties>
</file>